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170180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 w:lineRule="exact"/>
        <w:rPr>
          <w:sz w:val="24"/>
          <w:szCs w:val="24"/>
          <w:color w:val="auto"/>
        </w:rPr>
      </w:pPr>
    </w:p>
    <w:p>
      <w:pPr>
        <w:ind w:left="3700" w:right="1560" w:hanging="3679"/>
        <w:spacing w:after="0" w:line="317" w:lineRule="auto"/>
        <w:tabs>
          <w:tab w:leader="none" w:pos="4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3680" w:right="1560" w:hanging="3659"/>
        <w:spacing w:after="0" w:line="281" w:lineRule="auto"/>
        <w:tabs>
          <w:tab w:leader="none" w:pos="48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______</w:t>
      </w:r>
    </w:p>
    <w:p>
      <w:pPr>
        <w:spacing w:after="0" w:line="1" w:lineRule="exact"/>
        <w:rPr>
          <w:sz w:val="24"/>
          <w:szCs w:val="24"/>
          <w:color w:val="auto"/>
        </w:rPr>
      </w:pPr>
    </w:p>
    <w:tbl>
      <w:tblPr>
        <w:tblLayout w:type="fixed"/>
        <w:tblInd w:w="1480" w:type="dxa"/>
        <w:tblCellMar>
          <w:top w:w="0" w:type="dxa"/>
          <w:left w:w="0" w:type="dxa"/>
          <w:bottom w:w="0" w:type="dxa"/>
          <w:right w:w="0" w:type="dxa"/>
        </w:tblCellMar>
      </w:tblPr>
      <w:tr>
        <w:trPr>
          <w:trHeight w:val="253"/>
        </w:trPr>
        <w:tc>
          <w:tcPr>
            <w:tcW w:w="6120" w:type="dxa"/>
            <w:vAlign w:val="bottom"/>
            <w:gridSpan w:val="3"/>
          </w:tcPr>
          <w:p>
            <w:pPr>
              <w:jc w:val="center"/>
              <w:ind w:left="2085"/>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6"/>
                <w:szCs w:val="16"/>
                <w:b w:val="1"/>
                <w:bCs w:val="1"/>
                <w:color w:val="auto"/>
              </w:rPr>
              <w:t>001-39775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6"/>
        </w:trPr>
        <w:tc>
          <w:tcPr>
            <w:tcW w:w="6120" w:type="dxa"/>
            <w:vAlign w:val="bottom"/>
            <w:gridSpan w:val="3"/>
          </w:tcPr>
          <w:p>
            <w:pPr>
              <w:ind w:left="2280"/>
              <w:spacing w:after="0"/>
              <w:rPr>
                <w:sz w:val="20"/>
                <w:szCs w:val="20"/>
                <w:color w:val="auto"/>
              </w:rPr>
            </w:pPr>
            <w:r>
              <w:rPr>
                <w:rFonts w:ascii="Arial" w:cs="Arial" w:eastAsia="Arial" w:hAnsi="Arial"/>
                <w:sz w:val="43"/>
                <w:szCs w:val="43"/>
                <w:b w:val="1"/>
                <w:bCs w:val="1"/>
                <w:color w:val="auto"/>
              </w:rPr>
              <w:t>ContextLogic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560" w:type="dxa"/>
            <w:vAlign w:val="bottom"/>
            <w:gridSpan w:val="4"/>
          </w:tcPr>
          <w:p>
            <w:pPr>
              <w:jc w:val="center"/>
              <w:ind w:left="625"/>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204"/>
        </w:trPr>
        <w:tc>
          <w:tcPr>
            <w:tcW w:w="302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6120" w:type="dxa"/>
            <w:vAlign w:val="bottom"/>
            <w:gridSpan w:val="3"/>
          </w:tcPr>
          <w:p>
            <w:pPr>
              <w:jc w:val="center"/>
              <w:ind w:right="3440"/>
              <w:spacing w:after="0"/>
              <w:rPr>
                <w:sz w:val="20"/>
                <w:szCs w:val="20"/>
                <w:color w:val="auto"/>
              </w:rPr>
            </w:pPr>
            <w:r>
              <w:rPr>
                <w:rFonts w:ascii="Arial" w:cs="Arial" w:eastAsia="Arial" w:hAnsi="Arial"/>
                <w:sz w:val="16"/>
                <w:szCs w:val="16"/>
                <w:b w:val="1"/>
                <w:bCs w:val="1"/>
                <w:color w:val="auto"/>
              </w:rPr>
              <w:t>Delaware</w:t>
            </w:r>
          </w:p>
        </w:tc>
        <w:tc>
          <w:tcPr>
            <w:tcW w:w="14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c>
          <w:tcPr>
            <w:tcW w:w="0" w:type="dxa"/>
            <w:vAlign w:val="bottom"/>
          </w:tcPr>
          <w:p>
            <w:pPr>
              <w:spacing w:after="0"/>
              <w:rPr>
                <w:sz w:val="1"/>
                <w:szCs w:val="1"/>
                <w:color w:val="auto"/>
              </w:rPr>
            </w:pPr>
          </w:p>
        </w:tc>
      </w:tr>
      <w:tr>
        <w:trPr>
          <w:trHeight w:val="150"/>
        </w:trPr>
        <w:tc>
          <w:tcPr>
            <w:tcW w:w="6120" w:type="dxa"/>
            <w:vAlign w:val="bottom"/>
            <w:gridSpan w:val="3"/>
          </w:tcPr>
          <w:p>
            <w:pPr>
              <w:jc w:val="center"/>
              <w:ind w:right="3460"/>
              <w:spacing w:after="0" w:line="150" w:lineRule="exact"/>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4"/>
              <w:spacing w:after="0" w:line="150"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2"/>
        </w:trPr>
        <w:tc>
          <w:tcPr>
            <w:tcW w:w="612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10"/>
        </w:trPr>
        <w:tc>
          <w:tcPr>
            <w:tcW w:w="6120" w:type="dxa"/>
            <w:vAlign w:val="bottom"/>
            <w:gridSpan w:val="3"/>
          </w:tcPr>
          <w:p>
            <w:pPr>
              <w:jc w:val="center"/>
              <w:ind w:right="3460"/>
              <w:spacing w:after="0"/>
              <w:rPr>
                <w:sz w:val="20"/>
                <w:szCs w:val="20"/>
                <w:color w:val="auto"/>
              </w:rPr>
            </w:pPr>
            <w:r>
              <w:rPr>
                <w:rFonts w:ascii="Arial" w:cs="Arial" w:eastAsia="Arial" w:hAnsi="Arial"/>
                <w:sz w:val="16"/>
                <w:szCs w:val="16"/>
                <w:b w:val="1"/>
                <w:bCs w:val="1"/>
                <w:color w:val="auto"/>
              </w:rPr>
              <w:t>One Sansome Street 33rd Floor</w:t>
            </w:r>
          </w:p>
        </w:tc>
        <w:tc>
          <w:tcPr>
            <w:tcW w:w="144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94"/>
        </w:trPr>
        <w:tc>
          <w:tcPr>
            <w:tcW w:w="6120" w:type="dxa"/>
            <w:vAlign w:val="bottom"/>
            <w:gridSpan w:val="3"/>
          </w:tcPr>
          <w:p>
            <w:pPr>
              <w:jc w:val="center"/>
              <w:ind w:right="3440"/>
              <w:spacing w:after="0"/>
              <w:rPr>
                <w:sz w:val="20"/>
                <w:szCs w:val="20"/>
                <w:color w:val="auto"/>
              </w:rPr>
            </w:pPr>
            <w:r>
              <w:rPr>
                <w:rFonts w:ascii="Arial" w:cs="Arial" w:eastAsia="Arial" w:hAnsi="Arial"/>
                <w:sz w:val="16"/>
                <w:szCs w:val="16"/>
                <w:b w:val="1"/>
                <w:bCs w:val="1"/>
                <w:color w:val="auto"/>
              </w:rPr>
              <w:t>San Francisco, CA</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12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820" w:type="dxa"/>
            <w:vAlign w:val="bottom"/>
            <w:gridSpan w:val="3"/>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r>
      <w:tr>
        <w:trPr>
          <w:trHeight w:val="407"/>
        </w:trPr>
        <w:tc>
          <w:tcPr>
            <w:tcW w:w="48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Title of each class</w:t>
            </w:r>
          </w:p>
        </w:tc>
        <w:tc>
          <w:tcPr>
            <w:tcW w:w="1940" w:type="dxa"/>
            <w:vAlign w:val="bottom"/>
          </w:tcPr>
          <w:p>
            <w:pPr>
              <w:jc w:val="center"/>
              <w:ind w:right="224"/>
              <w:spacing w:after="0"/>
              <w:rPr>
                <w:sz w:val="20"/>
                <w:szCs w:val="20"/>
                <w:color w:val="auto"/>
              </w:rPr>
            </w:pPr>
            <w:r>
              <w:rPr>
                <w:rFonts w:ascii="Arial" w:cs="Arial" w:eastAsia="Arial" w:hAnsi="Arial"/>
                <w:sz w:val="16"/>
                <w:szCs w:val="16"/>
                <w:b w:val="1"/>
                <w:bCs w:val="1"/>
                <w:color w:val="auto"/>
                <w:w w:val="99"/>
              </w:rPr>
              <w:t>Trading Symbol(s)</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8"/>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Class A Common Stock, $0.0001 par value</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ind w:right="244"/>
              <w:spacing w:after="0"/>
              <w:rPr>
                <w:sz w:val="20"/>
                <w:szCs w:val="20"/>
                <w:color w:val="auto"/>
              </w:rPr>
            </w:pPr>
            <w:r>
              <w:rPr>
                <w:rFonts w:ascii="Arial" w:cs="Arial" w:eastAsia="Arial" w:hAnsi="Arial"/>
                <w:sz w:val="14"/>
                <w:szCs w:val="14"/>
                <w:color w:val="auto"/>
              </w:rPr>
              <w:t>WISH</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44" w:lineRule="exact"/>
        <w:rPr>
          <w:sz w:val="24"/>
          <w:szCs w:val="24"/>
          <w:color w:val="auto"/>
        </w:rPr>
      </w:pPr>
    </w:p>
    <w:p>
      <w:pPr>
        <w:jc w:val="both"/>
        <w:ind w:right="20" w:firstLine="599"/>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right="2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right="20" w:firstLine="599"/>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59" w:lineRule="exact"/>
        <w:rPr>
          <w:sz w:val="24"/>
          <w:szCs w:val="24"/>
          <w:color w:val="auto"/>
        </w:rPr>
      </w:pPr>
    </w:p>
    <w:p>
      <w:pPr>
        <w:ind w:right="40" w:firstLine="59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left="600"/>
        <w:spacing w:after="0" w:line="184" w:lineRule="exact"/>
        <w:tabs>
          <w:tab w:leader="none" w:pos="8900" w:val="left"/>
          <w:tab w:leader="none" w:pos="9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4" w:lineRule="exact"/>
        <w:rPr>
          <w:sz w:val="24"/>
          <w:szCs w:val="24"/>
          <w:color w:val="auto"/>
        </w:rPr>
      </w:pPr>
    </w:p>
    <w:p>
      <w:pPr>
        <w:ind w:right="40" w:firstLine="599"/>
        <w:spacing w:after="0" w:line="291" w:lineRule="auto"/>
        <w:rPr>
          <w:sz w:val="20"/>
          <w:szCs w:val="20"/>
          <w:color w:val="auto"/>
        </w:rPr>
      </w:pPr>
      <w:r>
        <w:rPr>
          <w:rFonts w:ascii="Arial" w:cs="Arial" w:eastAsia="Arial" w:hAnsi="Arial"/>
          <w:sz w:val="16"/>
          <w:szCs w:val="16"/>
          <w:color w:val="auto"/>
        </w:rPr>
        <w:t>As of July 31, 2022, the number of shares of the registrant’s Class A common stock outstanding was 609 million and the number of shares of the registrant’s Class B common stock outstanding was 61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300" w:type="dxa"/>
            <w:vAlign w:val="bottom"/>
            <w:gridSpan w:val="17"/>
            <w:vMerge w:val="restart"/>
          </w:tcPr>
          <w:p>
            <w:pPr>
              <w:spacing w:after="0"/>
              <w:rPr>
                <w:sz w:val="20"/>
                <w:szCs w:val="20"/>
                <w:color w:val="auto"/>
              </w:rPr>
            </w:pPr>
            <w:r>
              <w:rPr>
                <w:rFonts w:ascii="Arial" w:cs="Arial" w:eastAsia="Arial" w:hAnsi="Arial"/>
                <w:sz w:val="18"/>
                <w:szCs w:val="18"/>
                <w:b w:val="1"/>
                <w:bCs w:val="1"/>
                <w:color w:val="0563C1"/>
              </w:rPr>
              <w:t>Special Note Regarding Forward-Looking Statements</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456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rPr>
              <w:t>FINANCIAL INFORMATION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40" w:type="dxa"/>
            <w:vAlign w:val="bottom"/>
            <w:tcBorders>
              <w:top w:val="single" w:sz="8" w:color="0563C1"/>
            </w:tcBorders>
            <w:gridSpan w:val="6"/>
          </w:tcPr>
          <w:p>
            <w:pPr>
              <w:spacing w:after="0" w:line="182" w:lineRule="exact"/>
              <w:rPr>
                <w:sz w:val="20"/>
                <w:szCs w:val="20"/>
                <w:color w:val="auto"/>
              </w:rPr>
            </w:pPr>
            <w:r>
              <w:rPr>
                <w:rFonts w:ascii="Arial" w:cs="Arial" w:eastAsia="Arial" w:hAnsi="Arial"/>
                <w:sz w:val="18"/>
                <w:szCs w:val="18"/>
                <w:color w:val="0563C1"/>
              </w:rPr>
              <w:t>Condensed Consolidated</w:t>
            </w:r>
          </w:p>
        </w:tc>
        <w:tc>
          <w:tcPr>
            <w:tcW w:w="7060" w:type="dxa"/>
            <w:vAlign w:val="bottom"/>
            <w:gridSpan w:val="11"/>
          </w:tcPr>
          <w:p>
            <w:pPr>
              <w:spacing w:after="0" w:line="182" w:lineRule="exact"/>
              <w:rPr>
                <w:sz w:val="20"/>
                <w:szCs w:val="20"/>
                <w:color w:val="auto"/>
              </w:rPr>
            </w:pPr>
            <w:r>
              <w:rPr>
                <w:rFonts w:ascii="Arial" w:cs="Arial" w:eastAsia="Arial" w:hAnsi="Arial"/>
                <w:sz w:val="18"/>
                <w:szCs w:val="18"/>
                <w:color w:val="0563C1"/>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40" w:type="dxa"/>
            <w:vAlign w:val="bottom"/>
            <w:tcBorders>
              <w:top w:val="single" w:sz="8" w:color="0563C1"/>
            </w:tcBorders>
            <w:gridSpan w:val="12"/>
          </w:tcPr>
          <w:p>
            <w:pPr>
              <w:spacing w:after="0" w:line="182" w:lineRule="exact"/>
              <w:rPr>
                <w:sz w:val="20"/>
                <w:szCs w:val="20"/>
                <w:color w:val="auto"/>
              </w:rPr>
            </w:pPr>
            <w:r>
              <w:rPr>
                <w:rFonts w:ascii="Arial" w:cs="Arial" w:eastAsia="Arial" w:hAnsi="Arial"/>
                <w:sz w:val="18"/>
                <w:szCs w:val="18"/>
                <w:color w:val="0563C1"/>
              </w:rPr>
              <w:t>Condensed Consolidated Balance Sheets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0563C1"/>
              <w:bottom w:val="single" w:sz="8" w:color="0563C1"/>
            </w:tcBorders>
            <w:gridSpan w:val="7"/>
          </w:tcPr>
          <w:p>
            <w:pPr>
              <w:spacing w:after="0" w:line="182" w:lineRule="exact"/>
              <w:rPr>
                <w:sz w:val="20"/>
                <w:szCs w:val="20"/>
                <w:color w:val="auto"/>
              </w:rPr>
            </w:pPr>
            <w:r>
              <w:rPr>
                <w:rFonts w:ascii="Arial" w:cs="Arial" w:eastAsia="Arial" w:hAnsi="Arial"/>
                <w:sz w:val="18"/>
                <w:szCs w:val="18"/>
                <w:color w:val="0563C1"/>
              </w:rPr>
              <w:t>Condensed Consolidated Statements of</w:t>
            </w:r>
          </w:p>
        </w:tc>
        <w:tc>
          <w:tcPr>
            <w:tcW w:w="780" w:type="dxa"/>
            <w:vAlign w:val="bottom"/>
            <w:tcBorders>
              <w:bottom w:val="single" w:sz="8" w:color="0563C1"/>
            </w:tcBorders>
          </w:tcPr>
          <w:p>
            <w:pPr>
              <w:spacing w:after="0" w:line="182" w:lineRule="exact"/>
              <w:rPr>
                <w:sz w:val="20"/>
                <w:szCs w:val="20"/>
                <w:color w:val="auto"/>
              </w:rPr>
            </w:pPr>
            <w:r>
              <w:rPr>
                <w:rFonts w:ascii="Arial" w:cs="Arial" w:eastAsia="Arial" w:hAnsi="Arial"/>
                <w:sz w:val="18"/>
                <w:szCs w:val="18"/>
                <w:color w:val="0563C1"/>
                <w:w w:val="86"/>
              </w:rPr>
              <w:t>Operations</w:t>
            </w:r>
          </w:p>
        </w:tc>
        <w:tc>
          <w:tcPr>
            <w:tcW w:w="518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Condensed Consolidated Statements of Comprehensive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563C1"/>
            </w:tcBorders>
            <w:gridSpan w:val="14"/>
          </w:tcPr>
          <w:p>
            <w:pPr>
              <w:spacing w:after="0" w:line="182" w:lineRule="exact"/>
              <w:rPr>
                <w:sz w:val="20"/>
                <w:szCs w:val="20"/>
                <w:color w:val="auto"/>
              </w:rPr>
            </w:pPr>
            <w:r>
              <w:rPr>
                <w:rFonts w:ascii="Arial" w:cs="Arial" w:eastAsia="Arial" w:hAnsi="Arial"/>
                <w:sz w:val="18"/>
                <w:szCs w:val="18"/>
                <w:color w:val="0563C1"/>
              </w:rPr>
              <w:t>Condensed Consolidated Statements of Stockholders’ Equity</w:t>
            </w: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563C1"/>
              <w:bottom w:val="single" w:sz="8" w:color="0563C1"/>
            </w:tcBorders>
            <w:gridSpan w:val="9"/>
          </w:tcPr>
          <w:p>
            <w:pPr>
              <w:spacing w:after="0" w:line="182" w:lineRule="exact"/>
              <w:rPr>
                <w:sz w:val="20"/>
                <w:szCs w:val="20"/>
                <w:color w:val="auto"/>
              </w:rPr>
            </w:pPr>
            <w:r>
              <w:rPr>
                <w:rFonts w:ascii="Arial" w:cs="Arial" w:eastAsia="Arial" w:hAnsi="Arial"/>
                <w:sz w:val="18"/>
                <w:szCs w:val="18"/>
                <w:color w:val="0563C1"/>
                <w:w w:val="99"/>
              </w:rPr>
              <w:t>Condensed Consolidated Statements of Cash Flows</w:t>
            </w:r>
          </w:p>
        </w:tc>
        <w:tc>
          <w:tcPr>
            <w:tcW w:w="680" w:type="dxa"/>
            <w:vAlign w:val="bottom"/>
            <w:tcBorders>
              <w:top w:val="single" w:sz="8" w:color="0563C1"/>
            </w:tcBorders>
            <w:gridSpan w:val="4"/>
          </w:tcPr>
          <w:p>
            <w:pPr>
              <w:spacing w:after="0"/>
              <w:rPr>
                <w:sz w:val="15"/>
                <w:szCs w:val="15"/>
                <w:color w:val="auto"/>
              </w:rPr>
            </w:pPr>
          </w:p>
        </w:tc>
        <w:tc>
          <w:tcPr>
            <w:tcW w:w="500" w:type="dxa"/>
            <w:vAlign w:val="bottom"/>
            <w:gridSpan w:val="2"/>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5360" w:type="dxa"/>
            <w:vAlign w:val="bottom"/>
            <w:tcBorders>
              <w:top w:val="single" w:sz="8" w:color="0563C1"/>
            </w:tcBorders>
            <w:gridSpan w:val="15"/>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w:t>
            </w:r>
          </w:p>
        </w:tc>
        <w:tc>
          <w:tcPr>
            <w:tcW w:w="3940" w:type="dxa"/>
            <w:vAlign w:val="bottom"/>
            <w:gridSpan w:val="2"/>
          </w:tcPr>
          <w:p>
            <w:pPr>
              <w:spacing w:after="0" w:line="182" w:lineRule="exact"/>
              <w:rPr>
                <w:sz w:val="20"/>
                <w:szCs w:val="20"/>
                <w:color w:val="auto"/>
              </w:rPr>
            </w:pPr>
            <w:r>
              <w:rPr>
                <w:rFonts w:ascii="Arial" w:cs="Arial" w:eastAsia="Arial" w:hAnsi="Arial"/>
                <w:sz w:val="18"/>
                <w:szCs w:val="18"/>
                <w:color w:val="0563C1"/>
              </w:rPr>
              <w:t>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563C1"/>
            </w:tcBorders>
            <w:gridSpan w:val="16"/>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563C1"/>
            </w:tcBorders>
            <w:gridSpan w:val="11"/>
          </w:tcPr>
          <w:p>
            <w:pPr>
              <w:spacing w:after="0" w:line="182" w:lineRule="exact"/>
              <w:rPr>
                <w:sz w:val="20"/>
                <w:szCs w:val="20"/>
                <w:color w:val="auto"/>
              </w:rPr>
            </w:pPr>
            <w:r>
              <w:rPr>
                <w:rFonts w:ascii="Arial" w:cs="Arial" w:eastAsia="Arial" w:hAnsi="Arial"/>
                <w:sz w:val="18"/>
                <w:szCs w:val="18"/>
                <w:color w:val="0563C1"/>
              </w:rPr>
              <w:t>Controls and Procedures</w:t>
            </w:r>
          </w:p>
        </w:tc>
        <w:tc>
          <w:tcPr>
            <w:tcW w:w="458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OTHER INFORMATION</w:t>
            </w:r>
          </w:p>
        </w:tc>
        <w:tc>
          <w:tcPr>
            <w:tcW w:w="7300" w:type="dxa"/>
            <w:vAlign w:val="bottom"/>
            <w:gridSpan w:val="12"/>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4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Legal Proceedings</w:t>
            </w:r>
          </w:p>
        </w:tc>
        <w:tc>
          <w:tcPr>
            <w:tcW w:w="736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rPr>
              <w:t>Risk Factors</w:t>
            </w:r>
          </w:p>
        </w:tc>
        <w:tc>
          <w:tcPr>
            <w:tcW w:w="780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000" w:type="dxa"/>
            <w:vAlign w:val="bottom"/>
            <w:tcBorders>
              <w:top w:val="single" w:sz="8" w:color="0563C1"/>
            </w:tcBorders>
            <w:gridSpan w:val="2"/>
          </w:tcPr>
          <w:p>
            <w:pPr>
              <w:spacing w:after="0" w:line="182" w:lineRule="exact"/>
              <w:rPr>
                <w:sz w:val="20"/>
                <w:szCs w:val="20"/>
                <w:color w:val="auto"/>
              </w:rPr>
            </w:pPr>
            <w:r>
              <w:rPr>
                <w:rFonts w:ascii="Arial" w:cs="Arial" w:eastAsia="Arial" w:hAnsi="Arial"/>
                <w:sz w:val="18"/>
                <w:szCs w:val="18"/>
                <w:color w:val="0563C1"/>
              </w:rPr>
              <w:t>Exhibits</w:t>
            </w:r>
          </w:p>
        </w:tc>
        <w:tc>
          <w:tcPr>
            <w:tcW w:w="830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640" w:type="dxa"/>
            <w:vAlign w:val="bottom"/>
            <w:tcBorders>
              <w:top w:val="single" w:sz="8" w:color="0563C1"/>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("Exchange Act"), which statements involve substantial risks and uncertainties. Forward-looking statements include all statements that are not historical facts such as information concerning our possible or assumed future results of operations and expenses, user experience, including new or planned features or services, management strategies and plans, competitive position, merchant programs, partnership expectations,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spacing w:after="0" w:line="11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and our other filings with the Securities and Exchange Commission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19"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future financial performance; implementation and execution of business strategies, including turnaround and restructuring plans; our future liquidity, operating expenditures, and financial condition; the potential impact of our marketing and product initiatives, including ad spending; new executive hires and transitions; new merchant programs and related outcomes; the impact of coronavirus disease 2019 (“COVID-19”) on our business; our future market position and competitive changes in the marketplace; technological advances; expected consumer behavior; the outcome of ongoing litigation; the effect of new or revised tax laws and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8"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1"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Below is a summary of the principal factors that make an investment in our Class A common stock speculative or risky. This summary does not contain all of the information that may be important to you, and you should read this summary together with the more detailed discussion of risks and uncertainties set forth in the section titled “Risk Factors” included elsewhere in this Quarterly Report on Form 10-Q:</w:t>
      </w:r>
    </w:p>
    <w:p>
      <w:pPr>
        <w:spacing w:after="0" w:line="49" w:lineRule="exact"/>
        <w:rPr>
          <w:sz w:val="20"/>
          <w:szCs w:val="20"/>
          <w:color w:val="auto"/>
        </w:rPr>
      </w:pPr>
    </w:p>
    <w:p>
      <w:pPr>
        <w:ind w:left="1020" w:hanging="503"/>
        <w:spacing w:after="0" w:line="291"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efforts to acquire new users and engage existing users may not be successful or may be more costly than we expect, which could prevent us from maintaining or increasing our revenue.</w:t>
      </w:r>
    </w:p>
    <w:p>
      <w:pPr>
        <w:spacing w:after="0" w:line="23"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promote, maintain, and protect our brand and reputation and offer a compelling user experience, our ability to attract new users and engage with our existing base of users will be impaired.</w:t>
      </w:r>
    </w:p>
    <w:p>
      <w:pPr>
        <w:spacing w:after="0" w:line="51"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transition to a new Chief Executive Officer (“CEO”) may impact our ability to execute on our business strategy in a timely manner.</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the services of members of our senior management team we may not be able to execute our business strategy.</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50"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brand, reputation, and business may be harmed if merchants on our platform use unethical or illegal business practices, including the sale of counterfeit or fraudulent products or if our policies and practices with respect to such sales are perceived or found to be inadequate, and we may be impacted by the unlawful activity of merchants on our platform.</w:t>
      </w:r>
    </w:p>
    <w:p>
      <w:pPr>
        <w:spacing w:after="0" w:line="50" w:lineRule="exact"/>
        <w:rPr>
          <w:rFonts w:ascii="Times New Roman" w:cs="Times New Roman" w:eastAsia="Times New Roman" w:hAnsi="Times New Roman"/>
          <w:sz w:val="18"/>
          <w:szCs w:val="18"/>
          <w:color w:val="auto"/>
        </w:rPr>
      </w:pPr>
    </w:p>
    <w:p>
      <w:pPr>
        <w:ind w:left="1020" w:hanging="503"/>
        <w:spacing w:after="0" w:line="291"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company is evolving and we are in the process of executing on new business strategies and restructuring efforts; if we fail to successfully execute on these, our business, financial condition, and operating results could be harmed.</w:t>
      </w:r>
    </w:p>
    <w:p>
      <w:pPr>
        <w:spacing w:after="0" w:line="23"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successfully execute or achieve the expected benefits of our restructuring and turnaround initiatives, which could adversely affect our business</w:t>
      </w:r>
    </w:p>
    <w:p>
      <w:pPr>
        <w:spacing w:after="0" w:line="51"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in which we operate is rapidly evolving and we face intense competition; if we do not compete effectively, our results of operations and financial condition could be harmed.</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COVID-19 pandemic may adversely affect our business and results of operations.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tension between the United States and China, or between other countries, may intensify and the United States, China, or other countries may adopt drastic measures in the future that impact our business.</w:t>
      </w:r>
    </w:p>
    <w:p>
      <w:pPr>
        <w:spacing w:after="0" w:line="37"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Merchants on our platform may experience additional disruptions to their supply and restrictions on their ability to deliver products to our users in a timely manner, which could harm our business.</w:t>
      </w:r>
    </w:p>
    <w:p>
      <w:pPr>
        <w:spacing w:after="0" w:line="51"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and our merchants and users may be subject to sales and other taxes and these taxes may negatively impact our revenue and growth.</w:t>
      </w:r>
    </w:p>
    <w:p>
      <w:pPr>
        <w:spacing w:after="0" w:line="37"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significant disruption in service on our platform or in our computer systems, some of which are currently hosted by third-party providers, for any reason, including cyber threats, could damage our reputation and result in a loss of users, which would harm our business and results of operations.</w:t>
      </w:r>
    </w:p>
    <w:p>
      <w:pPr>
        <w:spacing w:after="0" w:line="50" w:lineRule="exact"/>
        <w:rPr>
          <w:rFonts w:ascii="Times New Roman" w:cs="Times New Roman" w:eastAsia="Times New Roman" w:hAnsi="Times New Roman"/>
          <w:sz w:val="18"/>
          <w:szCs w:val="18"/>
          <w:color w:val="auto"/>
        </w:rPr>
      </w:pPr>
    </w:p>
    <w:p>
      <w:pPr>
        <w:ind w:left="1020" w:hanging="503"/>
        <w:spacing w:after="0" w:line="291"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involved in litigation matters or other legal proceedings or regulatory investigations that are expensive, time consuming, and may result in restrictions in our business operations.</w:t>
      </w:r>
    </w:p>
    <w:p>
      <w:pPr>
        <w:spacing w:after="0" w:line="23"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identified material weaknesses in our internal control over financial reporting and may identify additional material weaknesses in the future or otherwise fail to maintain an effective system of internal controls, which may result in material</w:t>
      </w:r>
    </w:p>
    <w:p>
      <w:pPr>
        <w:spacing w:after="0" w:line="2"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color w:val="auto"/>
        </w:rPr>
        <w:t>misstatements of our consolidated financial statements or cause us to fail to meet our periodic reporting obligations.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As of June 30,</w:t>
            </w:r>
          </w:p>
        </w:tc>
        <w:tc>
          <w:tcPr>
            <w:tcW w:w="1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Funds receivable</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Right-of-use assets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2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Merchants payable</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Refunds liability</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Arial" w:cs="Arial" w:eastAsia="Arial" w:hAnsi="Arial"/>
                <w:sz w:val="16"/>
                <w:szCs w:val="16"/>
                <w:color w:val="auto"/>
              </w:rPr>
              <w:t>Lease liabilities, non-current</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200"/>
              <w:spacing w:after="0" w:line="158" w:lineRule="exact"/>
              <w:rPr>
                <w:sz w:val="20"/>
                <w:szCs w:val="20"/>
                <w:color w:val="auto"/>
              </w:rPr>
            </w:pPr>
            <w:r>
              <w:rPr>
                <w:rFonts w:ascii="Arial" w:cs="Arial" w:eastAsia="Arial" w:hAnsi="Arial"/>
                <w:sz w:val="16"/>
                <w:szCs w:val="16"/>
                <w:color w:val="auto"/>
              </w:rPr>
              <w:t>Preferred stock, $0.0001 par value: 100 shares authorized as of June 30, 2022 and December</w:t>
            </w:r>
          </w:p>
        </w:tc>
        <w:tc>
          <w:tcPr>
            <w:tcW w:w="200" w:type="dxa"/>
            <w:vAlign w:val="bottom"/>
          </w:tcPr>
          <w:p>
            <w:pPr>
              <w:spacing w:after="0"/>
              <w:rPr>
                <w:sz w:val="13"/>
                <w:szCs w:val="13"/>
                <w:color w:val="auto"/>
              </w:rPr>
            </w:pPr>
          </w:p>
        </w:tc>
        <w:tc>
          <w:tcPr>
            <w:tcW w:w="17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8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300" w:type="dxa"/>
            <w:vAlign w:val="bottom"/>
          </w:tcPr>
          <w:p>
            <w:pPr>
              <w:ind w:left="200"/>
              <w:spacing w:after="0"/>
              <w:rPr>
                <w:sz w:val="20"/>
                <w:szCs w:val="20"/>
                <w:color w:val="auto"/>
              </w:rPr>
            </w:pPr>
            <w:r>
              <w:rPr>
                <w:rFonts w:ascii="Arial" w:cs="Arial" w:eastAsia="Arial" w:hAnsi="Arial"/>
                <w:sz w:val="16"/>
                <w:szCs w:val="16"/>
                <w:color w:val="auto"/>
              </w:rPr>
              <w:t>31, 2021; No shares issued and outstanding as of June 30, 2022 and December 31, 2021</w:t>
            </w:r>
          </w:p>
        </w:tc>
        <w:tc>
          <w:tcPr>
            <w:tcW w:w="20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FF0FC"/>
          </w:tcPr>
          <w:p>
            <w:pPr>
              <w:ind w:left="200"/>
              <w:spacing w:after="0" w:line="158" w:lineRule="exact"/>
              <w:rPr>
                <w:sz w:val="20"/>
                <w:szCs w:val="20"/>
                <w:color w:val="auto"/>
              </w:rPr>
            </w:pPr>
            <w:r>
              <w:rPr>
                <w:rFonts w:ascii="Arial" w:cs="Arial" w:eastAsia="Arial" w:hAnsi="Arial"/>
                <w:sz w:val="16"/>
                <w:szCs w:val="16"/>
                <w:color w:val="auto"/>
              </w:rPr>
              <w:t>Common stock, $0.0001 par value: 3,500 (3,000 Class A, 500 Class B) shares authorized as of</w:t>
            </w: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300" w:type="dxa"/>
            <w:vAlign w:val="bottom"/>
            <w:shd w:val="clear" w:color="auto" w:fill="CFF0FC"/>
          </w:tcPr>
          <w:p>
            <w:pPr>
              <w:ind w:left="200"/>
              <w:spacing w:after="0" w:line="167" w:lineRule="exact"/>
              <w:rPr>
                <w:sz w:val="20"/>
                <w:szCs w:val="20"/>
                <w:color w:val="auto"/>
              </w:rPr>
            </w:pPr>
            <w:r>
              <w:rPr>
                <w:rFonts w:ascii="Arial" w:cs="Arial" w:eastAsia="Arial" w:hAnsi="Arial"/>
                <w:sz w:val="16"/>
                <w:szCs w:val="16"/>
                <w:color w:val="auto"/>
              </w:rPr>
              <w:t>June 30, 2022 and December 31, 2021; 670 (609 Class A, 61 Class B) and 658 (593 Class A,</w:t>
            </w:r>
          </w:p>
        </w:tc>
        <w:tc>
          <w:tcPr>
            <w:tcW w:w="200" w:type="dxa"/>
            <w:vAlign w:val="bottom"/>
            <w:shd w:val="clear" w:color="auto" w:fill="CFF0FC"/>
          </w:tcPr>
          <w:p>
            <w:pPr>
              <w:spacing w:after="0"/>
              <w:rPr>
                <w:sz w:val="14"/>
                <w:szCs w:val="14"/>
                <w:color w:val="auto"/>
              </w:rPr>
            </w:pPr>
          </w:p>
        </w:tc>
        <w:tc>
          <w:tcPr>
            <w:tcW w:w="17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4"/>
                <w:szCs w:val="14"/>
                <w:color w:val="auto"/>
              </w:rPr>
            </w:pPr>
          </w:p>
        </w:tc>
        <w:tc>
          <w:tcPr>
            <w:tcW w:w="1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65 Class B) shares issued and outstanding as of June 30, 2022 and December 31, 2021</w:t>
            </w:r>
          </w:p>
        </w:tc>
        <w:tc>
          <w:tcPr>
            <w:tcW w:w="200" w:type="dxa"/>
            <w:vAlign w:val="bottom"/>
            <w:shd w:val="clear" w:color="auto" w:fill="CFF0FC"/>
          </w:tcPr>
          <w:p>
            <w:pPr>
              <w:spacing w:after="0"/>
              <w:rPr>
                <w:sz w:val="18"/>
                <w:szCs w:val="18"/>
                <w:color w:val="auto"/>
              </w:rPr>
            </w:pPr>
          </w:p>
        </w:tc>
        <w:tc>
          <w:tcPr>
            <w:tcW w:w="17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3,383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(6 )</w:t>
            </w: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(2,695 )</w:t>
            </w:r>
          </w:p>
        </w:tc>
        <w:tc>
          <w:tcPr>
            <w:tcW w:w="140" w:type="dxa"/>
            <w:vAlign w:val="bottom"/>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6"/>
                <w:szCs w:val="16"/>
                <w:color w:val="auto"/>
              </w:rPr>
              <w:t>(2,545 )</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2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-2862580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-1525270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-161925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4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(89 )</w:t>
            </w:r>
          </w:p>
        </w:tc>
        <w:tc>
          <w:tcPr>
            <w:tcW w:w="860" w:type="dxa"/>
            <w:vAlign w:val="bottom"/>
          </w:tcPr>
          <w:p>
            <w:pPr>
              <w:spacing w:after="0"/>
              <w:rPr>
                <w:sz w:val="17"/>
                <w:szCs w:val="17"/>
                <w:color w:val="auto"/>
              </w:rPr>
            </w:pPr>
          </w:p>
        </w:tc>
        <w:tc>
          <w:tcPr>
            <w:tcW w:w="640" w:type="dxa"/>
            <w:vAlign w:val="bottom"/>
            <w:gridSpan w:val="2"/>
          </w:tcPr>
          <w:p>
            <w:pPr>
              <w:jc w:val="right"/>
              <w:ind w:right="79"/>
              <w:spacing w:after="0"/>
              <w:rPr>
                <w:sz w:val="20"/>
                <w:szCs w:val="20"/>
                <w:color w:val="auto"/>
              </w:rPr>
            </w:pPr>
            <w:r>
              <w:rPr>
                <w:rFonts w:ascii="Arial" w:cs="Arial" w:eastAsia="Arial" w:hAnsi="Arial"/>
                <w:sz w:val="16"/>
                <w:szCs w:val="16"/>
                <w:color w:val="auto"/>
              </w:rPr>
              <w:t>(106 )</w:t>
            </w:r>
          </w:p>
        </w:tc>
        <w:tc>
          <w:tcPr>
            <w:tcW w:w="24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(149 )</w:t>
            </w:r>
          </w:p>
        </w:tc>
        <w:tc>
          <w:tcPr>
            <w:tcW w:w="3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(90 )</w:t>
            </w:r>
          </w:p>
        </w:tc>
        <w:tc>
          <w:tcPr>
            <w:tcW w:w="860" w:type="dxa"/>
            <w:vAlign w:val="bottom"/>
          </w:tcPr>
          <w:p>
            <w:pPr>
              <w:spacing w:after="0"/>
              <w:rPr>
                <w:sz w:val="17"/>
                <w:szCs w:val="17"/>
                <w:color w:val="auto"/>
              </w:rPr>
            </w:pPr>
          </w:p>
        </w:tc>
        <w:tc>
          <w:tcPr>
            <w:tcW w:w="640" w:type="dxa"/>
            <w:vAlign w:val="bottom"/>
            <w:gridSpan w:val="2"/>
          </w:tcPr>
          <w:p>
            <w:pPr>
              <w:jc w:val="right"/>
              <w:ind w:right="79"/>
              <w:spacing w:after="0"/>
              <w:rPr>
                <w:sz w:val="20"/>
                <w:szCs w:val="20"/>
                <w:color w:val="auto"/>
              </w:rPr>
            </w:pPr>
            <w:r>
              <w:rPr>
                <w:rFonts w:ascii="Arial" w:cs="Arial" w:eastAsia="Arial" w:hAnsi="Arial"/>
                <w:sz w:val="16"/>
                <w:szCs w:val="16"/>
                <w:color w:val="auto"/>
              </w:rPr>
              <w:t>(111 )</w:t>
            </w:r>
          </w:p>
        </w:tc>
        <w:tc>
          <w:tcPr>
            <w:tcW w:w="240" w:type="dxa"/>
            <w:vAlign w:val="bottom"/>
          </w:tcPr>
          <w:p>
            <w:pPr>
              <w:spacing w:after="0"/>
              <w:rPr>
                <w:sz w:val="17"/>
                <w:szCs w:val="17"/>
                <w:color w:val="auto"/>
              </w:rPr>
            </w:pP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(150 )</w:t>
            </w:r>
          </w:p>
        </w:tc>
        <w:tc>
          <w:tcPr>
            <w:tcW w:w="3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(239 )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8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29"/>
        </w:trPr>
        <w:tc>
          <w:tcPr>
            <w:tcW w:w="5700" w:type="dxa"/>
            <w:vAlign w:val="bottom"/>
          </w:tcPr>
          <w:p>
            <w:pPr>
              <w:ind w:left="20"/>
              <w:spacing w:after="0" w:line="129" w:lineRule="exact"/>
              <w:rPr>
                <w:sz w:val="20"/>
                <w:szCs w:val="20"/>
                <w:color w:val="auto"/>
              </w:rPr>
            </w:pPr>
            <w:r>
              <w:rPr>
                <w:rFonts w:ascii="Arial" w:cs="Arial" w:eastAsia="Arial" w:hAnsi="Arial"/>
                <w:sz w:val="14"/>
                <w:szCs w:val="14"/>
                <w:color w:val="auto"/>
              </w:rPr>
              <w:t>Weighted-average shares used in computing net loss per share, basic and</w:t>
            </w: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667</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624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664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line="175" w:lineRule="exact"/>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-1344930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-1344930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-1344930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-814070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-814070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-814070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-548005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-548005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-548005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-256540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-239395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-256540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-239395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-256540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-239395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2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700" w:type="dxa"/>
            <w:vAlign w:val="bottom"/>
            <w:shd w:val="clear" w:color="auto" w:fill="CFF0FC"/>
          </w:tcPr>
          <w:p>
            <w:pPr>
              <w:ind w:left="200"/>
              <w:spacing w:after="0" w:line="148" w:lineRule="exact"/>
              <w:rPr>
                <w:sz w:val="20"/>
                <w:szCs w:val="20"/>
                <w:color w:val="auto"/>
              </w:rPr>
            </w:pPr>
            <w:r>
              <w:rPr>
                <w:rFonts w:ascii="Arial" w:cs="Arial" w:eastAsia="Arial" w:hAnsi="Arial"/>
                <w:sz w:val="16"/>
                <w:szCs w:val="16"/>
                <w:color w:val="auto"/>
              </w:rPr>
              <w:t>Unrealized holding losses on derivatives and marketable securities, net of</w:t>
            </w:r>
          </w:p>
        </w:tc>
        <w:tc>
          <w:tcPr>
            <w:tcW w:w="8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(4 )</w:t>
            </w:r>
          </w:p>
        </w:tc>
        <w:tc>
          <w:tcPr>
            <w:tcW w:w="88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(5 )</w:t>
            </w:r>
          </w:p>
        </w:tc>
        <w:tc>
          <w:tcPr>
            <w:tcW w:w="3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w:t>
            </w:r>
          </w:p>
        </w:tc>
        <w:tc>
          <w:tcPr>
            <w:tcW w:w="800" w:type="dxa"/>
            <w:vAlign w:val="bottom"/>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800" w:type="dxa"/>
            <w:vAlign w:val="bottom"/>
          </w:tcPr>
          <w:p>
            <w:pPr>
              <w:spacing w:after="0"/>
              <w:rPr>
                <w:sz w:val="17"/>
                <w:szCs w:val="17"/>
                <w:color w:val="auto"/>
              </w:rPr>
            </w:pPr>
          </w:p>
        </w:tc>
        <w:tc>
          <w:tcPr>
            <w:tcW w:w="580" w:type="dxa"/>
            <w:vAlign w:val="bottom"/>
            <w:gridSpan w:val="2"/>
          </w:tcPr>
          <w:p>
            <w:pPr>
              <w:jc w:val="right"/>
              <w:ind w:right="99"/>
              <w:spacing w:after="0"/>
              <w:rPr>
                <w:sz w:val="20"/>
                <w:szCs w:val="20"/>
                <w:color w:val="auto"/>
              </w:rPr>
            </w:pPr>
            <w:r>
              <w:rPr>
                <w:rFonts w:ascii="Arial" w:cs="Arial" w:eastAsia="Arial" w:hAnsi="Arial"/>
                <w:sz w:val="16"/>
                <w:szCs w:val="16"/>
                <w:color w:val="auto"/>
              </w:rPr>
              <w:t>(4 )</w:t>
            </w:r>
          </w:p>
        </w:tc>
        <w:tc>
          <w:tcPr>
            <w:tcW w:w="8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(4 )</w:t>
            </w:r>
          </w:p>
        </w:tc>
        <w:tc>
          <w:tcPr>
            <w:tcW w:w="3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b w:val="1"/>
          <w:bCs w:val="1"/>
          <w:color w:val="auto"/>
        </w:rPr>
        <w:t>CONTEXTLOGIC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 millions)</w:t>
      </w:r>
    </w:p>
    <w:p>
      <w:pPr>
        <w:ind w:left="4960"/>
        <w:spacing w:after="0"/>
        <w:rPr>
          <w:sz w:val="20"/>
          <w:szCs w:val="20"/>
          <w:color w:val="auto"/>
        </w:rPr>
      </w:pPr>
      <w:r>
        <w:rPr>
          <w:rFonts w:ascii="Arial" w:cs="Arial" w:eastAsia="Arial" w:hAnsi="Arial"/>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8"/>
          </w:tcPr>
          <w:p>
            <w:pPr>
              <w:jc w:val="right"/>
              <w:ind w:right="1148"/>
              <w:spacing w:after="0"/>
              <w:rPr>
                <w:sz w:val="20"/>
                <w:szCs w:val="20"/>
                <w:color w:val="auto"/>
              </w:rPr>
            </w:pPr>
            <w:r>
              <w:rPr>
                <w:rFonts w:ascii="Arial" w:cs="Arial" w:eastAsia="Arial" w:hAnsi="Arial"/>
                <w:sz w:val="14"/>
                <w:szCs w:val="14"/>
                <w:b w:val="1"/>
                <w:bCs w:val="1"/>
                <w:color w:val="auto"/>
              </w:rPr>
              <w:t>Three Months Ended June 30, 2022</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1"/>
                <w:szCs w:val="11"/>
                <w:color w:val="auto"/>
              </w:rPr>
            </w:pPr>
          </w:p>
        </w:tc>
        <w:tc>
          <w:tcPr>
            <w:tcW w:w="1660" w:type="dxa"/>
            <w:vAlign w:val="bottom"/>
            <w:gridSpan w:val="2"/>
          </w:tcPr>
          <w:p>
            <w:pPr>
              <w:jc w:val="center"/>
              <w:ind w:right="408"/>
              <w:spacing w:after="0" w:line="12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66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6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2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Balances as of March 31, 2022</w:t>
            </w:r>
          </w:p>
        </w:tc>
        <w:tc>
          <w:tcPr>
            <w:tcW w:w="6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right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ind w:right="35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right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3,358</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(2,605</w:t>
            </w:r>
          </w:p>
        </w:tc>
        <w:tc>
          <w:tcPr>
            <w:tcW w:w="240" w:type="dxa"/>
            <w:vAlign w:val="bottom"/>
            <w:tcBorders>
              <w:left w:val="single" w:sz="8" w:color="CFF0FC"/>
              <w:right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200"/>
              <w:spacing w:after="0" w:line="135" w:lineRule="exact"/>
              <w:rPr>
                <w:sz w:val="20"/>
                <w:szCs w:val="20"/>
                <w:color w:val="auto"/>
              </w:rPr>
            </w:pPr>
            <w:r>
              <w:rPr>
                <w:rFonts w:ascii="Arial" w:cs="Arial" w:eastAsia="Arial" w:hAnsi="Arial"/>
                <w:sz w:val="14"/>
                <w:szCs w:val="14"/>
                <w:color w:val="auto"/>
              </w:rPr>
              <w:t>Issuance of common stock upon settlement of</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66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6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(3 )</w:t>
            </w:r>
          </w:p>
        </w:tc>
        <w:tc>
          <w:tcPr>
            <w:tcW w:w="4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(5 )</w:t>
            </w:r>
          </w:p>
        </w:tc>
        <w:tc>
          <w:tcPr>
            <w:tcW w:w="180" w:type="dxa"/>
            <w:vAlign w:val="bottom"/>
            <w:shd w:val="clear" w:color="auto" w:fill="CFF0FC"/>
          </w:tcPr>
          <w:p>
            <w:pPr>
              <w:spacing w:after="0"/>
              <w:rPr>
                <w:sz w:val="15"/>
                <w:szCs w:val="15"/>
                <w:color w:val="auto"/>
              </w:rPr>
            </w:pPr>
          </w:p>
        </w:tc>
        <w:tc>
          <w:tcPr>
            <w:tcW w:w="166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Arial" w:cs="Arial" w:eastAsia="Arial" w:hAnsi="Arial"/>
                <w:sz w:val="14"/>
                <w:szCs w:val="14"/>
                <w:color w:val="auto"/>
              </w:rPr>
              <w:t>Issuance of common stock through ESPP</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9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Arial" w:cs="Arial" w:eastAsia="Arial" w:hAnsi="Arial"/>
                <w:sz w:val="14"/>
                <w:szCs w:val="14"/>
                <w:color w:val="auto"/>
              </w:rPr>
              <w:t>Other comprehensive loss, net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60" w:type="dxa"/>
            <w:vAlign w:val="bottom"/>
            <w:gridSpan w:val="2"/>
          </w:tcPr>
          <w:p>
            <w:pPr>
              <w:jc w:val="right"/>
              <w:ind w:right="108"/>
              <w:spacing w:after="0"/>
              <w:rPr>
                <w:sz w:val="20"/>
                <w:szCs w:val="20"/>
                <w:color w:val="auto"/>
              </w:rPr>
            </w:pPr>
            <w:r>
              <w:rPr>
                <w:rFonts w:ascii="Arial" w:cs="Arial" w:eastAsia="Arial" w:hAnsi="Arial"/>
                <w:sz w:val="14"/>
                <w:szCs w:val="14"/>
                <w:color w:val="auto"/>
              </w:rPr>
              <w:t>(8 )</w:t>
            </w:r>
          </w:p>
        </w:tc>
        <w:tc>
          <w:tcPr>
            <w:tcW w:w="80" w:type="dxa"/>
            <w:vAlign w:val="bottom"/>
          </w:tcPr>
          <w:p>
            <w:pPr>
              <w:spacing w:after="0"/>
              <w:rPr>
                <w:sz w:val="15"/>
                <w:szCs w:val="15"/>
                <w:color w:val="auto"/>
              </w:rPr>
            </w:pPr>
          </w:p>
        </w:tc>
        <w:tc>
          <w:tcPr>
            <w:tcW w:w="12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76"/>
        </w:trPr>
        <w:tc>
          <w:tcPr>
            <w:tcW w:w="34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0"/>
        </w:trPr>
        <w:tc>
          <w:tcPr>
            <w:tcW w:w="34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ind w:left="20"/>
              <w:spacing w:after="0" w:line="155" w:lineRule="exact"/>
              <w:rPr>
                <w:sz w:val="20"/>
                <w:szCs w:val="20"/>
                <w:color w:val="auto"/>
              </w:rPr>
            </w:pPr>
            <w:r>
              <w:rPr>
                <w:rFonts w:ascii="Arial" w:cs="Arial" w:eastAsia="Arial" w:hAnsi="Arial"/>
                <w:sz w:val="14"/>
                <w:szCs w:val="14"/>
                <w:color w:val="auto"/>
              </w:rPr>
              <w:t>Balances as of June 30, 2022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670</w:t>
            </w:r>
          </w:p>
        </w:tc>
        <w:tc>
          <w:tcPr>
            <w:tcW w:w="240" w:type="dxa"/>
            <w:vAlign w:val="bottom"/>
          </w:tcPr>
          <w:p>
            <w:pPr>
              <w:spacing w:after="0"/>
              <w:rPr>
                <w:sz w:val="14"/>
                <w:szCs w:val="14"/>
                <w:color w:val="auto"/>
              </w:rPr>
            </w:pPr>
          </w:p>
        </w:tc>
        <w:tc>
          <w:tcPr>
            <w:tcW w:w="480" w:type="dxa"/>
            <w:vAlign w:val="bottom"/>
          </w:tcPr>
          <w:p>
            <w:pPr>
              <w:jc w:val="right"/>
              <w:ind w:right="355"/>
              <w:spacing w:after="0"/>
              <w:rPr>
                <w:sz w:val="20"/>
                <w:szCs w:val="20"/>
                <w:color w:val="auto"/>
              </w:rPr>
            </w:pPr>
            <w:r>
              <w:rPr>
                <w:rFonts w:ascii="Arial" w:cs="Arial" w:eastAsia="Arial" w:hAnsi="Arial"/>
                <w:sz w:val="10"/>
                <w:szCs w:val="10"/>
                <w:color w:val="auto"/>
                <w:w w:val="71"/>
              </w:rPr>
              <w:t>$</w:t>
            </w:r>
          </w:p>
        </w:tc>
        <w:tc>
          <w:tcPr>
            <w:tcW w:w="220" w:type="dxa"/>
            <w:vAlign w:val="bottom"/>
          </w:tcPr>
          <w:p>
            <w:pPr>
              <w:ind w:left="4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3,383</w:t>
            </w:r>
          </w:p>
        </w:tc>
        <w:tc>
          <w:tcPr>
            <w:tcW w:w="200" w:type="dxa"/>
            <w:vAlign w:val="bottom"/>
          </w:tcPr>
          <w:p>
            <w:pPr>
              <w:spacing w:after="0"/>
              <w:rPr>
                <w:sz w:val="14"/>
                <w:szCs w:val="14"/>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(6 )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(2,695 )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682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2022</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1"/>
                <w:szCs w:val="11"/>
                <w:color w:val="auto"/>
              </w:rPr>
            </w:pPr>
          </w:p>
        </w:tc>
        <w:tc>
          <w:tcPr>
            <w:tcW w:w="1660" w:type="dxa"/>
            <w:vAlign w:val="bottom"/>
            <w:gridSpan w:val="2"/>
          </w:tcPr>
          <w:p>
            <w:pPr>
              <w:jc w:val="center"/>
              <w:ind w:right="368"/>
              <w:spacing w:after="0" w:line="12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66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6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Balances as of December 31, 2021</w:t>
            </w:r>
          </w:p>
        </w:tc>
        <w:tc>
          <w:tcPr>
            <w:tcW w:w="6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658</w:t>
            </w:r>
          </w:p>
        </w:tc>
        <w:tc>
          <w:tcPr>
            <w:tcW w:w="240" w:type="dxa"/>
            <w:vAlign w:val="bottom"/>
            <w:tcBorders>
              <w:right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ind w:right="335"/>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right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3,360</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(2,545</w:t>
            </w:r>
          </w:p>
        </w:tc>
        <w:tc>
          <w:tcPr>
            <w:tcW w:w="240" w:type="dxa"/>
            <w:vAlign w:val="bottom"/>
            <w:tcBorders>
              <w:left w:val="single" w:sz="8" w:color="CFF0FC"/>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200"/>
              <w:spacing w:after="0" w:line="135" w:lineRule="exact"/>
              <w:rPr>
                <w:sz w:val="20"/>
                <w:szCs w:val="20"/>
                <w:color w:val="auto"/>
              </w:rPr>
            </w:pPr>
            <w:r>
              <w:rPr>
                <w:rFonts w:ascii="Arial" w:cs="Arial" w:eastAsia="Arial" w:hAnsi="Arial"/>
                <w:sz w:val="14"/>
                <w:szCs w:val="14"/>
                <w:color w:val="auto"/>
              </w:rPr>
              <w:t>Issuance of common stock upon exercise of</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6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rPr>
                <w:sz w:val="20"/>
                <w:szCs w:val="20"/>
                <w:color w:val="auto"/>
              </w:rPr>
            </w:pPr>
            <w:r>
              <w:rPr>
                <w:rFonts w:ascii="Arial" w:cs="Arial" w:eastAsia="Arial" w:hAnsi="Arial"/>
                <w:sz w:val="14"/>
                <w:szCs w:val="14"/>
                <w:color w:val="auto"/>
              </w:rPr>
              <w:t>options for cash</w:t>
            </w: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tcBorders>
              <w:right w:val="single" w:sz="8" w:color="CFF0FC"/>
            </w:tcBorders>
            <w:shd w:val="clear" w:color="auto" w:fill="CFF0FC"/>
          </w:tcPr>
          <w:p>
            <w:pPr>
              <w:ind w:left="200"/>
              <w:spacing w:after="0" w:line="135" w:lineRule="exact"/>
              <w:rPr>
                <w:sz w:val="20"/>
                <w:szCs w:val="20"/>
                <w:color w:val="auto"/>
              </w:rPr>
            </w:pPr>
            <w:r>
              <w:rPr>
                <w:rFonts w:ascii="Arial" w:cs="Arial" w:eastAsia="Arial" w:hAnsi="Arial"/>
                <w:sz w:val="14"/>
                <w:szCs w:val="14"/>
                <w:color w:val="auto"/>
              </w:rPr>
              <w:t>Issuance of common stock upon settlement of</w:t>
            </w: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4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tcBorders>
              <w:right w:val="single" w:sz="8" w:color="CFF0FC"/>
            </w:tcBorders>
            <w:vMerge w:val="restart"/>
            <w:shd w:val="clear" w:color="auto" w:fill="CFF0FC"/>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1"/>
                <w:szCs w:val="11"/>
                <w:color w:val="auto"/>
              </w:rPr>
            </w:pPr>
          </w:p>
        </w:tc>
        <w:tc>
          <w:tcPr>
            <w:tcW w:w="1660" w:type="dxa"/>
            <w:vAlign w:val="bottom"/>
            <w:tcBorders>
              <w:right w:val="single" w:sz="8" w:color="CFF0FC"/>
            </w:tcBorders>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1"/>
                <w:szCs w:val="11"/>
                <w:color w:val="auto"/>
              </w:rPr>
            </w:pPr>
          </w:p>
        </w:tc>
        <w:tc>
          <w:tcPr>
            <w:tcW w:w="1260" w:type="dxa"/>
            <w:vAlign w:val="bottom"/>
            <w:tcBorders>
              <w:right w:val="single" w:sz="8" w:color="CFF0FC"/>
            </w:tcBorders>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12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660" w:type="dxa"/>
            <w:vAlign w:val="bottom"/>
            <w:tcBorders>
              <w:right w:val="single" w:sz="8" w:color="CFF0FC"/>
            </w:tcBorders>
            <w:vMerge w:val="continue"/>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tcBorders>
              <w:right w:val="single" w:sz="8" w:color="CFF0FC"/>
            </w:tcBorders>
            <w:vMerge w:val="continue"/>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tcBorders>
              <w:right w:val="single" w:sz="8" w:color="CFF0FC"/>
            </w:tcBorders>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tcBorders>
              <w:right w:val="single" w:sz="8" w:color="CFF0FC"/>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Shares withheld related to net share settlement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(3 )</w:t>
            </w:r>
          </w:p>
        </w:tc>
        <w:tc>
          <w:tcPr>
            <w:tcW w:w="48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(5 )</w:t>
            </w: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76"/>
        </w:trPr>
        <w:tc>
          <w:tcPr>
            <w:tcW w:w="34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right w:val="single" w:sz="8" w:color="CFF0FC"/>
            </w:tcBorders>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tcBorders>
              <w:right w:val="single" w:sz="8" w:color="CFF0FC"/>
            </w:tcBorders>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660" w:type="dxa"/>
            <w:vAlign w:val="bottom"/>
            <w:tcBorders>
              <w:right w:val="single" w:sz="8" w:color="CFF0FC"/>
            </w:tcBorders>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(9 )</w:t>
            </w:r>
          </w:p>
        </w:tc>
        <w:tc>
          <w:tcPr>
            <w:tcW w:w="8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CFF0FC"/>
              <w:right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Balances as of June 30, 2022</w:t>
            </w:r>
          </w:p>
        </w:tc>
        <w:tc>
          <w:tcPr>
            <w:tcW w:w="660" w:type="dxa"/>
            <w:vAlign w:val="bottom"/>
            <w:tcBorders>
              <w:top w:val="single" w:sz="8" w:color="auto"/>
              <w:bottom w:val="single" w:sz="8" w:color="auto"/>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670</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35"/>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right w:val="single" w:sz="8" w:color="CFF0FC"/>
            </w:tcBorders>
            <w:shd w:val="clear" w:color="auto" w:fill="CFF0FC"/>
          </w:tcPr>
          <w:p>
            <w:pPr>
              <w:ind w:left="60"/>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3,383</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200" w:type="dxa"/>
            <w:vAlign w:val="bottom"/>
            <w:tcBorders>
              <w:bottom w:val="single" w:sz="8" w:color="CFF0FC"/>
              <w:right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(2,695</w:t>
            </w:r>
          </w:p>
        </w:tc>
        <w:tc>
          <w:tcPr>
            <w:tcW w:w="240" w:type="dxa"/>
            <w:vAlign w:val="bottom"/>
            <w:tcBorders>
              <w:left w:val="single" w:sz="8" w:color="CFF0FC"/>
              <w:bottom w:val="single" w:sz="8" w:color="CFF0FC"/>
              <w:right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-2056765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-2056765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-2056765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-2056765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-2056765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-2056765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-24765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67310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14" w:right="49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CONTEXTLOGIC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 millions)</w:t>
      </w:r>
    </w:p>
    <w:p>
      <w:pPr>
        <w:ind w:left="5020"/>
        <w:spacing w:after="0"/>
        <w:rPr>
          <w:sz w:val="20"/>
          <w:szCs w:val="20"/>
          <w:color w:val="auto"/>
        </w:rPr>
      </w:pPr>
      <w:r>
        <w:rPr>
          <w:rFonts w:ascii="Arial" w:cs="Arial" w:eastAsia="Arial" w:hAnsi="Arial"/>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0"/>
          </w:tcPr>
          <w:p>
            <w:pPr>
              <w:jc w:val="right"/>
              <w:ind w:right="1179"/>
              <w:spacing w:after="0"/>
              <w:rPr>
                <w:sz w:val="20"/>
                <w:szCs w:val="20"/>
                <w:color w:val="auto"/>
              </w:rPr>
            </w:pPr>
            <w:r>
              <w:rPr>
                <w:rFonts w:ascii="Arial" w:cs="Arial" w:eastAsia="Arial" w:hAnsi="Arial"/>
                <w:sz w:val="14"/>
                <w:szCs w:val="14"/>
                <w:b w:val="1"/>
                <w:bCs w:val="1"/>
                <w:color w:val="auto"/>
              </w:rPr>
              <w:t>Three Months Ended June 30, 2021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center"/>
              <w:ind w:right="328"/>
              <w:spacing w:after="0" w:line="12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(Loss) Income</w:t>
            </w:r>
          </w:p>
        </w:tc>
        <w:tc>
          <w:tcPr>
            <w:tcW w:w="80" w:type="dxa"/>
            <w:vAlign w:val="bottom"/>
          </w:tcPr>
          <w:p>
            <w:pPr>
              <w:spacing w:after="0"/>
              <w:rPr>
                <w:sz w:val="16"/>
                <w:szCs w:val="16"/>
                <w:color w:val="auto"/>
              </w:rPr>
            </w:pPr>
          </w:p>
        </w:tc>
        <w:tc>
          <w:tcPr>
            <w:tcW w:w="12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Balances as of March 31, 2021</w:t>
            </w: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618</w:t>
            </w:r>
          </w:p>
        </w:tc>
        <w:tc>
          <w:tcPr>
            <w:tcW w:w="24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3,243</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tcBorders>
              <w:top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(2,312</w:t>
            </w:r>
          </w:p>
        </w:tc>
        <w:tc>
          <w:tcPr>
            <w:tcW w:w="200" w:type="dxa"/>
            <w:vAlign w:val="bottom"/>
            <w:shd w:val="clear" w:color="auto" w:fill="CFF0FC"/>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930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00" w:type="dxa"/>
            <w:vAlign w:val="bottom"/>
          </w:tcPr>
          <w:p>
            <w:pPr>
              <w:ind w:left="140"/>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60" w:type="dxa"/>
            <w:vAlign w:val="bottom"/>
            <w:gridSpan w:val="2"/>
            <w:vMerge w:val="restart"/>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for cash</w:t>
            </w: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shd w:val="clear" w:color="auto" w:fill="CFF0FC"/>
          </w:tcPr>
          <w:p>
            <w:pPr>
              <w:spacing w:after="0"/>
              <w:rPr>
                <w:sz w:val="11"/>
                <w:szCs w:val="11"/>
                <w:color w:val="auto"/>
              </w:rPr>
            </w:pPr>
          </w:p>
        </w:tc>
        <w:tc>
          <w:tcPr>
            <w:tcW w:w="3500" w:type="dxa"/>
            <w:vAlign w:val="bottom"/>
            <w:shd w:val="clear" w:color="auto" w:fill="CFF0FC"/>
          </w:tcPr>
          <w:p>
            <w:pPr>
              <w:ind w:left="140"/>
              <w:spacing w:after="0" w:line="135" w:lineRule="exact"/>
              <w:rPr>
                <w:sz w:val="20"/>
                <w:szCs w:val="20"/>
                <w:color w:val="auto"/>
              </w:rPr>
            </w:pPr>
            <w:r>
              <w:rPr>
                <w:rFonts w:ascii="Arial" w:cs="Arial" w:eastAsia="Arial" w:hAnsi="Arial"/>
                <w:sz w:val="14"/>
                <w:szCs w:val="14"/>
                <w:color w:val="auto"/>
              </w:rPr>
              <w:t>Issuance of common stock upon settlement of</w:t>
            </w: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60" w:type="dxa"/>
            <w:vAlign w:val="bottom"/>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1"/>
                <w:szCs w:val="11"/>
                <w:color w:val="auto"/>
              </w:rPr>
            </w:pPr>
          </w:p>
        </w:tc>
        <w:tc>
          <w:tcPr>
            <w:tcW w:w="126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128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 w:type="dxa"/>
            <w:vAlign w:val="bottom"/>
            <w:shd w:val="clear" w:color="auto" w:fill="CFF0FC"/>
          </w:tcPr>
          <w:p>
            <w:pPr>
              <w:spacing w:after="0"/>
              <w:rPr>
                <w:sz w:val="16"/>
                <w:szCs w:val="16"/>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restricted stock units</w:t>
            </w:r>
          </w:p>
        </w:tc>
        <w:tc>
          <w:tcPr>
            <w:tcW w:w="6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Net exercises of common stock warrant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 w:type="dxa"/>
            <w:vAlign w:val="bottom"/>
            <w:shd w:val="clear" w:color="auto" w:fill="CFF0FC"/>
          </w:tcPr>
          <w:p>
            <w:pPr>
              <w:spacing w:after="0"/>
              <w:rPr>
                <w:sz w:val="15"/>
                <w:szCs w:val="15"/>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Issuance of common stock through ESPP</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shd w:val="clear" w:color="auto" w:fill="CFF0FC"/>
          </w:tcPr>
          <w:p>
            <w:pPr>
              <w:spacing w:after="0"/>
              <w:rPr>
                <w:sz w:val="15"/>
                <w:szCs w:val="15"/>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comprehensive gain, net</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19"/>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Balances as of June 30, 2021</w:t>
            </w:r>
          </w:p>
        </w:tc>
        <w:tc>
          <w:tcPr>
            <w:tcW w:w="6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627</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3,285</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(2,423</w:t>
            </w:r>
          </w:p>
        </w:tc>
        <w:tc>
          <w:tcPr>
            <w:tcW w:w="2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862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center"/>
              <w:ind w:right="328"/>
              <w:spacing w:after="0" w:line="12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2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as of December 31, 2020</w:t>
            </w:r>
          </w:p>
        </w:tc>
        <w:tc>
          <w:tcPr>
            <w:tcW w:w="2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587</w:t>
            </w:r>
          </w:p>
        </w:tc>
        <w:tc>
          <w:tcPr>
            <w:tcW w:w="24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3,210</w:t>
            </w:r>
          </w:p>
        </w:tc>
        <w:tc>
          <w:tcPr>
            <w:tcW w:w="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(2,184</w:t>
            </w:r>
          </w:p>
        </w:tc>
        <w:tc>
          <w:tcPr>
            <w:tcW w:w="200" w:type="dxa"/>
            <w:vAlign w:val="bottom"/>
            <w:shd w:val="clear" w:color="auto" w:fill="CFF0FC"/>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00" w:type="dxa"/>
            <w:vAlign w:val="bottom"/>
          </w:tcPr>
          <w:p>
            <w:pPr>
              <w:ind w:left="200"/>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60" w:type="dxa"/>
            <w:vAlign w:val="bottom"/>
            <w:gridSpan w:val="2"/>
            <w:vMerge w:val="restart"/>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for cash</w:t>
            </w: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00" w:type="dxa"/>
            <w:vAlign w:val="bottom"/>
            <w:shd w:val="clear" w:color="auto" w:fill="CFF0FC"/>
          </w:tcPr>
          <w:p>
            <w:pPr>
              <w:ind w:left="200"/>
              <w:spacing w:after="0" w:line="135" w:lineRule="exact"/>
              <w:rPr>
                <w:sz w:val="20"/>
                <w:szCs w:val="20"/>
                <w:color w:val="auto"/>
              </w:rPr>
            </w:pPr>
            <w:r>
              <w:rPr>
                <w:rFonts w:ascii="Arial" w:cs="Arial" w:eastAsia="Arial" w:hAnsi="Arial"/>
                <w:sz w:val="14"/>
                <w:szCs w:val="14"/>
                <w:color w:val="auto"/>
              </w:rPr>
              <w:t>Issuance of common stock upon settlement of</w:t>
            </w: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gridSpan w:val="2"/>
            <w:vMerge w:val="restart"/>
            <w:shd w:val="clear" w:color="auto" w:fill="CFF0FC"/>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(5 )</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60" w:type="dxa"/>
            <w:vAlign w:val="bottom"/>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1"/>
                <w:szCs w:val="11"/>
                <w:color w:val="auto"/>
              </w:rPr>
            </w:pPr>
          </w:p>
        </w:tc>
        <w:tc>
          <w:tcPr>
            <w:tcW w:w="1260" w:type="dxa"/>
            <w:vAlign w:val="bottom"/>
            <w:gridSpan w:val="2"/>
            <w:vMerge w:val="restart"/>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122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(5 )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6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tcBorders>
              <w:right w:val="single" w:sz="8" w:color="CFF0FC"/>
            </w:tcBorders>
            <w:gridSpan w:val="2"/>
            <w:vMerge w:val="continue"/>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Net exercises of common stock warrant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 through ESPP</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 net</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(1 )</w:t>
            </w: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19"/>
              <w:spacing w:after="0"/>
              <w:rPr>
                <w:sz w:val="20"/>
                <w:szCs w:val="20"/>
                <w:color w:val="auto"/>
              </w:rPr>
            </w:pPr>
            <w:r>
              <w:rPr>
                <w:rFonts w:ascii="Arial" w:cs="Arial" w:eastAsia="Arial" w:hAnsi="Arial"/>
                <w:sz w:val="14"/>
                <w:szCs w:val="14"/>
                <w:color w:val="auto"/>
              </w:rPr>
              <w:t>(239 )</w:t>
            </w:r>
          </w:p>
        </w:tc>
        <w:tc>
          <w:tcPr>
            <w:tcW w:w="1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(239 )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Balances as of June 30, 2021</w:t>
            </w:r>
          </w:p>
        </w:tc>
        <w:tc>
          <w:tcPr>
            <w:tcW w:w="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627</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FF0FC"/>
          </w:tcPr>
          <w:p>
            <w:pPr>
              <w:ind w:left="60"/>
              <w:spacing w:after="0" w:line="155" w:lineRule="exact"/>
              <w:rPr>
                <w:sz w:val="20"/>
                <w:szCs w:val="20"/>
                <w:color w:val="auto"/>
              </w:rPr>
            </w:pPr>
            <w:r>
              <w:rPr>
                <w:rFonts w:ascii="Arial" w:cs="Arial" w:eastAsia="Arial" w:hAnsi="Arial"/>
                <w:sz w:val="14"/>
                <w:szCs w:val="14"/>
                <w:color w:val="auto"/>
                <w:w w:val="99"/>
              </w:rPr>
              <w:t>—</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3,285</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(2,423</w:t>
            </w:r>
          </w:p>
        </w:tc>
        <w:tc>
          <w:tcPr>
            <w:tcW w:w="2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862</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-1962150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-1945005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-1962150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-1945005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-1962150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-1945005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-1962150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-1945005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-1962150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-1945005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-1962150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-1945005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6889750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6889750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67310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tcPr>
          <w:p>
            <w:pPr>
              <w:spacing w:after="0"/>
              <w:rPr>
                <w:sz w:val="17"/>
                <w:szCs w:val="17"/>
                <w:color w:val="auto"/>
              </w:rPr>
            </w:pPr>
          </w:p>
        </w:tc>
        <w:tc>
          <w:tcPr>
            <w:tcW w:w="25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81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(150 )</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(239 )</w:t>
            </w:r>
          </w:p>
        </w:tc>
      </w:tr>
      <w:tr>
        <w:trPr>
          <w:trHeight w:val="148"/>
        </w:trPr>
        <w:tc>
          <w:tcPr>
            <w:tcW w:w="8140" w:type="dxa"/>
            <w:vAlign w:val="bottom"/>
            <w:shd w:val="clear" w:color="auto" w:fill="CFF0FC"/>
          </w:tcPr>
          <w:p>
            <w:pPr>
              <w:ind w:left="200"/>
              <w:spacing w:after="0" w:line="148" w:lineRule="exact"/>
              <w:rPr>
                <w:sz w:val="20"/>
                <w:szCs w:val="20"/>
                <w:color w:val="auto"/>
              </w:rPr>
            </w:pPr>
            <w:r>
              <w:rPr>
                <w:rFonts w:ascii="Arial" w:cs="Arial" w:eastAsia="Arial" w:hAnsi="Arial"/>
                <w:sz w:val="16"/>
                <w:szCs w:val="16"/>
                <w:color w:val="auto"/>
              </w:rPr>
              <w:t>Adjustments to reconcile net loss to net cash provided by used in operating</w:t>
            </w:r>
          </w:p>
        </w:tc>
        <w:tc>
          <w:tcPr>
            <w:tcW w:w="8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activities:</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Noncash inventory write downs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r>
      <w:tr>
        <w:trPr>
          <w:trHeight w:val="202"/>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lease assets and property and equipment</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(1 )</w:t>
            </w: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(1 )</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Funds receivable</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Prepaid expenses, other current and noncurrent assets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(12 )</w:t>
            </w: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(179 )</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Merchants payable</w:t>
            </w:r>
          </w:p>
        </w:tc>
        <w:tc>
          <w:tcPr>
            <w:tcW w:w="840" w:type="dxa"/>
            <w:vAlign w:val="bottom"/>
          </w:tcPr>
          <w:p>
            <w:pPr>
              <w:spacing w:after="0"/>
              <w:rPr>
                <w:sz w:val="17"/>
                <w:szCs w:val="17"/>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(52 )</w:t>
            </w:r>
          </w:p>
        </w:tc>
        <w:tc>
          <w:tcPr>
            <w:tcW w:w="9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(141 )</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and refund liabilities</w:t>
            </w: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(42 )</w:t>
            </w: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(136 )</w:t>
            </w: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Lease liabilities</w:t>
            </w:r>
          </w:p>
        </w:tc>
        <w:tc>
          <w:tcPr>
            <w:tcW w:w="840" w:type="dxa"/>
            <w:vAlign w:val="bottom"/>
          </w:tcPr>
          <w:p>
            <w:pPr>
              <w:spacing w:after="0"/>
              <w:rPr>
                <w:sz w:val="17"/>
                <w:szCs w:val="17"/>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(4 )</w:t>
            </w:r>
          </w:p>
        </w:tc>
        <w:tc>
          <w:tcPr>
            <w:tcW w:w="9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(2 )</w:t>
            </w: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(17 )</w:t>
            </w:r>
          </w:p>
        </w:tc>
      </w:tr>
      <w:tr>
        <w:trPr>
          <w:trHeight w:val="20"/>
        </w:trPr>
        <w:tc>
          <w:tcPr>
            <w:tcW w:w="8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840" w:type="dxa"/>
            <w:vAlign w:val="bottom"/>
          </w:tcPr>
          <w:p>
            <w:pPr>
              <w:spacing w:after="0"/>
              <w:rPr>
                <w:sz w:val="17"/>
                <w:szCs w:val="17"/>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(213 )</w:t>
            </w:r>
          </w:p>
        </w:tc>
        <w:tc>
          <w:tcPr>
            <w:tcW w:w="9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(558 )</w:t>
            </w: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Purchases of property and equipment and development of internal use software</w:t>
            </w:r>
          </w:p>
        </w:tc>
        <w:tc>
          <w:tcPr>
            <w:tcW w:w="840" w:type="dxa"/>
            <w:vAlign w:val="bottom"/>
          </w:tcPr>
          <w:p>
            <w:pPr>
              <w:spacing w:after="0"/>
              <w:rPr>
                <w:sz w:val="17"/>
                <w:szCs w:val="17"/>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(2 )</w:t>
            </w:r>
          </w:p>
        </w:tc>
        <w:tc>
          <w:tcPr>
            <w:tcW w:w="9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marketable securities</w:t>
            </w: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(226 )</w:t>
            </w: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(124 )</w:t>
            </w:r>
          </w:p>
        </w:tc>
      </w:tr>
      <w:tr>
        <w:trPr>
          <w:trHeight w:val="203"/>
        </w:trPr>
        <w:tc>
          <w:tcPr>
            <w:tcW w:w="81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Maturities of marketable securities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FF0FC"/>
            </w:tcBorders>
          </w:tcPr>
          <w:p>
            <w:pPr>
              <w:spacing w:after="0"/>
              <w:rPr>
                <w:sz w:val="17"/>
                <w:szCs w:val="17"/>
                <w:color w:val="auto"/>
              </w:rPr>
            </w:pPr>
          </w:p>
        </w:tc>
      </w:tr>
      <w:tr>
        <w:trPr>
          <w:trHeight w:val="196"/>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common stock through employee equity incentive plans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6"/>
                <w:szCs w:val="16"/>
                <w:color w:val="auto"/>
              </w:rPr>
              <w:t>Payment of taxes related to RSU settlement</w:t>
            </w:r>
          </w:p>
        </w:tc>
        <w:tc>
          <w:tcPr>
            <w:tcW w:w="840" w:type="dxa"/>
            <w:vAlign w:val="bottom"/>
          </w:tcPr>
          <w:p>
            <w:pPr>
              <w:spacing w:after="0"/>
              <w:rPr>
                <w:sz w:val="17"/>
                <w:szCs w:val="17"/>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(5 )</w:t>
            </w:r>
          </w:p>
        </w:tc>
        <w:tc>
          <w:tcPr>
            <w:tcW w:w="9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03"/>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8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840" w:type="dxa"/>
            <w:vAlign w:val="bottom"/>
          </w:tcPr>
          <w:p>
            <w:pPr>
              <w:spacing w:after="0"/>
              <w:rPr>
                <w:sz w:val="17"/>
                <w:szCs w:val="17"/>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(4 )</w:t>
            </w:r>
          </w:p>
        </w:tc>
        <w:tc>
          <w:tcPr>
            <w:tcW w:w="980" w:type="dxa"/>
            <w:vAlign w:val="bottom"/>
          </w:tcPr>
          <w:p>
            <w:pPr>
              <w:spacing w:after="0"/>
              <w:rPr>
                <w:sz w:val="17"/>
                <w:szCs w:val="17"/>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effects on cash, cash equivalents and restricted cash</w:t>
            </w: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(9 )</w:t>
            </w: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8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840" w:type="dxa"/>
            <w:vAlign w:val="bottom"/>
          </w:tcPr>
          <w:p>
            <w:pPr>
              <w:spacing w:after="0"/>
              <w:rPr>
                <w:sz w:val="17"/>
                <w:szCs w:val="17"/>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(317 )</w:t>
            </w:r>
          </w:p>
        </w:tc>
        <w:tc>
          <w:tcPr>
            <w:tcW w:w="9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(560 )</w:t>
            </w:r>
          </w:p>
        </w:tc>
      </w:tr>
      <w:tr>
        <w:trPr>
          <w:trHeight w:val="203"/>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140" w:type="dxa"/>
            <w:vAlign w:val="bottom"/>
            <w:shd w:val="clear" w:color="auto" w:fill="CFF0FC"/>
          </w:tcPr>
          <w:p>
            <w:pPr>
              <w:ind w:left="20"/>
              <w:spacing w:after="0" w:line="129" w:lineRule="exact"/>
              <w:rPr>
                <w:sz w:val="20"/>
                <w:szCs w:val="20"/>
                <w:color w:val="auto"/>
              </w:rPr>
            </w:pPr>
            <w:r>
              <w:rPr>
                <w:rFonts w:ascii="Arial" w:cs="Arial" w:eastAsia="Arial" w:hAnsi="Arial"/>
                <w:sz w:val="14"/>
                <w:szCs w:val="14"/>
                <w:b w:val="1"/>
                <w:bCs w:val="1"/>
                <w:color w:val="auto"/>
              </w:rPr>
              <w:t>Reconciliation of cash, cash equivalents, and restricted cash to the condensed consolidated balance</w:t>
            </w:r>
          </w:p>
        </w:tc>
        <w:tc>
          <w:tcPr>
            <w:tcW w:w="8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sheets:</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693</w:t>
            </w:r>
          </w:p>
        </w:tc>
        <w:tc>
          <w:tcPr>
            <w:tcW w:w="240" w:type="dxa"/>
            <w:vAlign w:val="bottom"/>
          </w:tcPr>
          <w:p>
            <w:pPr>
              <w:spacing w:after="0"/>
              <w:rPr>
                <w:sz w:val="17"/>
                <w:szCs w:val="17"/>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 included in prepaid and other current assets in the condensed consolidated balance sheets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96"/>
        </w:trPr>
        <w:tc>
          <w:tcPr>
            <w:tcW w:w="81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Borders>
              <w:top w:val="single" w:sz="8" w:color="CFF0FC"/>
            </w:tcBorders>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9"/>
        </w:trPr>
        <w:tc>
          <w:tcPr>
            <w:tcW w:w="8140" w:type="dxa"/>
            <w:vAlign w:val="bottom"/>
          </w:tcPr>
          <w:p>
            <w:pPr>
              <w:ind w:left="200"/>
              <w:spacing w:after="0"/>
              <w:rPr>
                <w:sz w:val="20"/>
                <w:szCs w:val="20"/>
                <w:color w:val="auto"/>
              </w:rPr>
            </w:pPr>
            <w:r>
              <w:rPr>
                <w:rFonts w:ascii="Arial" w:cs="Arial" w:eastAsia="Arial" w:hAnsi="Arial"/>
                <w:sz w:val="16"/>
                <w:szCs w:val="16"/>
                <w:color w:val="auto"/>
              </w:rPr>
              <w:t>Cash paid for income taxes, net of refunds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-2915920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-2915920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-2264410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-2264410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-1612900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-1612900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-1346835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-1346835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-1081405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-1081405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-429895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-429895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160"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8"/>
          <w:szCs w:val="18"/>
          <w:color w:val="auto"/>
        </w:rPr>
        <w:t>ContextLogic Inc. (“Wish” or the “Company”) is an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03" w:lineRule="exact"/>
        <w:rPr>
          <w:sz w:val="20"/>
          <w:szCs w:val="20"/>
          <w:color w:val="auto"/>
        </w:rPr>
      </w:pPr>
    </w:p>
    <w:p>
      <w:pPr>
        <w:jc w:val="both"/>
        <w:ind w:right="20" w:firstLine="636"/>
        <w:spacing w:after="0" w:line="292"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additional operations in Canada, China and the Netherlands.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5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financial data as of June 30, 2022 and for the six months ended June 30, 2022 and June 30, 2021 is unaudited. In the opinion of management, the interim financial data includes all adjustments, consisting only of normal recurring adjustments, necessary to a fair statement of the results for the interim periods. The consolidated balance sheet as of December 31, 2021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2021, which was filed with the SEC on March 14, 2022 (the “2021 Form 10-K”).</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 As of June 30, 2022,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Company manages its operations and allocates resources as a single operating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 reportable segment.</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44" w:lineRule="exact"/>
        <w:rPr>
          <w:sz w:val="20"/>
          <w:szCs w:val="20"/>
          <w:color w:val="auto"/>
        </w:rPr>
      </w:pPr>
    </w:p>
    <w:p>
      <w:pPr>
        <w:jc w:val="both"/>
        <w:ind w:right="20" w:firstLine="636"/>
        <w:spacing w:after="0" w:line="247"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and marketable securities. The Company’s cash and cash equivalents are held on deposit with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creditworthy institutions. Although the Company’s deposits exceed federally insured limits, the Company has not experienced any losses in such accounts. The Company invests its excess cash in money market accounts, U.S. Treasury notes, U.S. Treasury bills, commercial</w:t>
      </w:r>
    </w:p>
    <w:p>
      <w:pPr>
        <w:spacing w:after="0" w:line="236" w:lineRule="auto"/>
        <w:rPr>
          <w:sz w:val="20"/>
          <w:szCs w:val="20"/>
          <w:color w:val="auto"/>
        </w:rPr>
      </w:pPr>
      <w:r>
        <w:rPr>
          <w:rFonts w:ascii="Arial" w:cs="Arial" w:eastAsia="Arial" w:hAnsi="Arial"/>
          <w:sz w:val="18"/>
          <w:szCs w:val="18"/>
          <w:color w:val="auto"/>
        </w:rPr>
        <w:t>paper, corporate bonds, and non-U.S. government securities. The Company is exposed to credit risk in the event of a default by the financial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institutions holding its cash, cash equivalents and marketable securities for the amounts reflected on the condensed consolidated balance sheets. The Company’s investment policy limits investments to certain types of debt securities issued by the U.S. government, its agencies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institutions with investment-grade credit ratings and places restrictions on maturities and concentration by type and issuer.</w:t>
      </w:r>
    </w:p>
    <w:p>
      <w:pPr>
        <w:spacing w:after="0" w:line="13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balance in these accounts represented approximately 17% and 15% of the Company’s total cash and cash equivalents as of June 30, 2022 and December 31, 2021,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1" w:name="page12"/>
    <w:bookmarkEnd w:id="11"/>
    <w:p>
      <w:pPr>
        <w:jc w:val="both"/>
        <w:ind w:right="60" w:firstLine="644"/>
        <w:spacing w:after="0" w:line="247"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136" w:lineRule="exact"/>
        <w:rPr>
          <w:sz w:val="20"/>
          <w:szCs w:val="20"/>
          <w:color w:val="auto"/>
        </w:rPr>
      </w:pPr>
    </w:p>
    <w:p>
      <w:pPr>
        <w:ind w:right="80" w:firstLine="636"/>
        <w:spacing w:after="0" w:line="239" w:lineRule="auto"/>
        <w:rPr>
          <w:sz w:val="20"/>
          <w:szCs w:val="20"/>
          <w:color w:val="auto"/>
        </w:rPr>
      </w:pPr>
      <w:r>
        <w:rPr>
          <w:rFonts w:ascii="Arial" w:cs="Arial" w:eastAsia="Arial" w:hAnsi="Arial"/>
          <w:sz w:val="18"/>
          <w:szCs w:val="18"/>
          <w:color w:val="auto"/>
        </w:rPr>
        <w:t>The Company is exposed to credit risk in the event of a default by its Payment Service Providers (“PSPs”). The Company does not generate revenue from PSPs. Significant changes in the Company’s relationship with its PSPs could adversely affect users’ ability to process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transactions on the Company’s marketplaces, thereby impacting the Company’s operating results.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28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8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187"/>
        </w:trPr>
        <w:tc>
          <w:tcPr>
            <w:tcW w:w="7520" w:type="dxa"/>
            <w:vAlign w:val="bottom"/>
          </w:tcPr>
          <w:p>
            <w:pPr>
              <w:ind w:left="20"/>
              <w:spacing w:after="0" w:line="187" w:lineRule="exact"/>
              <w:rPr>
                <w:sz w:val="20"/>
                <w:szCs w:val="20"/>
                <w:color w:val="auto"/>
              </w:rPr>
            </w:pPr>
            <w:r>
              <w:rPr>
                <w:rFonts w:ascii="Arial" w:cs="Arial" w:eastAsia="Arial" w:hAnsi="Arial"/>
                <w:sz w:val="18"/>
                <w:szCs w:val="18"/>
                <w:color w:val="auto"/>
              </w:rPr>
              <w:t>PSP 1</w:t>
            </w:r>
          </w:p>
        </w:tc>
        <w:tc>
          <w:tcPr>
            <w:tcW w:w="1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55</w:t>
            </w:r>
          </w:p>
        </w:tc>
        <w:tc>
          <w:tcPr>
            <w:tcW w:w="280" w:type="dxa"/>
            <w:vAlign w:val="bottom"/>
          </w:tcPr>
          <w:p>
            <w:pPr>
              <w:jc w:val="right"/>
              <w:ind w:right="10"/>
              <w:spacing w:after="0" w:line="187" w:lineRule="exact"/>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62</w:t>
            </w:r>
          </w:p>
        </w:tc>
        <w:tc>
          <w:tcPr>
            <w:tcW w:w="160" w:type="dxa"/>
            <w:vAlign w:val="bottom"/>
          </w:tcPr>
          <w:p>
            <w:pPr>
              <w:jc w:val="right"/>
              <w:spacing w:after="0" w:line="187" w:lineRule="exact"/>
              <w:rPr>
                <w:sz w:val="20"/>
                <w:szCs w:val="20"/>
                <w:color w:val="auto"/>
              </w:rPr>
            </w:pPr>
            <w:r>
              <w:rPr>
                <w:rFonts w:ascii="Arial" w:cs="Arial" w:eastAsia="Arial" w:hAnsi="Arial"/>
                <w:sz w:val="18"/>
                <w:szCs w:val="18"/>
                <w:color w:val="auto"/>
                <w:w w:val="87"/>
              </w:rPr>
              <w:t>%</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PSP 2</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37 %</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2"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service could be significantly interrupted, resulting in an adverse effect on its operating results and financial position. No significant interruptions of service were known to have occurred during the three and six months ended June 30, 2022 and 2021.</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58" w:lineRule="exact"/>
        <w:rPr>
          <w:sz w:val="20"/>
          <w:szCs w:val="20"/>
          <w:color w:val="auto"/>
        </w:rPr>
      </w:pPr>
    </w:p>
    <w:p>
      <w:pPr>
        <w:ind w:right="60" w:firstLine="636"/>
        <w:spacing w:after="0" w:line="260" w:lineRule="auto"/>
        <w:rPr>
          <w:sz w:val="20"/>
          <w:szCs w:val="20"/>
          <w:color w:val="auto"/>
        </w:rPr>
      </w:pPr>
      <w:r>
        <w:rPr>
          <w:rFonts w:ascii="Arial" w:cs="Arial" w:eastAsia="Arial" w:hAnsi="Arial"/>
          <w:sz w:val="18"/>
          <w:szCs w:val="18"/>
          <w:color w:val="auto"/>
        </w:rPr>
        <w:t>There have been no changes to the Company’s significant accounting policies described in its 2021 Form 10-K, filed with the SEC on March 14, 2022, that have had a material impact on its condensed consolidated financial statements.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58" w:lineRule="exact"/>
        <w:rPr>
          <w:sz w:val="20"/>
          <w:szCs w:val="20"/>
          <w:color w:val="auto"/>
        </w:rPr>
      </w:pPr>
    </w:p>
    <w:p>
      <w:pPr>
        <w:ind w:right="60" w:firstLine="636"/>
        <w:spacing w:after="0" w:line="260"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condensed consolidated financial statements as a result of future adoption.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60"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The Company generates revenue from marketplace and logistics services provided to its customers. Revenue is recognized as the Company transfers control of promised goods or services to its customers in an amount that reflects the consideration the Company expects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to be entitled to in exchange for those goods or services. The Company considers both the merchant and the user to be customers. The Company evaluates whether it is appropriate to recognize revenue on a gross or net basis based upon its evaluation of whether the</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Company obtains control of the specified goods or services by considering if it is primarily responsible for fulfillment of the promise, has inventory risk and has latitude in establishing pricing and selecting suppliers, among other factors. Based on these factors, marketplace</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revenue is generally recognized on a net basis and logistics revenue is generally recognized on a gross basis. Revenue excludes any amounts collected on behalf of third parties, including indirect taxes.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provides a mix of marketplace services to its customers. The Company provides merchants access to its marketplace</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where merchants display and sell their products to users. The Company also provides ProductBoost services to help merchants promote their products within the Company’s marketplace.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w:t>
      </w:r>
    </w:p>
    <w:p>
      <w:pPr>
        <w:spacing w:after="0" w:line="18"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commission fees vary depending on factors such as user location, demand, product type, and dynamic pricing. The Company recognizes revenue when a user’s order is processed and the related order information has been made available to the merchant. Commission fees are</w:t>
      </w:r>
    </w:p>
    <w:p>
      <w:pPr>
        <w:spacing w:after="0" w:line="236" w:lineRule="auto"/>
        <w:rPr>
          <w:sz w:val="20"/>
          <w:szCs w:val="20"/>
          <w:color w:val="auto"/>
        </w:rPr>
      </w:pPr>
      <w:r>
        <w:rPr>
          <w:rFonts w:ascii="Arial" w:cs="Arial" w:eastAsia="Arial" w:hAnsi="Arial"/>
          <w:sz w:val="18"/>
          <w:szCs w:val="18"/>
          <w:color w:val="auto"/>
        </w:rPr>
        <w:t>recognized net of estimated refunds and chargebacks. Marketplace revenue also includes ProductBoost revenue for displaying a merchant’s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selected products in preferential locations within the Company’s marketplace. Effective May 2022, the Company recognizes revenue based on the number of actions, such as clicks, on the Merchant’s product listing. Prior to the transition, the Company recognized revenue when the</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merchants’ selected products were displayed. The Company refers to its marketplace revenue, excluding ProductBoost revenue, as its core marketplace revenue.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8" w:right="27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69"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03"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8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41"/>
        </w:trPr>
        <w:tc>
          <w:tcPr>
            <w:tcW w:w="44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Core marketplace revenue</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6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7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ProductBoost revenue</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w:t>
            </w: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Logistics revenue</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r>
      <w:tr>
        <w:trPr>
          <w:trHeight w:val="250"/>
        </w:trPr>
        <w:tc>
          <w:tcPr>
            <w:tcW w:w="4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3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-24765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Geographical Information for the disaggregated revenue by geographical location.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60"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2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3" w:name="page14"/>
    <w:bookmarkEnd w:id="13"/>
    <w:p>
      <w:pPr>
        <w:jc w:val="both"/>
        <w:ind w:firstLine="644"/>
        <w:spacing w:after="0" w:line="292"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 2022</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1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w:t>
            </w:r>
          </w:p>
        </w:tc>
        <w:tc>
          <w:tcPr>
            <w:tcW w:w="9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185</w:t>
            </w:r>
          </w:p>
        </w:tc>
        <w:tc>
          <w:tcPr>
            <w:tcW w:w="11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Non-U.S. government</w:t>
            </w:r>
          </w:p>
        </w:tc>
        <w:tc>
          <w:tcPr>
            <w:tcW w:w="7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254</w:t>
            </w:r>
          </w:p>
        </w:tc>
        <w:tc>
          <w:tcPr>
            <w:tcW w:w="1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and other current assets:</w:t>
            </w:r>
          </w:p>
        </w:tc>
        <w:tc>
          <w:tcPr>
            <w:tcW w:w="7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financial assets</w:t>
            </w: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279</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financial liabilities</w:t>
            </w: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-1182370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-1182370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-1182370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-607695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-590550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-607695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-590550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-607695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-590550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Non-U.S. government</w:t>
            </w:r>
          </w:p>
        </w:tc>
        <w:tc>
          <w:tcPr>
            <w:tcW w:w="7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167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and other current assets:</w:t>
            </w:r>
          </w:p>
        </w:tc>
        <w:tc>
          <w:tcPr>
            <w:tcW w:w="7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5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financial assets</w:t>
            </w: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184</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50"/>
        </w:trPr>
        <w:tc>
          <w:tcPr>
            <w:tcW w:w="5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financial liabilities</w:t>
            </w: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-1182370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-1182370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-1182370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-607695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-590550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-607695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-590550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-607695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-590550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4"/>
          </w:tcPr>
          <w:p>
            <w:pPr>
              <w:jc w:val="right"/>
              <w:ind w:right="933"/>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r>
      <w:tr>
        <w:trPr>
          <w:trHeight w:val="241"/>
        </w:trPr>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58"/>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70"/>
              <w:spacing w:after="0" w:line="157" w:lineRule="exact"/>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33"/>
              <w:spacing w:after="0" w:line="157" w:lineRule="exact"/>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10"/>
              <w:spacing w:after="0" w:line="157" w:lineRule="exact"/>
              <w:rPr>
                <w:sz w:val="20"/>
                <w:szCs w:val="20"/>
                <w:color w:val="auto"/>
              </w:rPr>
            </w:pPr>
            <w:r>
              <w:rPr>
                <w:rFonts w:ascii="Arial" w:cs="Arial" w:eastAsia="Arial" w:hAnsi="Arial"/>
                <w:sz w:val="18"/>
                <w:szCs w:val="18"/>
                <w:b w:val="1"/>
                <w:bCs w:val="1"/>
                <w:color w:val="auto"/>
              </w:rPr>
              <w:t>Amortized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0"/>
              <w:spacing w:after="0" w:line="157"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3"/>
                <w:szCs w:val="13"/>
                <w:color w:val="auto"/>
              </w:rPr>
            </w:pPr>
          </w:p>
        </w:tc>
      </w:tr>
      <w:tr>
        <w:trPr>
          <w:trHeight w:val="241"/>
        </w:trPr>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4"/>
          </w:tcPr>
          <w:p>
            <w:pPr>
              <w:jc w:val="right"/>
              <w:ind w:right="89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50"/>
        </w:trPr>
        <w:tc>
          <w:tcPr>
            <w:tcW w:w="53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June 30, 2022 and December 31, 2021, respectively, were insignificant.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6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0"/>
        </w:trPr>
        <w:tc>
          <w:tcPr>
            <w:tcW w:w="756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56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5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r>
      <w:tr>
        <w:trPr>
          <w:trHeight w:val="260"/>
        </w:trPr>
        <w:tc>
          <w:tcPr>
            <w:tcW w:w="7560" w:type="dxa"/>
            <w:vAlign w:val="bottom"/>
          </w:tcPr>
          <w:p>
            <w:pPr>
              <w:spacing w:after="0"/>
              <w:rPr>
                <w:sz w:val="22"/>
                <w:szCs w:val="22"/>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10"/>
              <w:spacing w:after="0" w:line="260" w:lineRule="exact"/>
              <w:rPr>
                <w:sz w:val="20"/>
                <w:szCs w:val="20"/>
                <w:color w:val="auto"/>
              </w:rPr>
            </w:pPr>
            <w:r>
              <w:rPr>
                <w:rFonts w:ascii="Arial" w:cs="Arial" w:eastAsia="Arial" w:hAnsi="Arial"/>
                <w:sz w:val="18"/>
                <w:szCs w:val="18"/>
                <w:b w:val="1"/>
                <w:bCs w:val="1"/>
                <w:color w:val="auto"/>
              </w:rPr>
              <w:t>2021</w:t>
            </w:r>
            <w:r>
              <w:rPr>
                <w:rFonts w:ascii="Arial" w:cs="Arial" w:eastAsia="Arial" w:hAnsi="Arial"/>
                <w:sz w:val="24"/>
                <w:szCs w:val="24"/>
                <w:b w:val="1"/>
                <w:bCs w:val="1"/>
                <w:color w:val="auto"/>
                <w:vertAlign w:val="superscript"/>
              </w:rPr>
              <w:t>(1)</w:t>
            </w:r>
          </w:p>
        </w:tc>
        <w:tc>
          <w:tcPr>
            <w:tcW w:w="100" w:type="dxa"/>
            <w:vAlign w:val="bottom"/>
          </w:tcPr>
          <w:p>
            <w:pPr>
              <w:spacing w:after="0"/>
              <w:rPr>
                <w:sz w:val="22"/>
                <w:szCs w:val="22"/>
                <w:color w:val="auto"/>
              </w:rPr>
            </w:pPr>
          </w:p>
        </w:tc>
      </w:tr>
      <w:tr>
        <w:trPr>
          <w:trHeight w:val="210"/>
        </w:trPr>
        <w:tc>
          <w:tcPr>
            <w:tcW w:w="7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80" w:type="dxa"/>
            <w:vAlign w:val="bottom"/>
            <w:gridSpan w:val="4"/>
          </w:tcPr>
          <w:p>
            <w:pPr>
              <w:jc w:val="right"/>
              <w:ind w:right="129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Logistics costs</w:t>
            </w:r>
            <w:r>
              <w:rPr>
                <w:rFonts w:ascii="Arial" w:cs="Arial" w:eastAsia="Arial" w:hAnsi="Arial"/>
                <w:sz w:val="24"/>
                <w:szCs w:val="24"/>
                <w:color w:val="auto"/>
                <w:vertAlign w:val="superscript"/>
              </w:rPr>
              <w:t>(2)</w:t>
            </w:r>
          </w:p>
        </w:tc>
        <w:tc>
          <w:tcPr>
            <w:tcW w:w="120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line="216" w:lineRule="exact"/>
              <w:rPr>
                <w:sz w:val="20"/>
                <w:szCs w:val="20"/>
                <w:color w:val="auto"/>
              </w:rPr>
            </w:pPr>
            <w:r>
              <w:rPr>
                <w:rFonts w:ascii="Arial" w:cs="Arial" w:eastAsia="Arial" w:hAnsi="Arial"/>
                <w:sz w:val="18"/>
                <w:szCs w:val="18"/>
                <w:color w:val="auto"/>
              </w:rPr>
              <w:t>Deferred revenue and customer deposits</w:t>
            </w:r>
            <w:r>
              <w:rPr>
                <w:rFonts w:ascii="Arial" w:cs="Arial" w:eastAsia="Arial" w:hAnsi="Arial"/>
                <w:sz w:val="24"/>
                <w:szCs w:val="24"/>
                <w:color w:val="auto"/>
                <w:vertAlign w:val="superscript"/>
              </w:rPr>
              <w:t>(3)</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Wish Cash liability</w:t>
            </w:r>
            <w:r>
              <w:rPr>
                <w:rFonts w:ascii="Arial" w:cs="Arial" w:eastAsia="Arial" w:hAnsi="Arial"/>
                <w:sz w:val="24"/>
                <w:szCs w:val="24"/>
                <w:color w:val="auto"/>
                <w:vertAlign w:val="superscript"/>
              </w:rPr>
              <w:t>(4)</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line="216" w:lineRule="exact"/>
              <w:rPr>
                <w:sz w:val="20"/>
                <w:szCs w:val="20"/>
                <w:color w:val="auto"/>
              </w:rPr>
            </w:pPr>
            <w:r>
              <w:rPr>
                <w:rFonts w:ascii="Arial" w:cs="Arial" w:eastAsia="Arial" w:hAnsi="Arial"/>
                <w:sz w:val="18"/>
                <w:szCs w:val="18"/>
                <w:color w:val="auto"/>
              </w:rPr>
              <w:t>Sales and indirect taxes</w:t>
            </w:r>
            <w:r>
              <w:rPr>
                <w:rFonts w:ascii="Arial" w:cs="Arial" w:eastAsia="Arial" w:hAnsi="Arial"/>
                <w:sz w:val="24"/>
                <w:szCs w:val="24"/>
                <w:color w:val="auto"/>
                <w:vertAlign w:val="superscript"/>
              </w:rPr>
              <w:t>(5)</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-170815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3" w:lineRule="exact"/>
        <w:rPr>
          <w:sz w:val="20"/>
          <w:szCs w:val="20"/>
          <w:color w:val="auto"/>
        </w:rPr>
      </w:pPr>
    </w:p>
    <w:p>
      <w:pPr>
        <w:ind w:left="1140" w:hanging="383"/>
        <w:spacing w:after="0"/>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amounts previously disclosed in the Company’s 2021 Form 10-K were realigned to ensure consistency with the amounts reflected as of June 30, 2022.</w:t>
      </w:r>
    </w:p>
    <w:p>
      <w:pPr>
        <w:spacing w:after="0" w:line="19" w:lineRule="exact"/>
        <w:rPr>
          <w:rFonts w:ascii="Arial" w:cs="Arial" w:eastAsia="Arial" w:hAnsi="Arial"/>
          <w:sz w:val="14"/>
          <w:szCs w:val="14"/>
          <w:color w:val="auto"/>
        </w:rPr>
      </w:pPr>
    </w:p>
    <w:p>
      <w:pPr>
        <w:ind w:left="1140" w:right="20" w:hanging="383"/>
        <w:spacing w:after="0" w:line="251" w:lineRule="auto"/>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Logistics costs decreased by $18 million or 32% primarily due to lower shipping volumes during the second quarter of 2022 compared to the fourth quarter of 2021.</w:t>
      </w:r>
    </w:p>
    <w:p>
      <w:pPr>
        <w:ind w:left="1140" w:hanging="383"/>
        <w:spacing w:after="0" w:line="241" w:lineRule="auto"/>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Deferred revenue and customer deposits decreased by $7 million or 28% primarily due to lower logistics volumes during the second quarter of 2022 compared to the fourth quarter of 2021.</w:t>
      </w:r>
    </w:p>
    <w:p>
      <w:pPr>
        <w:jc w:val="both"/>
        <w:ind w:left="1140" w:hanging="383"/>
        <w:spacing w:after="0" w:line="245" w:lineRule="auto"/>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Wish Cash liability breakage recognized in core marketplace revenue during the second quarter of 2022 and the fourth quarter of 2021 was zero and $3 million, respectively.</w:t>
      </w:r>
    </w:p>
    <w:p>
      <w:pPr>
        <w:spacing w:after="0" w:line="1" w:lineRule="exact"/>
        <w:rPr>
          <w:rFonts w:ascii="Arial" w:cs="Arial" w:eastAsia="Arial" w:hAnsi="Arial"/>
          <w:sz w:val="14"/>
          <w:szCs w:val="14"/>
          <w:color w:val="auto"/>
        </w:rPr>
      </w:pPr>
    </w:p>
    <w:p>
      <w:pPr>
        <w:ind w:left="1140" w:hanging="383"/>
        <w:spacing w:after="0" w:line="284" w:lineRule="auto"/>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Sales and indirect taxes decreased by $11 million or 42% primarily due to less taxes collected in connection with lower order volumes during the second quarter of 2022 compared to the fourth quarter of 2021.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73"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derivatives transactions are not collateralized and do not include collateralization agreements with counterparties.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r>
      <w:tr>
        <w:trPr>
          <w:trHeight w:val="241"/>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88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w w:val="97"/>
              </w:rPr>
              <w:t>millions)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hedges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296"/>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Non-designated hedges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50"/>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63"/>
        </w:trPr>
        <w:tc>
          <w:tcPr>
            <w:tcW w:w="5500" w:type="dxa"/>
            <w:vAlign w:val="bottom"/>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r>
      <w:tr>
        <w:trPr>
          <w:trHeight w:val="19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gridSpan w:val="2"/>
          </w:tcPr>
          <w:p>
            <w:pPr>
              <w:jc w:val="center"/>
              <w:ind w:right="310"/>
              <w:spacing w:after="0" w:line="197" w:lineRule="exact"/>
              <w:rPr>
                <w:sz w:val="20"/>
                <w:szCs w:val="20"/>
                <w:color w:val="auto"/>
              </w:rPr>
            </w:pPr>
            <w:r>
              <w:rPr>
                <w:rFonts w:ascii="Arial" w:cs="Arial" w:eastAsia="Arial" w:hAnsi="Arial"/>
                <w:sz w:val="18"/>
                <w:szCs w:val="18"/>
                <w:b w:val="1"/>
                <w:bCs w:val="1"/>
                <w:color w:val="auto"/>
                <w:w w:val="99"/>
              </w:rPr>
              <w:t>2022</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4"/>
          </w:tcPr>
          <w:p>
            <w:pPr>
              <w:jc w:val="right"/>
              <w:spacing w:after="0" w:line="197" w:lineRule="exact"/>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4"/>
        </w:trPr>
        <w:tc>
          <w:tcPr>
            <w:tcW w:w="5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line="273" w:lineRule="exact"/>
              <w:rPr>
                <w:sz w:val="20"/>
                <w:szCs w:val="20"/>
                <w:color w:val="auto"/>
              </w:rPr>
            </w:pPr>
            <w:r>
              <w:rPr>
                <w:rFonts w:ascii="Arial" w:cs="Arial" w:eastAsia="Arial" w:hAnsi="Arial"/>
                <w:sz w:val="18"/>
                <w:szCs w:val="18"/>
                <w:b w:val="1"/>
                <w:bCs w:val="1"/>
                <w:color w:val="auto"/>
                <w:w w:val="94"/>
              </w:rPr>
              <w:t>Assets</w:t>
            </w:r>
            <w:r>
              <w:rPr>
                <w:rFonts w:ascii="Arial" w:cs="Arial" w:eastAsia="Arial" w:hAnsi="Arial"/>
                <w:sz w:val="24"/>
                <w:szCs w:val="24"/>
                <w:b w:val="1"/>
                <w:bCs w:val="1"/>
                <w:color w:val="auto"/>
                <w:w w:val="94"/>
                <w:vertAlign w:val="superscript"/>
              </w:rPr>
              <w:t>(1)</w:t>
            </w:r>
          </w:p>
        </w:tc>
        <w:tc>
          <w:tcPr>
            <w:tcW w:w="240" w:type="dxa"/>
            <w:vAlign w:val="bottom"/>
          </w:tcPr>
          <w:p>
            <w:pPr>
              <w:spacing w:after="0"/>
              <w:rPr>
                <w:sz w:val="23"/>
                <w:szCs w:val="23"/>
                <w:color w:val="auto"/>
              </w:rPr>
            </w:pPr>
          </w:p>
        </w:tc>
        <w:tc>
          <w:tcPr>
            <w:tcW w:w="1260" w:type="dxa"/>
            <w:vAlign w:val="bottom"/>
            <w:tcBorders>
              <w:bottom w:val="single" w:sz="8" w:color="auto"/>
            </w:tcBorders>
            <w:gridSpan w:val="2"/>
          </w:tcPr>
          <w:p>
            <w:pPr>
              <w:jc w:val="right"/>
              <w:spacing w:after="0" w:line="273"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4"/>
                <w:szCs w:val="24"/>
                <w:b w:val="1"/>
                <w:bCs w:val="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Borders>
              <w:bottom w:val="single" w:sz="8" w:color="auto"/>
            </w:tcBorders>
            <w:gridSpan w:val="4"/>
          </w:tcPr>
          <w:p>
            <w:pPr>
              <w:jc w:val="right"/>
              <w:ind w:right="150"/>
              <w:spacing w:after="0" w:line="273"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4"/>
                <w:szCs w:val="24"/>
                <w:b w:val="1"/>
                <w:bCs w:val="1"/>
                <w:color w:val="auto"/>
                <w:vertAlign w:val="superscript"/>
              </w:rPr>
              <w:t>(1)</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line="273" w:lineRule="exact"/>
              <w:rPr>
                <w:sz w:val="20"/>
                <w:szCs w:val="20"/>
                <w:color w:val="auto"/>
              </w:rPr>
            </w:pPr>
            <w:r>
              <w:rPr>
                <w:rFonts w:ascii="Arial" w:cs="Arial" w:eastAsia="Arial" w:hAnsi="Arial"/>
                <w:sz w:val="18"/>
                <w:szCs w:val="18"/>
                <w:b w:val="1"/>
                <w:bCs w:val="1"/>
                <w:color w:val="auto"/>
                <w:w w:val="93"/>
              </w:rPr>
              <w:t>Liabilities</w:t>
            </w:r>
            <w:r>
              <w:rPr>
                <w:rFonts w:ascii="Arial" w:cs="Arial" w:eastAsia="Arial" w:hAnsi="Arial"/>
                <w:sz w:val="24"/>
                <w:szCs w:val="24"/>
                <w:b w:val="1"/>
                <w:bCs w:val="1"/>
                <w:color w:val="auto"/>
                <w:w w:val="93"/>
                <w:vertAlign w:val="superscript"/>
              </w:rPr>
              <w:t>(2)</w:t>
            </w:r>
          </w:p>
        </w:tc>
        <w:tc>
          <w:tcPr>
            <w:tcW w:w="100" w:type="dxa"/>
            <w:vAlign w:val="bottom"/>
          </w:tcPr>
          <w:p>
            <w:pPr>
              <w:spacing w:after="0"/>
              <w:rPr>
                <w:sz w:val="23"/>
                <w:szCs w:val="23"/>
                <w:color w:val="auto"/>
              </w:rPr>
            </w:pPr>
          </w:p>
        </w:tc>
      </w:tr>
      <w:tr>
        <w:trPr>
          <w:trHeight w:val="210"/>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designated as hedging instruments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80"/>
              <w:spacing w:after="0"/>
              <w:rPr>
                <w:sz w:val="20"/>
                <w:szCs w:val="20"/>
                <w:color w:val="auto"/>
              </w:rPr>
            </w:pPr>
            <w:r>
              <w:rPr>
                <w:rFonts w:ascii="Arial" w:cs="Arial" w:eastAsia="Arial" w:hAnsi="Arial"/>
                <w:sz w:val="18"/>
                <w:szCs w:val="18"/>
                <w:color w:val="auto"/>
              </w:rPr>
              <w:t>Cash flow hedges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9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not designated as hedging instruments</w:t>
            </w: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center"/>
              <w:ind w:right="29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derivatives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center"/>
              <w:ind w:right="5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-1687830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-1671320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-1019810</wp:posOffset>
            </wp:positionV>
            <wp:extent cx="35744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1140" w:hanging="383"/>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 assets are included in prepaid and other current assets in the condensed consolidated balance sheets.</w:t>
      </w:r>
    </w:p>
    <w:p>
      <w:pPr>
        <w:spacing w:after="0" w:line="25" w:lineRule="exact"/>
        <w:rPr>
          <w:rFonts w:ascii="Arial" w:cs="Arial" w:eastAsia="Arial" w:hAnsi="Arial"/>
          <w:sz w:val="16"/>
          <w:szCs w:val="16"/>
          <w:color w:val="auto"/>
        </w:rPr>
      </w:pPr>
    </w:p>
    <w:p>
      <w:pPr>
        <w:ind w:left="1140" w:hanging="383"/>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 liabilities are included within "other" in accrued liabilities in the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262626"/>
        </w:rPr>
        <w:t>The changes in accumulated other comprehensive income (loss) resulting from cash flow hedging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gridSpan w:val="3"/>
          </w:tcPr>
          <w:p>
            <w:pPr>
              <w:jc w:val="right"/>
              <w:ind w:right="107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3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13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1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20" w:type="dxa"/>
            <w:vAlign w:val="bottom"/>
            <w:shd w:val="clear" w:color="auto" w:fill="CFF0FC"/>
          </w:tcPr>
          <w:p>
            <w:pPr>
              <w:ind w:left="280"/>
              <w:spacing w:after="0" w:line="166" w:lineRule="exact"/>
              <w:rPr>
                <w:sz w:val="20"/>
                <w:szCs w:val="20"/>
                <w:color w:val="auto"/>
              </w:rPr>
            </w:pPr>
            <w:r>
              <w:rPr>
                <w:rFonts w:ascii="Arial" w:cs="Arial" w:eastAsia="Arial" w:hAnsi="Arial"/>
                <w:sz w:val="18"/>
                <w:szCs w:val="18"/>
                <w:color w:val="auto"/>
              </w:rPr>
              <w:t>Amounts recognized in core marketplace revenue and reclassified out of</w:t>
            </w:r>
          </w:p>
        </w:tc>
        <w:tc>
          <w:tcPr>
            <w:tcW w:w="130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w w:val="91"/>
              </w:rPr>
              <w:t>(22 )</w:t>
            </w:r>
          </w:p>
        </w:tc>
        <w:tc>
          <w:tcPr>
            <w:tcW w:w="0" w:type="dxa"/>
            <w:vAlign w:val="bottom"/>
          </w:tcPr>
          <w:p>
            <w:pPr>
              <w:spacing w:after="0"/>
              <w:rPr>
                <w:sz w:val="1"/>
                <w:szCs w:val="1"/>
                <w:color w:val="auto"/>
              </w:rPr>
            </w:pPr>
          </w:p>
        </w:tc>
      </w:tr>
      <w:tr>
        <w:trPr>
          <w:trHeight w:val="225"/>
        </w:trPr>
        <w:tc>
          <w:tcPr>
            <w:tcW w:w="74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30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520"/>
              <w:spacing w:after="0"/>
              <w:rPr>
                <w:sz w:val="20"/>
                <w:szCs w:val="20"/>
                <w:color w:val="auto"/>
              </w:rPr>
            </w:pPr>
            <w:r>
              <w:rPr>
                <w:rFonts w:ascii="Arial" w:cs="Arial" w:eastAsia="Arial" w:hAnsi="Arial"/>
                <w:sz w:val="18"/>
                <w:szCs w:val="18"/>
                <w:color w:val="auto"/>
              </w:rPr>
              <w:t>12</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74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74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-650875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262626"/>
        </w:rPr>
        <w:t>The Company recognizes changes in fair value of the cash flow hedges of foreign currency denominated merchants payable in</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262626"/>
        </w:rPr>
        <w:t>accumulated other comprehensive loss in its condensed consolidated balance sheets until the forecasted transaction occurs. When the forecasted transaction affects earnings, the Company reclassifies the related gain or loss on the cash flow hedge to core marketplace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262626"/>
        </w:rPr>
        <w:t>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and six months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62626"/>
        </w:rPr>
        <w:t>ended June 30, 2022 and 2021, there were no net gains or losses recognized in core marketplace revenue relating to hedges of forecasted transactions that did not occur.</w:t>
      </w:r>
    </w:p>
    <w:p>
      <w:pPr>
        <w:spacing w:after="0" w:line="123"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Company classifies cash flows related to its cash flow hedges as operating activities in its condensed consolidated statements of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Derivatives Not Designated as Hedging Instruments</w:t>
      </w:r>
    </w:p>
    <w:p>
      <w:pPr>
        <w:spacing w:after="0" w:line="142"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The net gains and losses on the change in fair value of the Company’s foreign exchange forward contracts not designated as hedging instruments recognized in other income, net in the condensed consolidated statements of operations were approximately net losses</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of $5 million and $4 million for the three and six months ended June 30, 2022, respectively, and were approximately net gains of $7 million and $11 million for each of the three and six months ended June 30, 2021, respectively.</w:t>
      </w:r>
    </w:p>
    <w:p>
      <w:pPr>
        <w:spacing w:after="0" w:line="123" w:lineRule="exact"/>
        <w:rPr>
          <w:sz w:val="20"/>
          <w:szCs w:val="20"/>
          <w:color w:val="auto"/>
        </w:rPr>
      </w:pPr>
    </w:p>
    <w:p>
      <w:pPr>
        <w:jc w:val="both"/>
        <w:ind w:right="20" w:firstLine="636"/>
        <w:spacing w:after="0" w:line="260" w:lineRule="auto"/>
        <w:rPr>
          <w:sz w:val="20"/>
          <w:szCs w:val="20"/>
          <w:color w:val="auto"/>
        </w:rPr>
      </w:pPr>
      <w:r>
        <w:rPr>
          <w:rFonts w:ascii="Arial" w:cs="Arial" w:eastAsia="Arial" w:hAnsi="Arial"/>
          <w:sz w:val="18"/>
          <w:szCs w:val="18"/>
          <w:color w:val="auto"/>
        </w:rPr>
        <w:t>The Company classifies cash flows related to its non-designated hedging instruments as operating activities in its condensed consolidated statements of 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OPERATING LEASES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2025.</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operating lease cost was $2 million and $4 million for the three and six months ended June 30, 2022, respectively, and $4</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million and $7 million for the three and six months ended June 30, 2021, respectively. Short-term lease costs, variable lease costs and sublease income were not material.</w:t>
      </w:r>
    </w:p>
    <w:p>
      <w:pPr>
        <w:spacing w:after="0" w:line="123" w:lineRule="exact"/>
        <w:rPr>
          <w:sz w:val="20"/>
          <w:szCs w:val="20"/>
          <w:color w:val="auto"/>
        </w:rPr>
      </w:pPr>
    </w:p>
    <w:p>
      <w:pPr>
        <w:jc w:val="both"/>
        <w:ind w:firstLine="710"/>
        <w:spacing w:after="0" w:line="232" w:lineRule="auto"/>
        <w:rPr>
          <w:sz w:val="20"/>
          <w:szCs w:val="20"/>
          <w:color w:val="auto"/>
        </w:rPr>
      </w:pPr>
      <w:r>
        <w:rPr>
          <w:rFonts w:ascii="Arial" w:cs="Arial" w:eastAsia="Arial" w:hAnsi="Arial"/>
          <w:sz w:val="18"/>
          <w:szCs w:val="18"/>
          <w:color w:val="auto"/>
        </w:rPr>
        <w:t>In February 2022, the Company’s Board of Directors ("the Board") approved a restructuring plan, which included exiting various office leases. As a result, the Company ceased using certain office spaces. As the carrying value of the related right-of-use assets and leasehold improvements exceeded the estimated fair value, the Company recognized an impairment loss of $2 and $6 million for the three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six months ended June 30, 2022, respectively, which is included as part of general and administrative expenses in its condensed consolidated financial statements. Of the $6 million total impairment loss, approximately $3 million related to the impairment of operating</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right-of-use assets and approximately $3 million primarily relates to impairment of leasehold improvements. See Note 12. Restructuring Costs for more information about the Company’s restructuring plan.</w:t>
      </w:r>
    </w:p>
    <w:p>
      <w:pPr>
        <w:spacing w:after="0" w:line="123"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As of June 30, 2022 and December 31, 2021, the Company’s condensed consolidated balance sheets included right-of-use assets in the amount of $11 million and $18 million, respectively, and current lease liabilities in the amount of $8 million and $9 million in accrued liabilities, respectively, and $13 million and $16 million in lease liabilities, non-current, respectively.</w:t>
      </w:r>
    </w:p>
    <w:p>
      <w:pPr>
        <w:spacing w:after="0" w:line="138"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18"/>
          <w:szCs w:val="18"/>
          <w:color w:val="auto"/>
        </w:rPr>
        <w:t>As of June 30, 2022 and December 31, 2021, the weighted-average remaining lease term was 3 years, respectively, and the weighted-average discount rate used to determine the net present value of the lease liabilities was 6% for both periods.</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00" w:type="dxa"/>
            <w:vAlign w:val="bottom"/>
          </w:tcPr>
          <w:p>
            <w:pPr>
              <w:spacing w:after="0"/>
              <w:rPr>
                <w:sz w:val="20"/>
                <w:szCs w:val="20"/>
                <w:color w:val="auto"/>
              </w:rPr>
            </w:pPr>
          </w:p>
        </w:tc>
        <w:tc>
          <w:tcPr>
            <w:tcW w:w="328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185"/>
        </w:trPr>
        <w:tc>
          <w:tcPr>
            <w:tcW w:w="7400" w:type="dxa"/>
            <w:vAlign w:val="bottom"/>
          </w:tcPr>
          <w:p>
            <w:pPr>
              <w:spacing w:after="0"/>
              <w:rPr>
                <w:sz w:val="16"/>
                <w:szCs w:val="16"/>
                <w:color w:val="auto"/>
              </w:rPr>
            </w:pPr>
          </w:p>
        </w:tc>
        <w:tc>
          <w:tcPr>
            <w:tcW w:w="1280" w:type="dxa"/>
            <w:vAlign w:val="bottom"/>
          </w:tcPr>
          <w:p>
            <w:pPr>
              <w:jc w:val="center"/>
              <w:ind w:left="230"/>
              <w:spacing w:after="0" w:line="185" w:lineRule="exact"/>
              <w:rPr>
                <w:sz w:val="20"/>
                <w:szCs w:val="20"/>
                <w:color w:val="auto"/>
              </w:rPr>
            </w:pPr>
            <w:r>
              <w:rPr>
                <w:rFonts w:ascii="Arial" w:cs="Arial" w:eastAsia="Arial" w:hAnsi="Arial"/>
                <w:sz w:val="18"/>
                <w:szCs w:val="18"/>
                <w:b w:val="1"/>
                <w:bCs w:val="1"/>
                <w:color w:val="auto"/>
                <w:w w:val="99"/>
              </w:rPr>
              <w:t>June 30,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left="210"/>
              <w:spacing w:after="0" w:line="185" w:lineRule="exact"/>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41"/>
        </w:trPr>
        <w:tc>
          <w:tcPr>
            <w:tcW w:w="7400" w:type="dxa"/>
            <w:vAlign w:val="bottom"/>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09"/>
        </w:trPr>
        <w:tc>
          <w:tcPr>
            <w:tcW w:w="7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0" w:type="dxa"/>
            <w:vAlign w:val="bottom"/>
            <w:gridSpan w:val="3"/>
          </w:tcPr>
          <w:p>
            <w:pPr>
              <w:jc w:val="center"/>
              <w:ind w:right="89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400" w:type="dxa"/>
            <w:vAlign w:val="bottom"/>
            <w:shd w:val="clear" w:color="auto" w:fill="CFF0FC"/>
          </w:tcPr>
          <w:p>
            <w:pPr>
              <w:jc w:val="right"/>
              <w:ind w:right="165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43"/>
        </w:trPr>
        <w:tc>
          <w:tcPr>
            <w:tcW w:w="7400" w:type="dxa"/>
            <w:vAlign w:val="bottom"/>
          </w:tcPr>
          <w:p>
            <w:pPr>
              <w:jc w:val="right"/>
              <w:ind w:right="3570"/>
              <w:spacing w:after="0"/>
              <w:rPr>
                <w:sz w:val="20"/>
                <w:szCs w:val="20"/>
                <w:color w:val="auto"/>
              </w:rPr>
            </w:pPr>
            <w:r>
              <w:rPr>
                <w:rFonts w:ascii="Arial" w:cs="Arial" w:eastAsia="Arial" w:hAnsi="Arial"/>
                <w:sz w:val="18"/>
                <w:szCs w:val="18"/>
                <w:color w:val="auto"/>
              </w:rPr>
              <w:t>Operating cash flows from operating leases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66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r>
      <w:tr>
        <w:trPr>
          <w:trHeight w:val="612"/>
        </w:trPr>
        <w:tc>
          <w:tcPr>
            <w:tcW w:w="7400" w:type="dxa"/>
            <w:vAlign w:val="bottom"/>
          </w:tcPr>
          <w:p>
            <w:pPr>
              <w:jc w:val="right"/>
              <w:ind w:right="1590"/>
              <w:spacing w:after="0"/>
              <w:rPr>
                <w:sz w:val="20"/>
                <w:szCs w:val="20"/>
                <w:color w:val="auto"/>
              </w:rPr>
            </w:pPr>
            <w:r>
              <w:rPr>
                <w:rFonts w:ascii="Arial" w:cs="Arial" w:eastAsia="Arial" w:hAnsi="Arial"/>
                <w:sz w:val="18"/>
                <w:szCs w:val="18"/>
                <w:color w:val="auto"/>
              </w:rPr>
              <w:t>13</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4"/>
        </w:trPr>
        <w:tc>
          <w:tcPr>
            <w:tcW w:w="7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9080" w:type="dxa"/>
            <w:vAlign w:val="bottom"/>
            <w:gridSpan w:val="2"/>
          </w:tcPr>
          <w:p>
            <w:pPr>
              <w:ind w:left="6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9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1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2022 (remaining six months)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2024</w:t>
            </w:r>
          </w:p>
        </w:tc>
        <w:tc>
          <w:tcPr>
            <w:tcW w:w="6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2025</w:t>
            </w:r>
          </w:p>
        </w:tc>
        <w:tc>
          <w:tcPr>
            <w:tcW w:w="6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ind w:left="26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90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4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commitments can be increased by up to $100 million through an accordion option. The Company also enters into letters of credit from time to time, which reduces its borrowing capacity under the Revolving Credit Facility. Interest on any borrowings under the Revolving Credit Facility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 drawn under any letters of credit outstanding under the Revolving Credit Facility.</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restrict the Company’s ability (and the ability of certain of the Company’s subsidiaries) to incur indebtedness, grant liens, make certain fundamental changes and asset sales, make distributions to stockholders, make investments or engage in transactions with affiliates. It also</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amount of approximately $7 million has been issued under the Revolving Credit Facility in conjunction with the lease of the Company’s headquarters in San Francisco, California. As of June 30, 2022, the Company had not made any borrowings under the Revolving Credit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Facility and it was in compliance with the related financial covenants. Fees incurred under the Revolving Credit Facility were insignificant for the three and six months ended June 30, 2022 and 2021.</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Effective September 1, 2019, the Company entered into an amendment to a colocation and cloud services arrangement committing the Company to make payments of $120 million for services over 3 years. As of June 30, 2022, the remaining commitment under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agreement was approximately $1 million and is payable within the current year.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71"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 10(b) and 20(a) of the Exchange Act. The Company believes these lawsuits are without merit and it intends to vigorously defend them. Based on the preliminary nature of the proceedings in these cases, the outcome of these matters remains uncertain.</w:t>
      </w:r>
    </w:p>
    <w:p>
      <w:pPr>
        <w:spacing w:after="0" w:line="119"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outcome of these matters remains uncertain.</w:t>
      </w:r>
    </w:p>
    <w:p>
      <w:pPr>
        <w:spacing w:after="0" w:line="121"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In November 2021, a shareholder derivative action purportedly brought on behalf of the Company, Aviv v. Szulczewski, was filed in the U.S. District Court for the Northern District of California alleging that the Company’s directors breached their fiduciary duties and caused the Company to make misstatements relating to a leased property that allegedly was used for commercial purposes in violation of zoning ordinances. Plaintiff asserted claims for breach of fiduciary duties, unjust enrichment, and violations of Section 14(a) of the Exchange Act, and sought monetary damages and restitution. In May 2022, the Court granted the Company’s motion to dismiss. The Court subsequently dismissed the case with prejudice.</w:t>
      </w:r>
    </w:p>
    <w:p>
      <w:pPr>
        <w:spacing w:after="0" w:line="116" w:lineRule="exact"/>
        <w:rPr>
          <w:sz w:val="20"/>
          <w:szCs w:val="20"/>
          <w:color w:val="auto"/>
        </w:rPr>
      </w:pPr>
    </w:p>
    <w:p>
      <w:pPr>
        <w:jc w:val="both"/>
        <w:ind w:firstLine="708"/>
        <w:spacing w:after="0" w:line="249" w:lineRule="auto"/>
        <w:rPr>
          <w:sz w:val="20"/>
          <w:szCs w:val="20"/>
          <w:color w:val="auto"/>
        </w:rPr>
      </w:pPr>
      <w:r>
        <w:rPr>
          <w:rFonts w:ascii="Arial" w:cs="Arial" w:eastAsia="Arial" w:hAnsi="Arial"/>
          <w:sz w:val="18"/>
          <w:szCs w:val="18"/>
          <w:color w:val="auto"/>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injunction could expose Wish to civil and criminal penalties. In December 2021, the French Administrative Court upheld the injunction. The Company is currently appealing this ruling. In July 2022, the French Conseil d’Etat certified the constitutional question for further proceedings by the Constitutional Court.</w:t>
      </w:r>
    </w:p>
    <w:p>
      <w:pPr>
        <w:spacing w:after="0" w:line="116"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In December 2021, the Company became aware that authorities in France charged Wish with legal violations relating to the Company’s former practice and use of strikethrough pricing in France, the Company’s previous failure to translate into French listings and product details on the Company’s app and website, and the Company’s anti-counterfeiting policies and practices. The Company disputes the charges and is preparing to defend itself at a hearing that is currently scheduled for March 2023. Any adverse outcome could result in payment of substantial fines, payments to allegedly impacted consumer groups, harm to the Company’s reputation, loss of rights, or adverse changes to the Company’s offerings or business practices in France. Any of these results could adversely affect the Company’s business. In addition, defending claims may be costly and may impose a significant burden on the Company’s management.</w:t>
      </w:r>
    </w:p>
    <w:p>
      <w:pPr>
        <w:spacing w:after="0" w:line="121"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As of June 30, 2022,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4"/>
          </w:tcPr>
          <w:p>
            <w:pPr>
              <w:ind w:left="60"/>
              <w:spacing w:after="0"/>
              <w:rPr>
                <w:sz w:val="20"/>
                <w:szCs w:val="20"/>
                <w:color w:val="auto"/>
              </w:rPr>
            </w:pPr>
            <w:r>
              <w:rPr>
                <w:rFonts w:ascii="Arial" w:cs="Arial" w:eastAsia="Arial" w:hAnsi="Arial"/>
                <w:sz w:val="16"/>
                <w:szCs w:val="16"/>
                <w:b w:val="1"/>
                <w:bCs w:val="1"/>
                <w:color w:val="auto"/>
              </w:rPr>
              <w:t>Options Outstanding</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RSUs Outstanding</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440"/>
              <w:spacing w:after="0" w:line="182" w:lineRule="exact"/>
              <w:rPr>
                <w:sz w:val="20"/>
                <w:szCs w:val="20"/>
                <w:color w:val="auto"/>
              </w:rPr>
            </w:pPr>
            <w:r>
              <w:rPr>
                <w:rFonts w:ascii="Arial" w:cs="Arial" w:eastAsia="Arial" w:hAnsi="Arial"/>
                <w:sz w:val="16"/>
                <w:szCs w:val="16"/>
                <w:b w:val="1"/>
                <w:bCs w:val="1"/>
                <w:color w:val="auto"/>
              </w:rPr>
              <w:t>Weighted-</w:t>
            </w:r>
          </w:p>
        </w:tc>
        <w:tc>
          <w:tcPr>
            <w:tcW w:w="16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2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60"/>
              <w:spacing w:after="0" w:line="162" w:lineRule="exact"/>
              <w:rPr>
                <w:sz w:val="20"/>
                <w:szCs w:val="20"/>
                <w:color w:val="auto"/>
              </w:rPr>
            </w:pPr>
            <w:r>
              <w:rPr>
                <w:rFonts w:ascii="Arial" w:cs="Arial" w:eastAsia="Arial" w:hAnsi="Arial"/>
                <w:sz w:val="16"/>
                <w:szCs w:val="16"/>
                <w:b w:val="1"/>
                <w:bCs w:val="1"/>
                <w:color w:val="auto"/>
              </w:rPr>
              <w:t>Average</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w:t>
            </w:r>
          </w:p>
        </w:tc>
        <w:tc>
          <w:tcPr>
            <w:tcW w:w="24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440"/>
              <w:spacing w:after="0" w:line="175" w:lineRule="exact"/>
              <w:rPr>
                <w:sz w:val="20"/>
                <w:szCs w:val="20"/>
                <w:color w:val="auto"/>
              </w:rPr>
            </w:pPr>
            <w:r>
              <w:rPr>
                <w:rFonts w:ascii="Arial" w:cs="Arial" w:eastAsia="Arial" w:hAnsi="Arial"/>
                <w:sz w:val="16"/>
                <w:szCs w:val="16"/>
                <w:b w:val="1"/>
                <w:bCs w:val="1"/>
                <w:color w:val="auto"/>
              </w:rPr>
              <w:t>Exercise</w:t>
            </w:r>
          </w:p>
        </w:tc>
        <w:tc>
          <w:tcPr>
            <w:tcW w:w="16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Term (In</w:t>
            </w:r>
          </w:p>
        </w:tc>
        <w:tc>
          <w:tcPr>
            <w:tcW w:w="2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280" w:type="dxa"/>
            <w:vAlign w:val="bottom"/>
          </w:tcPr>
          <w:p>
            <w:pPr>
              <w:jc w:val="center"/>
              <w:ind w:left="179"/>
              <w:spacing w:after="0"/>
              <w:rPr>
                <w:sz w:val="20"/>
                <w:szCs w:val="20"/>
                <w:color w:val="auto"/>
              </w:rPr>
            </w:pPr>
            <w:r>
              <w:rPr>
                <w:rFonts w:ascii="Arial" w:cs="Arial" w:eastAsia="Arial" w:hAnsi="Arial"/>
                <w:sz w:val="16"/>
                <w:szCs w:val="16"/>
                <w:b w:val="1"/>
                <w:bCs w:val="1"/>
                <w:color w:val="auto"/>
              </w:rPr>
              <w:t>Options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Price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8"/>
              </w:rPr>
              <w:t>Years)</w:t>
            </w:r>
          </w:p>
        </w:tc>
        <w:tc>
          <w:tcPr>
            <w:tcW w:w="2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RSUs</w:t>
            </w:r>
          </w:p>
        </w:tc>
        <w:tc>
          <w:tcPr>
            <w:tcW w:w="0" w:type="dxa"/>
            <w:vAlign w:val="bottom"/>
          </w:tcPr>
          <w:p>
            <w:pPr>
              <w:spacing w:after="0"/>
              <w:rPr>
                <w:sz w:val="1"/>
                <w:szCs w:val="1"/>
                <w:color w:val="auto"/>
              </w:rPr>
            </w:pPr>
          </w:p>
        </w:tc>
      </w:tr>
      <w:tr>
        <w:trPr>
          <w:trHeight w:val="151"/>
        </w:trPr>
        <w:tc>
          <w:tcPr>
            <w:tcW w:w="4220" w:type="dxa"/>
            <w:vAlign w:val="bottom"/>
          </w:tcPr>
          <w:p>
            <w:pPr>
              <w:spacing w:after="0"/>
              <w:rPr>
                <w:sz w:val="13"/>
                <w:szCs w:val="13"/>
                <w:color w:val="auto"/>
              </w:rPr>
            </w:pPr>
          </w:p>
        </w:tc>
        <w:tc>
          <w:tcPr>
            <w:tcW w:w="1280" w:type="dxa"/>
            <w:vAlign w:val="bottom"/>
            <w:tcBorders>
              <w:top w:val="single" w:sz="8" w:color="auto"/>
            </w:tcBorders>
          </w:tcPr>
          <w:p>
            <w:pPr>
              <w:jc w:val="center"/>
              <w:ind w:left="179"/>
              <w:spacing w:after="0" w:line="152" w:lineRule="exact"/>
              <w:rPr>
                <w:sz w:val="20"/>
                <w:szCs w:val="20"/>
                <w:color w:val="auto"/>
              </w:rPr>
            </w:pPr>
            <w:r>
              <w:rPr>
                <w:rFonts w:ascii="Arial" w:cs="Arial" w:eastAsia="Arial" w:hAnsi="Arial"/>
                <w:sz w:val="16"/>
                <w:szCs w:val="16"/>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Balances at December 31, 2021</w:t>
            </w:r>
            <w:r>
              <w:rPr>
                <w:rFonts w:ascii="Arial" w:cs="Arial" w:eastAsia="Arial" w:hAnsi="Arial"/>
                <w:sz w:val="21"/>
                <w:szCs w:val="21"/>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0.254</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2.860</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0.138</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Forfeited or cancelled</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Arial" w:cs="Arial" w:eastAsia="Arial" w:hAnsi="Arial"/>
                <w:sz w:val="16"/>
                <w:szCs w:val="16"/>
                <w:color w:val="auto"/>
              </w:rPr>
              <w:t>Balances at June 30, 2022</w:t>
            </w:r>
          </w:p>
        </w:tc>
        <w:tc>
          <w:tcPr>
            <w:tcW w:w="1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0.593</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3"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Outstanding restricted stock units (“RSUs”) as of December 31, 2021 include 11 million performance stock units (“PSUs”), which were cancelled in February 2022</w:t>
      </w:r>
      <w:r>
        <w:rPr>
          <w:rFonts w:ascii="Arial" w:cs="Arial" w:eastAsia="Arial" w:hAnsi="Arial"/>
          <w:sz w:val="16"/>
          <w:szCs w:val="16"/>
          <w:color w:val="auto"/>
        </w:rPr>
        <w:t>.</w:t>
      </w:r>
    </w:p>
    <w:p>
      <w:pPr>
        <w:spacing w:after="0" w:line="162"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weighted-average grant date fair value of restricted stock was $1.80 and $1.84 per share for the three and six months ended June 30, 2022, respectively, and $14.55 and $14.91 per share for the three and six months ended June 30, 2021, respectively. As of June 30, 2022, 23 million shares remained available for grant under the Company’s equity incentive plans, including the 2022 Inducement Plan.</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44"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18"/>
          <w:szCs w:val="18"/>
          <w:color w:val="auto"/>
        </w:rPr>
        <w:t>On January 31, 2022, Piotr Szulczewski resigned from his position as CEO of the Company. Due to his resignation prior to the second anniversary of the Company’s IPO, Mr. Szulcewski is no longer eligible to vest in his PSUs, and as such, the PSUs were canceled.</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Consequently, the Company reversed $21 million of previously recognized stock-based compensation expense related to these PSUs in the first quarter of 2022.</w:t>
      </w:r>
    </w:p>
    <w:p>
      <w:pPr>
        <w:spacing w:after="0" w:line="110" w:lineRule="exact"/>
        <w:rPr>
          <w:sz w:val="20"/>
          <w:szCs w:val="20"/>
          <w:color w:val="auto"/>
        </w:rPr>
      </w:pPr>
    </w:p>
    <w:p>
      <w:pPr>
        <w:jc w:val="both"/>
        <w:ind w:firstLine="636"/>
        <w:spacing w:after="0" w:line="227" w:lineRule="auto"/>
        <w:rPr>
          <w:sz w:val="20"/>
          <w:szCs w:val="20"/>
          <w:color w:val="auto"/>
        </w:rPr>
      </w:pPr>
      <w:r>
        <w:rPr>
          <w:rFonts w:ascii="Arial" w:cs="Arial" w:eastAsia="Arial" w:hAnsi="Arial"/>
          <w:sz w:val="18"/>
          <w:szCs w:val="18"/>
          <w:color w:val="auto"/>
        </w:rPr>
        <w:t>In February 2022, Jacqueline Reses resigned from her position as Executive Chair. Upon her resignation, Ms. Reses entered into a consulting agreement with the Company and her PSU award was modified to eliminate the market condition, with only continued service until the expiration of the consulting agreement being the sole vesting condition. Consequently, the Company reversed $3 million of previously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recognized stock-based compensation expense upon modification and will recognize the modified fair value of approximately $2 million from the modification date to the expiration date of the consulting agreement, which is May 16, 2023.</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Inducement Plan</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2022, the Company’s Board adopted and approved the 2022 Inducement Plan (“2022 Plan). The Company intends that</w:t>
      </w:r>
    </w:p>
    <w:p>
      <w:pPr>
        <w:spacing w:after="0" w:line="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2022 Plan be reserved for persons to whom the Company may issue securities without stockholder approval as an inducement of employment pursuant to Rule 5635(c)(4) of the Marketplace Rules of the Nasdaq Stock Market, LLC. The 2022 Plan provides for the award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of options, stock appreciation rights, restricted shares, and RSUs of the Company’s Class A common stock to the Company’s employees. Stock-based awards under the 2022 Plan that expire or are forfeited, cancelled, or repurchased generally are returned to the pool of shares of Class A common stock available for issuance under the 2022 Plan.</w:t>
      </w:r>
    </w:p>
    <w:p>
      <w:pPr>
        <w:spacing w:after="0" w:line="10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In May 2022, the Company's Board approved an amendment to the 2022 Plan to increase the 2022 Plan reserve from 12 million to 27 million shares. As of June 30, 2022, 13 million shares under the 2022 Plan remained available for grant.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44" w:lineRule="exact"/>
        <w:rPr>
          <w:sz w:val="20"/>
          <w:szCs w:val="20"/>
          <w:color w:val="auto"/>
        </w:rPr>
      </w:pPr>
    </w:p>
    <w:p>
      <w:pPr>
        <w:ind w:right="60" w:firstLine="636"/>
        <w:spacing w:after="0" w:line="231" w:lineRule="auto"/>
        <w:rPr>
          <w:sz w:val="20"/>
          <w:szCs w:val="20"/>
          <w:color w:val="auto"/>
        </w:rPr>
      </w:pPr>
      <w:r>
        <w:rPr>
          <w:rFonts w:ascii="Arial" w:cs="Arial" w:eastAsia="Arial" w:hAnsi="Arial"/>
          <w:sz w:val="18"/>
          <w:szCs w:val="18"/>
          <w:color w:val="auto"/>
        </w:rPr>
        <w:t>In January 2022, the Company entered into an employment agreement with Vijay Talwar, as the Company’s new CEO, with employment commencing on February 1, 2022. As an inducement of employment, Mr. Talwar was granted, i) 5 million RSUs with an</w:t>
      </w:r>
    </w:p>
    <w:p>
      <w:pPr>
        <w:spacing w:after="0" w:line="2"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aggregate grant date fair value of $13 million and ii) options to purchase 6 million shares of the Company’s Class A common stock at an exercise price of $2.86 per share with an aggregate grant date fair value of $12 million. These RSUs and options were granted under the</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2022 Plan and will become vested and exercisable, respectively, in periodic installments over a 4-year term, subject to the CEO’s continued employment with the Company. The option award has a term of 10 years.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options was estimated using the Black-Scholes option pricing model which takes into account inputs such as the</w:t>
      </w:r>
    </w:p>
    <w:p>
      <w:pPr>
        <w:spacing w:after="0" w:line="4"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exercise price, the value of the underlying shares as of the grant date, expected term, expected volatility, risk free interest rate, and dividend yield. The fair value of the options was determined using the methods and assumptions discussed below:</w:t>
      </w:r>
    </w:p>
    <w:p>
      <w:pPr>
        <w:spacing w:after="0" w:line="69" w:lineRule="exact"/>
        <w:rPr>
          <w:sz w:val="20"/>
          <w:szCs w:val="20"/>
          <w:color w:val="auto"/>
        </w:rPr>
      </w:pPr>
    </w:p>
    <w:p>
      <w:pPr>
        <w:jc w:val="both"/>
        <w:ind w:left="1020" w:right="6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spacing w:after="0" w:line="50" w:lineRule="exact"/>
        <w:rPr>
          <w:rFonts w:ascii="Times New Roman" w:cs="Times New Roman" w:eastAsia="Times New Roman" w:hAnsi="Times New Roman"/>
          <w:sz w:val="18"/>
          <w:szCs w:val="18"/>
          <w:color w:val="auto"/>
        </w:rPr>
      </w:pPr>
    </w:p>
    <w:p>
      <w:pPr>
        <w:ind w:left="1020" w:right="60" w:hanging="503"/>
        <w:spacing w:after="0" w:line="275"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risk-free interest rate was based on the interest rate payable on the U.S. Treasury securities in effect at the time of grant for a period that is commensurate with the assumed expected term.</w:t>
      </w:r>
    </w:p>
    <w:p>
      <w:pPr>
        <w:spacing w:after="0" w:line="51" w:lineRule="exact"/>
        <w:rPr>
          <w:rFonts w:ascii="Times New Roman" w:cs="Times New Roman" w:eastAsia="Times New Roman" w:hAnsi="Times New Roman"/>
          <w:sz w:val="18"/>
          <w:szCs w:val="18"/>
          <w:color w:val="auto"/>
        </w:rPr>
      </w:pPr>
    </w:p>
    <w:p>
      <w:pPr>
        <w:jc w:val="both"/>
        <w:ind w:left="1020" w:right="6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spacing w:after="0" w:line="68" w:lineRule="exact"/>
        <w:rPr>
          <w:rFonts w:ascii="Times New Roman" w:cs="Times New Roman" w:eastAsia="Times New Roman" w:hAnsi="Times New Roman"/>
          <w:sz w:val="18"/>
          <w:szCs w:val="18"/>
          <w:color w:val="auto"/>
        </w:rPr>
      </w:pPr>
    </w:p>
    <w:p>
      <w:pPr>
        <w:ind w:left="1020" w:right="60" w:hanging="503"/>
        <w:spacing w:after="0" w:line="275"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dividend yield was zero because the Company has not historically paid and does not expect to pay a dividend on its ordinary shares in the foreseeable future.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the assumptions used in the Black-Scholes option pricing model to determine the fair value of the options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Black-Scholes</w:t>
            </w:r>
          </w:p>
        </w:tc>
      </w:tr>
      <w:tr>
        <w:trPr>
          <w:trHeight w:val="241"/>
        </w:trPr>
        <w:tc>
          <w:tcPr>
            <w:tcW w:w="7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40" w:type="dxa"/>
            <w:vAlign w:val="bottom"/>
            <w:gridSpan w:val="3"/>
          </w:tcPr>
          <w:p>
            <w:pPr>
              <w:jc w:val="right"/>
              <w:ind w:right="1480"/>
              <w:spacing w:after="0"/>
              <w:rPr>
                <w:sz w:val="20"/>
                <w:szCs w:val="20"/>
                <w:color w:val="auto"/>
              </w:rPr>
            </w:pPr>
            <w:r>
              <w:rPr>
                <w:rFonts w:ascii="Arial" w:cs="Arial" w:eastAsia="Arial" w:hAnsi="Arial"/>
                <w:sz w:val="18"/>
                <w:szCs w:val="18"/>
                <w:b w:val="1"/>
                <w:bCs w:val="1"/>
                <w:color w:val="auto"/>
              </w:rPr>
              <w:t>Assumptions</w:t>
            </w:r>
          </w:p>
        </w:tc>
      </w:tr>
      <w:tr>
        <w:trPr>
          <w:trHeight w:val="210"/>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700" w:type="dxa"/>
            <w:vAlign w:val="bottom"/>
            <w:tcBorders>
              <w:top w:val="single" w:sz="8" w:color="auto"/>
            </w:tcBorders>
            <w:shd w:val="clear" w:color="auto" w:fill="CFF0FC"/>
          </w:tcPr>
          <w:p>
            <w:pPr>
              <w:spacing w:after="0"/>
              <w:rPr>
                <w:sz w:val="18"/>
                <w:szCs w:val="18"/>
                <w:color w:val="auto"/>
              </w:rPr>
            </w:pPr>
          </w:p>
        </w:tc>
        <w:tc>
          <w:tcPr>
            <w:tcW w:w="3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93"/>
        </w:trPr>
        <w:tc>
          <w:tcPr>
            <w:tcW w:w="7360" w:type="dxa"/>
            <w:vAlign w:val="bottom"/>
          </w:tcPr>
          <w:p>
            <w:pPr>
              <w:ind w:left="20"/>
              <w:spacing w:after="0" w:line="193" w:lineRule="exact"/>
              <w:rPr>
                <w:sz w:val="20"/>
                <w:szCs w:val="20"/>
                <w:color w:val="auto"/>
              </w:rPr>
            </w:pPr>
            <w:r>
              <w:rPr>
                <w:rFonts w:ascii="Arial" w:cs="Arial" w:eastAsia="Arial" w:hAnsi="Arial"/>
                <w:sz w:val="18"/>
                <w:szCs w:val="18"/>
                <w:color w:val="auto"/>
              </w:rPr>
              <w:t>Risk free interest rate</w:t>
            </w:r>
          </w:p>
        </w:tc>
        <w:tc>
          <w:tcPr>
            <w:tcW w:w="700" w:type="dxa"/>
            <w:vAlign w:val="bottom"/>
          </w:tcPr>
          <w:p>
            <w:pPr>
              <w:spacing w:after="0"/>
              <w:rPr>
                <w:sz w:val="16"/>
                <w:szCs w:val="16"/>
                <w:color w:val="auto"/>
              </w:rPr>
            </w:pPr>
          </w:p>
        </w:tc>
        <w:tc>
          <w:tcPr>
            <w:tcW w:w="3240" w:type="dxa"/>
            <w:vAlign w:val="bottom"/>
            <w:gridSpan w:val="3"/>
          </w:tcPr>
          <w:p>
            <w:pPr>
              <w:jc w:val="right"/>
              <w:spacing w:after="0" w:line="193" w:lineRule="exact"/>
              <w:rPr>
                <w:sz w:val="20"/>
                <w:szCs w:val="20"/>
                <w:color w:val="auto"/>
              </w:rPr>
            </w:pPr>
            <w:r>
              <w:rPr>
                <w:rFonts w:ascii="Arial" w:cs="Arial" w:eastAsia="Arial" w:hAnsi="Arial"/>
                <w:sz w:val="18"/>
                <w:szCs w:val="18"/>
                <w:color w:val="auto"/>
              </w:rPr>
              <w:t>1.70 %</w:t>
            </w: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700" w:type="dxa"/>
            <w:vAlign w:val="bottom"/>
          </w:tcPr>
          <w:p>
            <w:pPr>
              <w:spacing w:after="0"/>
              <w:rPr>
                <w:sz w:val="18"/>
                <w:szCs w:val="18"/>
                <w:color w:val="auto"/>
              </w:rPr>
            </w:pPr>
          </w:p>
        </w:tc>
        <w:tc>
          <w:tcPr>
            <w:tcW w:w="3240" w:type="dxa"/>
            <w:vAlign w:val="bottom"/>
            <w:gridSpan w:val="3"/>
          </w:tcPr>
          <w:p>
            <w:pPr>
              <w:jc w:val="right"/>
              <w:spacing w:after="0"/>
              <w:rPr>
                <w:sz w:val="20"/>
                <w:szCs w:val="20"/>
                <w:color w:val="auto"/>
              </w:rPr>
            </w:pPr>
            <w:r>
              <w:rPr>
                <w:rFonts w:ascii="Arial" w:cs="Arial" w:eastAsia="Arial" w:hAnsi="Arial"/>
                <w:sz w:val="18"/>
                <w:szCs w:val="18"/>
                <w:color w:val="auto"/>
              </w:rPr>
              <w:t>73.20 %</w:t>
            </w:r>
          </w:p>
        </w:tc>
      </w:tr>
      <w:tr>
        <w:trPr>
          <w:trHeight w:val="239"/>
        </w:trPr>
        <w:tc>
          <w:tcPr>
            <w:tcW w:w="7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20"/>
                <w:szCs w:val="20"/>
                <w:color w:val="auto"/>
              </w:rPr>
            </w:pP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fair value per share</w:t>
            </w: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3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8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41"/>
        </w:trPr>
        <w:tc>
          <w:tcPr>
            <w:tcW w:w="4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50"/>
        </w:trPr>
        <w:tc>
          <w:tcPr>
            <w:tcW w:w="4400" w:type="dxa"/>
            <w:vAlign w:val="bottom"/>
            <w:tcBorders>
              <w:bottom w:val="single" w:sz="8" w:color="CFF0FC"/>
            </w:tcBorders>
            <w:shd w:val="clear" w:color="auto" w:fill="CFF0FC"/>
          </w:tcPr>
          <w:p>
            <w:pPr>
              <w:ind w:left="280"/>
              <w:spacing w:after="0" w:line="210"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4"/>
                <w:szCs w:val="24"/>
                <w:color w:val="auto"/>
                <w:vertAlign w:val="superscript"/>
              </w:rPr>
              <w:t>(1)</w:t>
            </w: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both"/>
        <w:ind w:left="1140" w:right="60" w:hanging="383"/>
        <w:spacing w:after="0" w:line="276" w:lineRule="auto"/>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stock-based compensation for the six months ended June 30, 2022 decreased by $47 million compared to the six months ended June 30, 2021 primarily due to forfeitures originating from the resignation of the Company’s former CEO, reductions to the Company’s workforce as part of the Company’s February 2022 Restructuring Plan, and modifications to the Company’s former Executive Chair’s equity awards.</w:t>
      </w:r>
    </w:p>
    <w:p>
      <w:pPr>
        <w:spacing w:after="0" w:line="96" w:lineRule="exact"/>
        <w:rPr>
          <w:sz w:val="20"/>
          <w:szCs w:val="20"/>
          <w:color w:val="auto"/>
        </w:rPr>
      </w:pPr>
    </w:p>
    <w:p>
      <w:pPr>
        <w:ind w:right="60" w:firstLine="636"/>
        <w:spacing w:after="0" w:line="276" w:lineRule="auto"/>
        <w:rPr>
          <w:sz w:val="20"/>
          <w:szCs w:val="20"/>
          <w:color w:val="auto"/>
        </w:rPr>
      </w:pPr>
      <w:r>
        <w:rPr>
          <w:rFonts w:ascii="Arial" w:cs="Arial" w:eastAsia="Arial" w:hAnsi="Arial"/>
          <w:sz w:val="18"/>
          <w:szCs w:val="18"/>
          <w:color w:val="auto"/>
        </w:rPr>
        <w:t>The Company will recognize the remaining $11 million and $252 million of unrecognized stock-based compensation expense over a weighted-average period of approximately 3.6 years and 2.7 years related to options and RSUs, respectively.</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8" w:right="279" w:bottom="1440" w:gutter="0" w:footer="0" w:header="0"/>
        </w:sectPr>
      </w:pPr>
    </w:p>
    <w:bookmarkStart w:id="21" w:name="page22"/>
    <w:bookmarkEnd w:id="21"/>
    <w:p>
      <w:pPr>
        <w:ind w:left="6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8" w:lineRule="exact"/>
        <w:rPr>
          <w:sz w:val="20"/>
          <w:szCs w:val="20"/>
          <w:color w:val="auto"/>
        </w:rPr>
      </w:pPr>
    </w:p>
    <w:p>
      <w:pPr>
        <w:jc w:val="both"/>
        <w:ind w:firstLine="636"/>
        <w:spacing w:after="0" w:line="224" w:lineRule="auto"/>
        <w:rPr>
          <w:sz w:val="20"/>
          <w:szCs w:val="20"/>
          <w:color w:val="auto"/>
        </w:rPr>
      </w:pPr>
      <w:r>
        <w:rPr>
          <w:rFonts w:ascii="Arial" w:cs="Arial" w:eastAsia="Arial" w:hAnsi="Arial"/>
          <w:sz w:val="18"/>
          <w:szCs w:val="18"/>
          <w:color w:val="auto"/>
        </w:rPr>
        <w:t>The Company’s Employee Stock Purchase Plan (“ESPP”) allows eligible employees to purchase shares of the Company’s Class A common stock at a discount through payroll deductions of up to 15% of eligible compensation, subject to caps of $25,000 in any calendar</w:t>
      </w:r>
    </w:p>
    <w:p>
      <w:pPr>
        <w:jc w:val="both"/>
        <w:spacing w:after="0" w:line="228" w:lineRule="auto"/>
        <w:rPr>
          <w:sz w:val="20"/>
          <w:szCs w:val="20"/>
          <w:color w:val="auto"/>
        </w:rPr>
      </w:pPr>
      <w:r>
        <w:rPr>
          <w:rFonts w:ascii="Arial" w:cs="Arial" w:eastAsia="Arial" w:hAnsi="Arial"/>
          <w:sz w:val="18"/>
          <w:szCs w:val="18"/>
          <w:color w:val="auto"/>
        </w:rPr>
        <w:t>year and 2,500 shares on any purchase date. The ESPP provides for 24-month offering periods, generally beginning in November and May of each year, and each offering period consists of four six-month purchase periods. The initial offering period began on January 1, 2021 and will end in November 2022. During the three and six months ended June 30, 2022 and 2021, fewer than 1 million shares of common stock were purchased under the ESPP in each period for an aggregate amount of $1 million and $3 million, respectively.</w:t>
      </w:r>
    </w:p>
    <w:p>
      <w:pPr>
        <w:spacing w:after="0" w:line="96" w:lineRule="exact"/>
        <w:rPr>
          <w:sz w:val="20"/>
          <w:szCs w:val="20"/>
          <w:color w:val="auto"/>
        </w:rPr>
      </w:pPr>
    </w:p>
    <w:p>
      <w:pPr>
        <w:jc w:val="both"/>
        <w:ind w:firstLine="636"/>
        <w:spacing w:after="0" w:line="227"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the Company’s Class A common stock on (i) the first trading day of the applicable offering period, or (ii) the last trading day of each purchase period in the applicable offering period. If the stock price of the Company's Class A common stock on any</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purchase date in an offering period is lower than the stock price on the enrollment date of that offering period, the offering period will immediately reset after the purchase of shares on such purchase date and automatically roll into a new offering period (ESPP reset). During</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three and six months ended June 30, 2022, there was an ESPP reset that resulted in an additional expense of approximately $4 million, which is being recognized over an offering period ending May 20, 2024.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46"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factors, including variability in pre-tax earnings, the geographic distribution of the pre-tax earnings, tax law changes, non-deductible expenses, such as stock-based compensation, and changes in the estimate of the valuation allowance.</w:t>
      </w:r>
    </w:p>
    <w:p>
      <w:pPr>
        <w:spacing w:after="0" w:line="12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provision for income taxes was $1 million for the three and six months ended June 30, 2022, and was $5 million and $7 million for the three and six months ended June 30, 2021, respectively. The year-over-year decrease in provision for income taxes was primarily related to a decrease in pre-tax earnings of the Company’s international operations. The Company continues to maintain a valuation allowance on its domestic net deferred tax assets which is excluded from the annual effective tax rate estimate.</w:t>
      </w:r>
    </w:p>
    <w:p>
      <w:pPr>
        <w:spacing w:after="0" w:line="113" w:lineRule="exact"/>
        <w:rPr>
          <w:sz w:val="20"/>
          <w:szCs w:val="20"/>
          <w:color w:val="auto"/>
        </w:rPr>
      </w:pPr>
    </w:p>
    <w:p>
      <w:pPr>
        <w:jc w:val="both"/>
        <w:ind w:right="20" w:firstLine="644"/>
        <w:spacing w:after="0" w:line="292" w:lineRule="auto"/>
        <w:rPr>
          <w:sz w:val="20"/>
          <w:szCs w:val="20"/>
          <w:color w:val="auto"/>
        </w:rPr>
      </w:pPr>
      <w:r>
        <w:rPr>
          <w:rFonts w:ascii="Arial" w:cs="Arial" w:eastAsia="Arial" w:hAnsi="Arial"/>
          <w:sz w:val="18"/>
          <w:szCs w:val="18"/>
          <w:color w:val="auto"/>
        </w:rPr>
        <w:t>Unrecognized tax benefits as of June 30, 2022 and December 31, 2021 were insignificant. Interest and penalties associated with the unrecognized tax benefits as of June 30, 2022 and December 31, 2021 were also insignificant.</w:t>
      </w:r>
    </w:p>
    <w:p>
      <w:pPr>
        <w:spacing w:after="0" w:line="77"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federal and state tax returns remain open to examination. Certain tax years are subject to foreign income tax examinations by tax authorities until the statute of limitations expire.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10. NET LOSS PER SHARE</w:t>
      </w:r>
    </w:p>
    <w:p>
      <w:pPr>
        <w:spacing w:after="0" w:line="173"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The Company computes net loss per share attributable to common stockholders using the two-class method required for multiple classes of common stock and participating securities. 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loss per share attributed to common stockholders will, therefore, be the same for both Class A and Class B common stock on an individual or combined basis.</w:t>
      </w:r>
    </w:p>
    <w:p>
      <w:pPr>
        <w:spacing w:after="0" w:line="131"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8"/>
          <w:szCs w:val="18"/>
          <w:color w:val="auto"/>
        </w:rPr>
        <w:t>Effective August 9, 2022, all Class B common stock were converted to Class A common stock. Net loss per share for the three and six months ended June 30, 2022 and 2021 were not affected by the conversion. Refer to Note 13 – Subsequent Events for more information on the conversion of Class B common stock to Class A common stock.</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8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103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(90 )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(111 )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(150 )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780" w:type="dxa"/>
            <w:vAlign w:val="bottom"/>
          </w:tcPr>
          <w:p>
            <w:pPr>
              <w:ind w:left="280"/>
              <w:spacing w:after="0" w:line="166" w:lineRule="exact"/>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280"/>
              <w:spacing w:after="0" w:line="198" w:lineRule="exact"/>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(0.18</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(0.23</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43"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As of June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3"/>
        </w:trPr>
        <w:tc>
          <w:tcPr>
            <w:tcW w:w="7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Common stock options outstanding</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16"/>
        </w:trPr>
        <w:tc>
          <w:tcPr>
            <w:tcW w:w="876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Unvested restricted stock units outstanding</w:t>
            </w:r>
            <w:r>
              <w:rPr>
                <w:rFonts w:ascii="Arial" w:cs="Arial" w:eastAsia="Arial" w:hAnsi="Arial"/>
                <w:sz w:val="24"/>
                <w:szCs w:val="24"/>
                <w:color w:val="auto"/>
                <w:vertAlign w:val="superscript"/>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1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Unvested restricted stock units outstanding as of June 30, 2021 include 11 million performance-based RSUs, which were cancelled in the first quarter of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73" w:lineRule="exact"/>
        <w:rPr>
          <w:sz w:val="20"/>
          <w:szCs w:val="20"/>
          <w:color w:val="auto"/>
        </w:rPr>
      </w:pPr>
    </w:p>
    <w:p>
      <w:pPr>
        <w:ind w:right="60" w:firstLine="644"/>
        <w:spacing w:after="0" w:line="276"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5"/>
              </w:rPr>
              <w:t>(in</w:t>
            </w: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7"/>
              </w:rPr>
              <w:t>millions)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
              <w:spacing w:after="0" w:line="197" w:lineRule="exact"/>
              <w:rPr>
                <w:sz w:val="20"/>
                <w:szCs w:val="20"/>
                <w:color w:val="auto"/>
              </w:rPr>
            </w:pPr>
            <w:r>
              <w:rPr>
                <w:rFonts w:ascii="Arial" w:cs="Arial" w:eastAsia="Arial" w:hAnsi="Arial"/>
                <w:sz w:val="18"/>
                <w:szCs w:val="18"/>
                <w:color w:val="auto"/>
              </w:rPr>
              <w:t>Europe</w:t>
            </w:r>
          </w:p>
        </w:tc>
        <w:tc>
          <w:tcPr>
            <w:tcW w:w="360" w:type="dxa"/>
            <w:vAlign w:val="bottom"/>
          </w:tcPr>
          <w:p>
            <w:pPr>
              <w:jc w:val="right"/>
              <w:ind w:right="150"/>
              <w:spacing w:after="0" w:line="197"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7"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right"/>
              <w:ind w:right="280"/>
              <w:spacing w:after="0" w:line="197" w:lineRule="exact"/>
              <w:rPr>
                <w:sz w:val="20"/>
                <w:szCs w:val="20"/>
                <w:color w:val="auto"/>
              </w:rPr>
            </w:pPr>
            <w:r>
              <w:rPr>
                <w:rFonts w:ascii="Arial" w:cs="Arial" w:eastAsia="Arial" w:hAnsi="Arial"/>
                <w:sz w:val="18"/>
                <w:szCs w:val="18"/>
                <w:color w:val="auto"/>
              </w:rPr>
              <w:t>33 % $</w:t>
            </w:r>
          </w:p>
        </w:tc>
        <w:tc>
          <w:tcPr>
            <w:tcW w:w="440" w:type="dxa"/>
            <w:vAlign w:val="bottom"/>
          </w:tcPr>
          <w:p>
            <w:pPr>
              <w:jc w:val="right"/>
              <w:spacing w:after="0" w:line="197" w:lineRule="exact"/>
              <w:rPr>
                <w:sz w:val="20"/>
                <w:szCs w:val="20"/>
                <w:color w:val="auto"/>
              </w:rPr>
            </w:pPr>
            <w:r>
              <w:rPr>
                <w:rFonts w:ascii="Arial" w:cs="Arial" w:eastAsia="Arial" w:hAnsi="Arial"/>
                <w:sz w:val="18"/>
                <w:szCs w:val="18"/>
                <w:color w:val="auto"/>
              </w:rPr>
              <w:t>178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ind w:right="448"/>
              <w:spacing w:after="0" w:line="197" w:lineRule="exact"/>
              <w:rPr>
                <w:sz w:val="20"/>
                <w:szCs w:val="20"/>
                <w:color w:val="auto"/>
              </w:rPr>
            </w:pPr>
            <w:r>
              <w:rPr>
                <w:rFonts w:ascii="Arial" w:cs="Arial" w:eastAsia="Arial" w:hAnsi="Arial"/>
                <w:sz w:val="18"/>
                <w:szCs w:val="18"/>
                <w:color w:val="auto"/>
              </w:rPr>
              <w:t>47 % $</w:t>
            </w:r>
          </w:p>
        </w:tc>
        <w:tc>
          <w:tcPr>
            <w:tcW w:w="360" w:type="dxa"/>
            <w:vAlign w:val="bottom"/>
          </w:tcPr>
          <w:p>
            <w:pPr>
              <w:jc w:val="right"/>
              <w:spacing w:after="0" w:line="197"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540"/>
              <w:spacing w:after="0" w:line="197" w:lineRule="exact"/>
              <w:rPr>
                <w:sz w:val="20"/>
                <w:szCs w:val="20"/>
                <w:color w:val="auto"/>
              </w:rPr>
            </w:pPr>
            <w:r>
              <w:rPr>
                <w:rFonts w:ascii="Arial" w:cs="Arial" w:eastAsia="Arial" w:hAnsi="Arial"/>
                <w:sz w:val="18"/>
                <w:szCs w:val="18"/>
                <w:color w:val="auto"/>
              </w:rPr>
              <w:t>36 % $</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w w:val="99"/>
              </w:rPr>
              <w:t>413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5"/>
        </w:trPr>
        <w:tc>
          <w:tcPr>
            <w:tcW w:w="2320" w:type="dxa"/>
            <w:vAlign w:val="bottom"/>
          </w:tcPr>
          <w:p>
            <w:pPr>
              <w:ind w:left="20"/>
              <w:spacing w:after="0" w:line="235" w:lineRule="exact"/>
              <w:rPr>
                <w:sz w:val="20"/>
                <w:szCs w:val="20"/>
                <w:color w:val="auto"/>
              </w:rPr>
            </w:pPr>
            <w:r>
              <w:rPr>
                <w:rFonts w:ascii="Arial" w:cs="Arial" w:eastAsia="Arial" w:hAnsi="Arial"/>
                <w:sz w:val="18"/>
                <w:szCs w:val="18"/>
                <w:color w:val="auto"/>
              </w:rPr>
              <w:t>North America</w:t>
            </w:r>
            <w:r>
              <w:rPr>
                <w:rFonts w:ascii="Arial" w:cs="Arial" w:eastAsia="Arial" w:hAnsi="Arial"/>
                <w:sz w:val="24"/>
                <w:szCs w:val="24"/>
                <w:color w:val="auto"/>
                <w:vertAlign w:val="superscript"/>
              </w:rPr>
              <w:t>(1)</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c>
          <w:tcPr>
            <w:tcW w:w="4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49 %</w:t>
            </w: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335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9"/>
        </w:trPr>
        <w:tc>
          <w:tcPr>
            <w:tcW w:w="232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c>
          <w:tcPr>
            <w:tcW w:w="4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2320" w:type="dxa"/>
            <w:vAlign w:val="bottom"/>
            <w:vMerge w:val="restart"/>
          </w:tcPr>
          <w:p>
            <w:pPr>
              <w:ind w:left="280"/>
              <w:spacing w:after="0" w:line="180" w:lineRule="exact"/>
              <w:rPr>
                <w:sz w:val="20"/>
                <w:szCs w:val="20"/>
                <w:color w:val="auto"/>
              </w:rPr>
            </w:pPr>
            <w:r>
              <w:rPr>
                <w:rFonts w:ascii="Arial" w:cs="Arial" w:eastAsia="Arial" w:hAnsi="Arial"/>
                <w:sz w:val="18"/>
                <w:szCs w:val="18"/>
                <w:color w:val="auto"/>
              </w:rPr>
              <w:t>Core marketplace</w:t>
            </w: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20" w:type="dxa"/>
            <w:vAlign w:val="bottom"/>
            <w:vMerge w:val="continue"/>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100 % $</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vMerge w:val="restart"/>
          </w:tcPr>
          <w:p>
            <w:pPr>
              <w:jc w:val="right"/>
              <w:ind w:right="448"/>
              <w:spacing w:after="0"/>
              <w:rPr>
                <w:sz w:val="20"/>
                <w:szCs w:val="20"/>
                <w:color w:val="auto"/>
              </w:rPr>
            </w:pPr>
            <w:r>
              <w:rPr>
                <w:rFonts w:ascii="Arial" w:cs="Arial" w:eastAsia="Arial" w:hAnsi="Arial"/>
                <w:sz w:val="18"/>
                <w:szCs w:val="18"/>
                <w:color w:val="auto"/>
              </w:rPr>
              <w:t>100 % $</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3"/>
            <w:vMerge w:val="restart"/>
          </w:tcPr>
          <w:p>
            <w:pPr>
              <w:jc w:val="right"/>
              <w:ind w:right="540"/>
              <w:spacing w:after="0"/>
              <w:rPr>
                <w:sz w:val="20"/>
                <w:szCs w:val="20"/>
                <w:color w:val="auto"/>
              </w:rPr>
            </w:pPr>
            <w:r>
              <w:rPr>
                <w:rFonts w:ascii="Arial" w:cs="Arial" w:eastAsia="Arial" w:hAnsi="Arial"/>
                <w:sz w:val="18"/>
                <w:szCs w:val="18"/>
                <w:color w:val="auto"/>
              </w:rPr>
              <w:t>100 % $</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99"/>
              </w:rPr>
              <w:t>855</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8"/>
        </w:trPr>
        <w:tc>
          <w:tcPr>
            <w:tcW w:w="2320" w:type="dxa"/>
            <w:vAlign w:val="bottom"/>
          </w:tcPr>
          <w:p>
            <w:pPr>
              <w:ind w:left="280"/>
              <w:spacing w:after="0" w:line="198" w:lineRule="exact"/>
              <w:rPr>
                <w:sz w:val="20"/>
                <w:szCs w:val="20"/>
                <w:color w:val="auto"/>
              </w:rPr>
            </w:pPr>
            <w:r>
              <w:rPr>
                <w:rFonts w:ascii="Arial" w:cs="Arial" w:eastAsia="Arial" w:hAnsi="Arial"/>
                <w:sz w:val="18"/>
                <w:szCs w:val="18"/>
                <w:color w:val="auto"/>
              </w:rPr>
              <w:t>revenue</w:t>
            </w:r>
          </w:p>
        </w:tc>
        <w:tc>
          <w:tcPr>
            <w:tcW w:w="3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69" w:lineRule="exact"/>
        <w:rPr>
          <w:sz w:val="20"/>
          <w:szCs w:val="20"/>
          <w:color w:val="auto"/>
        </w:rPr>
      </w:pPr>
    </w:p>
    <w:p>
      <w:pPr>
        <w:ind w:left="1020" w:right="200" w:hanging="503"/>
        <w:spacing w:after="0" w:line="291" w:lineRule="auto"/>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United States accounted for $22 million and $57 million of core marketplace revenue for the three and six months ended June 30, 2022, respectively and $124 million and $280 million for the three and six months ended June 30, 2021, respectively.</w:t>
      </w:r>
    </w:p>
    <w:p>
      <w:pPr>
        <w:spacing w:after="0" w:line="99" w:lineRule="exact"/>
        <w:rPr>
          <w:sz w:val="20"/>
          <w:szCs w:val="20"/>
          <w:color w:val="auto"/>
        </w:rPr>
      </w:pPr>
    </w:p>
    <w:p>
      <w:pPr>
        <w:jc w:val="both"/>
        <w:ind w:right="60" w:firstLine="644"/>
        <w:spacing w:after="0" w:line="276" w:lineRule="auto"/>
        <w:rPr>
          <w:sz w:val="20"/>
          <w:szCs w:val="20"/>
          <w:color w:val="auto"/>
        </w:rPr>
      </w:pPr>
      <w:r>
        <w:rPr>
          <w:rFonts w:ascii="Arial" w:cs="Arial" w:eastAsia="Arial" w:hAnsi="Arial"/>
          <w:sz w:val="18"/>
          <w:szCs w:val="18"/>
          <w:color w:val="auto"/>
        </w:rPr>
        <w:t>China accounted for substantially all of marketplace and logistics revenue during the three and six months ended June 30, 2022 and 2021 based on the location of the merchants’ operations.</w:t>
      </w:r>
    </w:p>
    <w:p>
      <w:pPr>
        <w:spacing w:after="0" w:line="91" w:lineRule="exact"/>
        <w:rPr>
          <w:sz w:val="20"/>
          <w:szCs w:val="20"/>
          <w:color w:val="auto"/>
        </w:rPr>
      </w:pPr>
    </w:p>
    <w:p>
      <w:pPr>
        <w:jc w:val="both"/>
        <w:ind w:right="60" w:firstLine="644"/>
        <w:spacing w:after="0" w:line="263" w:lineRule="auto"/>
        <w:rPr>
          <w:sz w:val="20"/>
          <w:szCs w:val="20"/>
          <w:color w:val="auto"/>
        </w:rPr>
      </w:pPr>
      <w:r>
        <w:rPr>
          <w:rFonts w:ascii="Arial" w:cs="Arial" w:eastAsia="Arial" w:hAnsi="Arial"/>
          <w:sz w:val="18"/>
          <w:szCs w:val="18"/>
          <w:color w:val="auto"/>
        </w:rPr>
        <w:t>The Company’s long -lived tangible assets, which consist of property and equipment, net and operating lease right-of-use assets, net, located in the United States were 85% of the total long-lived tangible assets as of June 30, 2022 and December 31, 2021. The long-lived tangible assets outside the United States were located in China, Canada and the Netherlands.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COSTS</w:t>
      </w:r>
    </w:p>
    <w:p>
      <w:pPr>
        <w:spacing w:after="0" w:line="173" w:lineRule="exact"/>
        <w:rPr>
          <w:sz w:val="20"/>
          <w:szCs w:val="20"/>
          <w:color w:val="auto"/>
        </w:rPr>
      </w:pPr>
    </w:p>
    <w:p>
      <w:pPr>
        <w:jc w:val="both"/>
        <w:ind w:right="60" w:firstLine="644"/>
        <w:spacing w:after="0" w:line="249" w:lineRule="auto"/>
        <w:rPr>
          <w:sz w:val="20"/>
          <w:szCs w:val="20"/>
          <w:color w:val="auto"/>
        </w:rPr>
      </w:pPr>
      <w:r>
        <w:rPr>
          <w:rFonts w:ascii="Arial" w:cs="Arial" w:eastAsia="Arial" w:hAnsi="Arial"/>
          <w:sz w:val="18"/>
          <w:szCs w:val="18"/>
          <w:color w:val="auto"/>
        </w:rPr>
        <w:t>In February 2022, the Company’s Board approved the February 2022 Restructuring Plan (“Restructuring Plan”) to refocus the Company’s operations to support sustainable long-term growth, better align resources, and improve operational efficiencies. The Restructuring Plan includes i) reducing the Company’s headcount by approximately 15% (or approximately 190 positions), ii) exiting various office leases, and iii) reducing and realigning vendor expenditures. The Company expects the Restructuring Plan to be substantially implemented by the end of fiscal year 2022.</w:t>
      </w:r>
    </w:p>
    <w:p>
      <w:pPr>
        <w:spacing w:after="0" w:line="114" w:lineRule="exact"/>
        <w:rPr>
          <w:sz w:val="20"/>
          <w:szCs w:val="20"/>
          <w:color w:val="auto"/>
        </w:rPr>
      </w:pPr>
    </w:p>
    <w:p>
      <w:pPr>
        <w:jc w:val="both"/>
        <w:ind w:right="60" w:firstLine="644"/>
        <w:spacing w:after="0" w:line="253" w:lineRule="auto"/>
        <w:rPr>
          <w:sz w:val="20"/>
          <w:szCs w:val="20"/>
          <w:color w:val="auto"/>
        </w:rPr>
      </w:pPr>
      <w:r>
        <w:rPr>
          <w:rFonts w:ascii="Arial" w:cs="Arial" w:eastAsia="Arial" w:hAnsi="Arial"/>
          <w:sz w:val="18"/>
          <w:szCs w:val="18"/>
          <w:color w:val="auto"/>
        </w:rPr>
        <w:t>During the three months ended June 30, 2022, the Company recorded $2 million in impairments of lease assets and property and equipment. During the six months ended June 30, 2022, the Company recorded charges of approximately $3 million in severance and other personnel reductions costs for terminated employees and $6 million in impairments of lease assets and property and equipment. Substantially all related severance payments have been paid as of June 30, 2022.</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9"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SUBSEQUENT EVENTS</w:t>
      </w:r>
    </w:p>
    <w:p>
      <w:pPr>
        <w:spacing w:after="0" w:line="17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On August 4, 2022, Mr. Szulcewski provided notice of his intention to resign as a member of the Company's Board, effective August 9, 2022. In tandem with his resignation notice, Mr. Szulcewski submitted a conversion notice to convert (the “Conversion”) all shares of Class B common stock of the Company he held into the same number of shares of Class A common stock of the Company, also effective August 9, 2022. The Class B common stock was entitled to twenty votes per share and the Class A common stock is entitled to one vote per share.</w:t>
      </w:r>
    </w:p>
    <w:p>
      <w:pPr>
        <w:spacing w:after="0" w:line="113"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In accordance with the Company’s Amended and Restated Certificate of Incorporation (the “Certificate of Incorporation”), due to the outstanding shares of Class B common stock representing less than five percent (5%) of the aggregate number of outstanding shares of Class A common stock and Class B common stock outstanding after the Conversion, all remaining shares of Class B common stock have been automatically converted into Class A common stock immediately following the Conversion and no further Class B common stock will be issued. Additionally, all shares issuable pursuant to outstanding awards under the Company’s 2010 Stock Plan will be issuable for Class A common stock. Pursuant to the Certificate of Incorporation, the Conversion triggered various corporate governance changes as previously disclosed in the Company’s filings, which include:</w:t>
      </w:r>
    </w:p>
    <w:p>
      <w:pPr>
        <w:spacing w:after="0" w:line="6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will be classified into three classes of directors with staggered three-year terms;</w:t>
      </w:r>
    </w:p>
    <w:p>
      <w:pPr>
        <w:spacing w:after="0" w:line="75" w:lineRule="exact"/>
        <w:rPr>
          <w:rFonts w:ascii="Times New Roman" w:cs="Times New Roman" w:eastAsia="Times New Roman" w:hAnsi="Times New Roman"/>
          <w:sz w:val="18"/>
          <w:szCs w:val="18"/>
          <w:color w:val="auto"/>
        </w:rPr>
      </w:pPr>
    </w:p>
    <w:p>
      <w:pPr>
        <w:ind w:left="1020" w:right="20" w:hanging="503"/>
        <w:spacing w:after="0" w:line="289"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will be able to be removed only for cause and only by the affirmative vote of the holders of at least two-thirds of the voting power of the Common Stock; and</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will only be able to take action at a meeting of stockholders and not by written consent.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2021 included in our Annual Report on Form 10-K for the year ended December 31, 2021 (the "2021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2021 Form 10-K, as updated and supplemented by our Quarterly Reports on Form 10-Q, including in Part 2, Item 1A, the Special Note Regarding Forward-Looking Statements in this Quarterly Report on Form 10-Q, and elsewhere in this Quarterly Report on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2022</w:t>
      </w:r>
    </w:p>
    <w:p>
      <w:pPr>
        <w:spacing w:after="0" w:line="146" w:lineRule="exact"/>
        <w:rPr>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was $134 million.</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and operating expenses were $225 million, including stock-based compensation expense of $29 million.</w:t>
      </w:r>
    </w:p>
    <w:p>
      <w:pPr>
        <w:spacing w:after="0" w:line="4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Loss from operations was $91 million.</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$90 million.</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a loss of $58 million or 43% of total revenue.</w:t>
      </w:r>
    </w:p>
    <w:p>
      <w:pPr>
        <w:spacing w:after="0" w:line="6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and marketable securities were $947 million.</w:t>
      </w:r>
    </w:p>
    <w:p>
      <w:pPr>
        <w:spacing w:after="0" w:line="143" w:lineRule="exact"/>
        <w:rPr>
          <w:sz w:val="20"/>
          <w:szCs w:val="20"/>
          <w:color w:val="auto"/>
        </w:rPr>
      </w:pPr>
    </w:p>
    <w:p>
      <w:pPr>
        <w:jc w:val="both"/>
        <w:ind w:firstLine="644"/>
        <w:spacing w:after="0" w:line="224" w:lineRule="auto"/>
        <w:rPr>
          <w:sz w:val="20"/>
          <w:szCs w:val="20"/>
          <w:color w:val="auto"/>
        </w:rPr>
      </w:pPr>
      <w:r>
        <w:rPr>
          <w:rFonts w:ascii="Arial" w:cs="Arial" w:eastAsia="Arial" w:hAnsi="Arial"/>
          <w:sz w:val="18"/>
          <w:szCs w:val="18"/>
          <w:color w:val="auto"/>
        </w:rPr>
        <w:t>As of June 30, 2022, we had an accumulated deficit of $2.7 billion. We expect losses from operations to continue for the foreseeable future as we incur costs and expenses related to brand development, expansion of market share, and continued development of our mobile</w:t>
      </w:r>
    </w:p>
    <w:p>
      <w:pPr>
        <w:spacing w:after="0"/>
        <w:rPr>
          <w:sz w:val="20"/>
          <w:szCs w:val="20"/>
          <w:color w:val="auto"/>
        </w:rPr>
      </w:pPr>
      <w:r>
        <w:rPr>
          <w:rFonts w:ascii="Arial" w:cs="Arial" w:eastAsia="Arial" w:hAnsi="Arial"/>
          <w:sz w:val="18"/>
          <w:szCs w:val="18"/>
          <w:color w:val="auto"/>
        </w:rPr>
        <w:t>shopping marketplace infrastructure.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half of 2022, we continued to face headwinds from the rise in digital advertising costs which has among other things</w:t>
      </w:r>
    </w:p>
    <w:p>
      <w:pPr>
        <w:spacing w:after="0" w:line="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impacted new customer acquisition and conversion. In response to rising digital advertising costs, starting in the third quarter of 2021, we decided to significantly reduce our digital advertising expenditures as we focused our resources on other strategic initiatives. As discussed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below under “Key Financial and Performance Metrics,” our monthly active users (“MAUs”) and last twelve months (“LTM”) active buyers have been negatively impacted by our decision to significantly reduce our digital advertising expenditures over the past twelve months.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Beginning late June of 2022, the Company began to ramp up digital advertising spend and initiated a number of programs which we</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believe could enhance the consumer experience, encourage customer acquisition, increase consumer retention, and position the Company for long-term sustainable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60"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As of the date of filing of this Quarterly Report, the outbreak of COVID-19, including recent and any future variants, has affected businesses worldwide, and continues to impact the major markets in which we operate. Our business, operations and financial condition and results have been and may continue to be impacted by the COVID-19 pandemic and a range of external factors related to the COVID-19 pandemic that are not within our control. The COVID-19 pandemic has resulted in significant governmental measures being implemented at various times and in various geographic areas over the course of the pandemic to control the spread of the virus. Our operations as well as the operations of our third-party merchants have been, and we expect will continue to be, disrupted by varying individual and governmental responses to COVID-19 around the world and could be disrupted by future pandemics.</w:t>
      </w:r>
    </w:p>
    <w:p>
      <w:pPr>
        <w:spacing w:after="0" w:line="13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In addition, the COVID-19 pandemic has also disrupted the global supply chain, which may interfere with the delivery of our merchants’ products to our users. Our MAUs, LTM Active Buyers and revenue may be negatively impacted due to a combination of reasons including: (i) macroeconomic factors such as worldwide retail businesses reopening; (ii) the disruption of the global supply chain; and (iii) change in consumer spending trends.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February 2022 Restructuring Plan</w:t>
      </w:r>
    </w:p>
    <w:p>
      <w:pPr>
        <w:spacing w:after="0" w:line="173" w:lineRule="exact"/>
        <w:rPr>
          <w:sz w:val="20"/>
          <w:szCs w:val="20"/>
          <w:color w:val="auto"/>
        </w:rPr>
      </w:pPr>
    </w:p>
    <w:p>
      <w:pPr>
        <w:jc w:val="both"/>
        <w:ind w:right="100" w:firstLine="644"/>
        <w:spacing w:after="0" w:line="255" w:lineRule="auto"/>
        <w:rPr>
          <w:sz w:val="20"/>
          <w:szCs w:val="20"/>
          <w:color w:val="auto"/>
        </w:rPr>
      </w:pPr>
      <w:r>
        <w:rPr>
          <w:rFonts w:ascii="Arial" w:cs="Arial" w:eastAsia="Arial" w:hAnsi="Arial"/>
          <w:sz w:val="18"/>
          <w:szCs w:val="18"/>
          <w:color w:val="auto"/>
        </w:rPr>
        <w:t>In February 2022, our Board of Directors approved the Restructuring Plan to refocus our operations to support sustainable long-term growth, better align resources, and improve operational efficiencies. We expect the Restructuring Plan to be substantially implemented by the end of fiscal year 2022.</w:t>
      </w:r>
    </w:p>
    <w:p>
      <w:pPr>
        <w:spacing w:after="0" w:line="123" w:lineRule="exact"/>
        <w:rPr>
          <w:sz w:val="20"/>
          <w:szCs w:val="20"/>
          <w:color w:val="auto"/>
        </w:rPr>
      </w:pPr>
    </w:p>
    <w:p>
      <w:pPr>
        <w:jc w:val="both"/>
        <w:ind w:right="100" w:firstLine="644"/>
        <w:spacing w:after="0" w:line="249" w:lineRule="auto"/>
        <w:rPr>
          <w:sz w:val="20"/>
          <w:szCs w:val="20"/>
          <w:color w:val="auto"/>
        </w:rPr>
      </w:pPr>
      <w:r>
        <w:rPr>
          <w:rFonts w:ascii="Arial" w:cs="Arial" w:eastAsia="Arial" w:hAnsi="Arial"/>
          <w:sz w:val="18"/>
          <w:szCs w:val="18"/>
          <w:color w:val="auto"/>
        </w:rPr>
        <w:t>The Restructuring Plan includes i) reducing our headcount by approximately 15% (or approximately 190 positions), ii) exiting various office leases, and iii) reducing and realigning vendor expenditures. During the three months ended June 30, 2022, we recorded charges of approximately $2 million in impairments of lease assets and property. During the six months ended June 30, 2022, we recorded charges of $3 million in severance and other personnel reductions costs for terminated employees and $6 million in impairments of lease assets and property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60"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Our business benefits from powerful network effects, fueled by our data advantage and massive scale. As more users join Wish, attracted by our affordable value proposition and personalized shopping experiences, we are able to increase revenue potential for our merchants. The successes of our merchants attract more merchants and broaden the product selection on Wish’s platform, which further improves user experiences. The growth in users and merchants generates more data, which, in turn, refines our algorithm and strengthens our data advantage. By focusing on users and merchants, we align their success with our own.</w:t>
      </w:r>
    </w:p>
    <w:p>
      <w:pPr>
        <w:spacing w:after="0" w:line="111" w:lineRule="exact"/>
        <w:rPr>
          <w:sz w:val="20"/>
          <w:szCs w:val="20"/>
          <w:color w:val="auto"/>
        </w:rPr>
      </w:pPr>
    </w:p>
    <w:p>
      <w:pPr>
        <w:jc w:val="both"/>
        <w:ind w:right="100" w:firstLine="636"/>
        <w:spacing w:after="0" w:line="263" w:lineRule="auto"/>
        <w:rPr>
          <w:sz w:val="20"/>
          <w:szCs w:val="20"/>
          <w:color w:val="auto"/>
        </w:rPr>
      </w:pPr>
      <w:r>
        <w:rPr>
          <w:rFonts w:ascii="Arial" w:cs="Arial" w:eastAsia="Arial" w:hAnsi="Arial"/>
          <w:sz w:val="18"/>
          <w:szCs w:val="18"/>
          <w:color w:val="auto"/>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46" w:lineRule="exact"/>
        <w:rPr>
          <w:sz w:val="20"/>
          <w:szCs w:val="20"/>
          <w:color w:val="auto"/>
        </w:rPr>
      </w:pPr>
    </w:p>
    <w:p>
      <w:pPr>
        <w:jc w:val="both"/>
        <w:ind w:right="100" w:firstLine="644"/>
        <w:spacing w:after="0" w:line="260" w:lineRule="auto"/>
        <w:rPr>
          <w:sz w:val="20"/>
          <w:szCs w:val="20"/>
          <w:color w:val="auto"/>
        </w:rPr>
      </w:pPr>
      <w:r>
        <w:rPr>
          <w:rFonts w:ascii="Arial" w:cs="Arial" w:eastAsia="Arial" w:hAnsi="Arial"/>
          <w:sz w:val="18"/>
          <w:szCs w:val="18"/>
          <w:color w:val="auto"/>
        </w:rPr>
        <w:t>In addition to the measures presented in our condensed consolidated financial statements, we monitor the following key metrics and other financial information to measure our performance, identify trends affecting our business, and make strategic decisions.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8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9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960" w:type="dxa"/>
            <w:vAlign w:val="bottom"/>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MAU</w:t>
            </w: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LTM Active Buyers</w:t>
            </w:r>
          </w:p>
        </w:tc>
        <w:tc>
          <w:tcPr>
            <w:tcW w:w="1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(58 )</w:t>
            </w:r>
          </w:p>
        </w:tc>
        <w:tc>
          <w:tcPr>
            <w:tcW w:w="94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(67 )</w:t>
            </w:r>
          </w:p>
        </w:tc>
        <w:tc>
          <w:tcPr>
            <w:tcW w:w="1080" w:type="dxa"/>
            <w:vAlign w:val="bottom"/>
            <w:shd w:val="clear" w:color="auto" w:fill="CFF0FC"/>
          </w:tcPr>
          <w:p>
            <w:pPr>
              <w:jc w:val="center"/>
              <w:ind w:right="89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(98 )</w:t>
            </w: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17"/>
                <w:szCs w:val="17"/>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(43 )%</w:t>
            </w:r>
          </w:p>
        </w:tc>
        <w:tc>
          <w:tcPr>
            <w:tcW w:w="9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10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(30 )%</w:t>
            </w:r>
          </w:p>
        </w:tc>
        <w:tc>
          <w:tcPr>
            <w:tcW w:w="58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(10 )%</w:t>
            </w:r>
          </w:p>
        </w:tc>
      </w:tr>
      <w:tr>
        <w:trPr>
          <w:trHeight w:val="203"/>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Free Cash Flow</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(67 )</w:t>
            </w:r>
          </w:p>
        </w:tc>
        <w:tc>
          <w:tcPr>
            <w:tcW w:w="94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(205 )</w:t>
            </w:r>
          </w:p>
        </w:tc>
        <w:tc>
          <w:tcPr>
            <w:tcW w:w="1080" w:type="dxa"/>
            <w:vAlign w:val="bottom"/>
            <w:shd w:val="clear" w:color="auto" w:fill="CFF0FC"/>
          </w:tcPr>
          <w:p>
            <w:pPr>
              <w:jc w:val="center"/>
              <w:ind w:right="89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(215 )</w:t>
            </w: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(559 )</w:t>
            </w:r>
          </w:p>
        </w:tc>
        <w:tc>
          <w:tcPr>
            <w:tcW w:w="100" w:type="dxa"/>
            <w:vAlign w:val="bottom"/>
          </w:tcPr>
          <w:p>
            <w:pPr>
              <w:spacing w:after="0"/>
              <w:rPr>
                <w:sz w:val="17"/>
                <w:szCs w:val="17"/>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160" w:lineRule="exact"/>
        <w:rPr>
          <w:sz w:val="20"/>
          <w:szCs w:val="20"/>
          <w:color w:val="auto"/>
        </w:rPr>
      </w:pPr>
    </w:p>
    <w:p>
      <w:pPr>
        <w:jc w:val="both"/>
        <w:ind w:right="100" w:firstLine="636"/>
        <w:spacing w:after="0" w:line="253"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key driver of revenue growth as well as a key indicator of user engagement and brand awareness.</w:t>
      </w:r>
    </w:p>
    <w:p>
      <w:pPr>
        <w:spacing w:after="0" w:line="111" w:lineRule="exact"/>
        <w:rPr>
          <w:sz w:val="20"/>
          <w:szCs w:val="20"/>
          <w:color w:val="auto"/>
        </w:rPr>
      </w:pPr>
    </w:p>
    <w:p>
      <w:pPr>
        <w:jc w:val="both"/>
        <w:ind w:right="100" w:firstLine="636"/>
        <w:spacing w:after="0" w:line="263" w:lineRule="auto"/>
        <w:rPr>
          <w:sz w:val="20"/>
          <w:szCs w:val="20"/>
          <w:color w:val="auto"/>
        </w:rPr>
      </w:pPr>
      <w:r>
        <w:rPr>
          <w:rFonts w:ascii="Arial" w:cs="Arial" w:eastAsia="Arial" w:hAnsi="Arial"/>
          <w:sz w:val="18"/>
          <w:szCs w:val="18"/>
          <w:color w:val="auto"/>
        </w:rPr>
        <w:t>MAUs decreased approximately 74% for the three and six months ended June 30, 2022 compared to the three and six months ended June 30, 2021, respectively. We believe this decline was primarily driven by our decision to significantly reduce our digital advertising expenditures.</w:t>
      </w:r>
    </w:p>
    <w:p>
      <w:pPr>
        <w:spacing w:after="0" w:line="1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7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LTM Active Buyers</w:t>
      </w:r>
    </w:p>
    <w:p>
      <w:pPr>
        <w:spacing w:after="0" w:line="173"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As of the last date of each reported period, we determine our number of unique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Active Buyers is an indicator of our ability to attract and monetize a large user base to our platform and of our ability to convert visits into purchases. We believe that increasing our Active Buyers will be a significant driver to our future revenue growth.</w:t>
      </w:r>
    </w:p>
    <w:p>
      <w:pPr>
        <w:spacing w:after="0" w:line="13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LTM Active Buyers decreased approximately 62% for the three and six months ended June 30, 2022 compared to the three and six months ended June 30, 2021. We believe this decline was primarily driven by reduced digital advertising expenditures resulting in lower MAUs and conversion.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Metrics</w:t>
      </w:r>
    </w:p>
    <w:p>
      <w:pPr>
        <w:spacing w:after="0" w:line="173"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8"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We provide Adjusted EBITDA, a non-U.S. GAAP financial measure that represents our net loss before interest and other income, net (which includes foreign exchange gain or loss and gain or loss on one-time transactions recognized), income tax expense, and depreciation and amortization, adjusted to eliminate stock-based compensation expense and related payroll taxes, lease termination and impairment related expenses, and to add back certain recurring other items. Additionally, we provide Adjusted EBITDA Margin, a non-U.S. GAAP financial measure that represents Adjusted EBITDA divided by revenue. Below is a reconciliation of Adjusted EBITDA to net loss, the most directly comparable U.S. GAAP financial measure.</w:t>
      </w:r>
    </w:p>
    <w:p>
      <w:pPr>
        <w:spacing w:after="0" w:line="116"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certain non-recurring cash items, and certain variable charges.</w:t>
      </w:r>
    </w:p>
    <w:p>
      <w:pPr>
        <w:spacing w:after="0" w:line="128" w:lineRule="exact"/>
        <w:rPr>
          <w:sz w:val="20"/>
          <w:szCs w:val="20"/>
          <w:color w:val="auto"/>
        </w:rPr>
      </w:pPr>
    </w:p>
    <w:p>
      <w:pPr>
        <w:jc w:val="both"/>
        <w:ind w:right="20" w:firstLine="644"/>
        <w:spacing w:after="0" w:line="276"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U.S. GAAP. Some of these limitations are:</w:t>
      </w:r>
    </w:p>
    <w:p>
      <w:pPr>
        <w:spacing w:after="0" w:line="91" w:lineRule="exact"/>
        <w:rPr>
          <w:sz w:val="20"/>
          <w:szCs w:val="20"/>
          <w:color w:val="auto"/>
        </w:rPr>
      </w:pPr>
    </w:p>
    <w:p>
      <w:pPr>
        <w:jc w:val="both"/>
        <w:ind w:left="1020" w:hanging="376"/>
        <w:spacing w:after="0" w:line="26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3"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89"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consider the impact of stock-based compensation and related payroll taxes;</w:t>
      </w:r>
    </w:p>
    <w:p>
      <w:pPr>
        <w:spacing w:after="0" w:line="75"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75" w:lineRule="exact"/>
        <w:rPr>
          <w:rFonts w:ascii="Times New Roman" w:cs="Times New Roman" w:eastAsia="Times New Roman" w:hAnsi="Times New Roman"/>
          <w:sz w:val="18"/>
          <w:szCs w:val="18"/>
          <w:color w:val="auto"/>
        </w:rPr>
      </w:pPr>
    </w:p>
    <w:p>
      <w:pPr>
        <w:ind w:left="1020" w:hanging="376"/>
        <w:spacing w:after="0" w:line="291"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78" w:lineRule="exact"/>
        <w:rPr>
          <w:sz w:val="20"/>
          <w:szCs w:val="20"/>
          <w:color w:val="auto"/>
        </w:rPr>
      </w:pPr>
    </w:p>
    <w:p>
      <w:pPr>
        <w:ind w:firstLine="636"/>
        <w:spacing w:after="0" w:line="276"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loss and our other U.S. GAAP results.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28" w:name="page29"/>
    <w:bookmarkEnd w:id="28"/>
    <w:p>
      <w:pPr>
        <w:ind w:right="100" w:firstLine="644"/>
        <w:spacing w:after="0" w:line="292"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20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w w:val="99"/>
              </w:rPr>
              <w:t>June 30,</w:t>
            </w:r>
          </w:p>
        </w:tc>
        <w:tc>
          <w:tcPr>
            <w:tcW w:w="3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millions)</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4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tcPr>
          <w:p>
            <w:pPr>
              <w:spacing w:after="0"/>
              <w:rPr>
                <w:sz w:val="17"/>
                <w:szCs w:val="17"/>
                <w:color w:val="auto"/>
              </w:rPr>
            </w:pPr>
          </w:p>
        </w:tc>
        <w:tc>
          <w:tcPr>
            <w:tcW w:w="740" w:type="dxa"/>
            <w:vAlign w:val="bottom"/>
            <w:gridSpan w:val="2"/>
          </w:tcPr>
          <w:p>
            <w:pPr>
              <w:jc w:val="right"/>
              <w:ind w:right="279"/>
              <w:spacing w:after="0"/>
              <w:rPr>
                <w:sz w:val="20"/>
                <w:szCs w:val="20"/>
                <w:color w:val="auto"/>
              </w:rPr>
            </w:pPr>
            <w:r>
              <w:rPr>
                <w:rFonts w:ascii="Arial" w:cs="Arial" w:eastAsia="Arial" w:hAnsi="Arial"/>
                <w:sz w:val="16"/>
                <w:szCs w:val="16"/>
                <w:color w:val="auto"/>
              </w:rPr>
              <w:t>(90 )</w:t>
            </w:r>
          </w:p>
        </w:tc>
        <w:tc>
          <w:tcPr>
            <w:tcW w:w="740" w:type="dxa"/>
            <w:vAlign w:val="bottom"/>
          </w:tcPr>
          <w:p>
            <w:pPr>
              <w:spacing w:after="0"/>
              <w:rPr>
                <w:sz w:val="17"/>
                <w:szCs w:val="17"/>
                <w:color w:val="auto"/>
              </w:rPr>
            </w:pPr>
          </w:p>
        </w:tc>
        <w:tc>
          <w:tcPr>
            <w:tcW w:w="740" w:type="dxa"/>
            <w:vAlign w:val="bottom"/>
            <w:gridSpan w:val="2"/>
          </w:tcPr>
          <w:p>
            <w:pPr>
              <w:jc w:val="right"/>
              <w:ind w:right="259"/>
              <w:spacing w:after="0"/>
              <w:rPr>
                <w:sz w:val="20"/>
                <w:szCs w:val="20"/>
                <w:color w:val="auto"/>
              </w:rPr>
            </w:pPr>
            <w:r>
              <w:rPr>
                <w:rFonts w:ascii="Arial" w:cs="Arial" w:eastAsia="Arial" w:hAnsi="Arial"/>
                <w:sz w:val="16"/>
                <w:szCs w:val="16"/>
                <w:color w:val="auto"/>
                <w:w w:val="90"/>
              </w:rPr>
              <w:t>(111 )</w:t>
            </w:r>
          </w:p>
        </w:tc>
        <w:tc>
          <w:tcPr>
            <w:tcW w:w="340" w:type="dxa"/>
            <w:vAlign w:val="bottom"/>
          </w:tcPr>
          <w:p>
            <w:pPr>
              <w:spacing w:after="0"/>
              <w:rPr>
                <w:sz w:val="17"/>
                <w:szCs w:val="17"/>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6"/>
                <w:szCs w:val="16"/>
                <w:color w:val="auto"/>
              </w:rPr>
              <w:t>(150 )</w:t>
            </w: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(239 )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6"/>
                <w:szCs w:val="16"/>
                <w:color w:val="auto"/>
              </w:rPr>
              <w:t>Net loss as a percentage of revenue</w:t>
            </w:r>
          </w:p>
        </w:tc>
        <w:tc>
          <w:tcPr>
            <w:tcW w:w="720" w:type="dxa"/>
            <w:vAlign w:val="bottom"/>
          </w:tcPr>
          <w:p>
            <w:pPr>
              <w:spacing w:after="0"/>
              <w:rPr>
                <w:sz w:val="17"/>
                <w:szCs w:val="17"/>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6"/>
                <w:szCs w:val="16"/>
                <w:color w:val="auto"/>
              </w:rPr>
              <w:t>(67 )%</w:t>
            </w:r>
          </w:p>
        </w:tc>
        <w:tc>
          <w:tcPr>
            <w:tcW w:w="740" w:type="dxa"/>
            <w:vAlign w:val="bottom"/>
          </w:tcPr>
          <w:p>
            <w:pPr>
              <w:spacing w:after="0"/>
              <w:rPr>
                <w:sz w:val="17"/>
                <w:szCs w:val="17"/>
                <w:color w:val="auto"/>
              </w:rPr>
            </w:pP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rPr>
              <w:t>(17 )%</w:t>
            </w:r>
          </w:p>
        </w:tc>
        <w:tc>
          <w:tcPr>
            <w:tcW w:w="34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(46 )%</w:t>
            </w:r>
          </w:p>
        </w:tc>
        <w:tc>
          <w:tcPr>
            <w:tcW w:w="2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Arial" w:cs="Arial" w:eastAsia="Arial" w:hAnsi="Arial"/>
                <w:sz w:val="16"/>
                <w:szCs w:val="16"/>
                <w:color w:val="auto"/>
              </w:rPr>
              <w:t>Excluding:</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7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(2 )</w:t>
            </w:r>
          </w:p>
        </w:tc>
        <w:tc>
          <w:tcPr>
            <w:tcW w:w="7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(8 )</w:t>
            </w:r>
          </w:p>
        </w:tc>
        <w:tc>
          <w:tcPr>
            <w:tcW w:w="3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(4 )</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4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580" w:type="dxa"/>
            <w:vAlign w:val="bottom"/>
          </w:tcPr>
          <w:p>
            <w:pPr>
              <w:ind w:left="200"/>
              <w:spacing w:after="0" w:line="148" w:lineRule="exact"/>
              <w:rPr>
                <w:sz w:val="20"/>
                <w:szCs w:val="20"/>
                <w:color w:val="auto"/>
              </w:rPr>
            </w:pPr>
            <w:r>
              <w:rPr>
                <w:rFonts w:ascii="Arial" w:cs="Arial" w:eastAsia="Arial" w:hAnsi="Arial"/>
                <w:sz w:val="16"/>
                <w:szCs w:val="16"/>
                <w:color w:val="auto"/>
              </w:rPr>
              <w:t>Stock-based compensation expense and related employer payroll</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line="216" w:lineRule="exact"/>
              <w:rPr>
                <w:sz w:val="20"/>
                <w:szCs w:val="20"/>
                <w:color w:val="auto"/>
              </w:rPr>
            </w:pPr>
            <w:r>
              <w:rPr>
                <w:rFonts w:ascii="Arial" w:cs="Arial" w:eastAsia="Arial" w:hAnsi="Arial"/>
                <w:sz w:val="25"/>
                <w:szCs w:val="25"/>
                <w:color w:val="auto"/>
                <w:vertAlign w:val="subscript"/>
              </w:rPr>
              <w:t>taxes</w:t>
            </w:r>
            <w:r>
              <w:rPr>
                <w:rFonts w:ascii="Arial" w:cs="Arial" w:eastAsia="Arial" w:hAnsi="Arial"/>
                <w:sz w:val="10"/>
                <w:szCs w:val="10"/>
                <w:color w:val="auto"/>
              </w:rPr>
              <w:t>(1)(2)</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impairment related expenses</w:t>
            </w:r>
          </w:p>
        </w:tc>
        <w:tc>
          <w:tcPr>
            <w:tcW w:w="7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0"/>
              <w:spacing w:after="0" w:line="203" w:lineRule="exact"/>
              <w:rPr>
                <w:sz w:val="20"/>
                <w:szCs w:val="20"/>
                <w:color w:val="auto"/>
              </w:rPr>
            </w:pPr>
            <w:r>
              <w:rPr>
                <w:rFonts w:ascii="Arial" w:cs="Arial" w:eastAsia="Arial" w:hAnsi="Arial"/>
                <w:sz w:val="16"/>
                <w:szCs w:val="16"/>
                <w:color w:val="auto"/>
              </w:rPr>
              <w:t>Restructuring and other discrete items</w:t>
            </w:r>
            <w:r>
              <w:rPr>
                <w:rFonts w:ascii="Arial" w:cs="Arial" w:eastAsia="Arial" w:hAnsi="Arial"/>
                <w:sz w:val="21"/>
                <w:szCs w:val="21"/>
                <w:color w:val="auto"/>
                <w:vertAlign w:val="superscript"/>
              </w:rPr>
              <w:t>(3)</w:t>
            </w: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Recurring other items</w:t>
            </w:r>
          </w:p>
        </w:tc>
        <w:tc>
          <w:tcPr>
            <w:tcW w:w="7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(1 )</w:t>
            </w: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(1 )</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720" w:type="dxa"/>
            <w:vAlign w:val="bottom"/>
          </w:tcPr>
          <w:p>
            <w:pPr>
              <w:spacing w:after="0"/>
              <w:rPr>
                <w:sz w:val="17"/>
                <w:szCs w:val="17"/>
                <w:color w:val="auto"/>
              </w:rPr>
            </w:pPr>
          </w:p>
        </w:tc>
        <w:tc>
          <w:tcPr>
            <w:tcW w:w="740" w:type="dxa"/>
            <w:vAlign w:val="bottom"/>
            <w:gridSpan w:val="2"/>
          </w:tcPr>
          <w:p>
            <w:pPr>
              <w:jc w:val="right"/>
              <w:ind w:right="279"/>
              <w:spacing w:after="0"/>
              <w:rPr>
                <w:sz w:val="20"/>
                <w:szCs w:val="20"/>
                <w:color w:val="auto"/>
              </w:rPr>
            </w:pPr>
            <w:r>
              <w:rPr>
                <w:rFonts w:ascii="Arial" w:cs="Arial" w:eastAsia="Arial" w:hAnsi="Arial"/>
                <w:sz w:val="16"/>
                <w:szCs w:val="16"/>
                <w:color w:val="auto"/>
              </w:rPr>
              <w:t>(58 )</w:t>
            </w:r>
          </w:p>
        </w:tc>
        <w:tc>
          <w:tcPr>
            <w:tcW w:w="740" w:type="dxa"/>
            <w:vAlign w:val="bottom"/>
          </w:tcPr>
          <w:p>
            <w:pPr>
              <w:spacing w:after="0"/>
              <w:rPr>
                <w:sz w:val="17"/>
                <w:szCs w:val="17"/>
                <w:color w:val="auto"/>
              </w:rPr>
            </w:pPr>
          </w:p>
        </w:tc>
        <w:tc>
          <w:tcPr>
            <w:tcW w:w="740" w:type="dxa"/>
            <w:vAlign w:val="bottom"/>
            <w:gridSpan w:val="2"/>
          </w:tcPr>
          <w:p>
            <w:pPr>
              <w:jc w:val="right"/>
              <w:ind w:right="259"/>
              <w:spacing w:after="0"/>
              <w:rPr>
                <w:sz w:val="20"/>
                <w:szCs w:val="20"/>
                <w:color w:val="auto"/>
              </w:rPr>
            </w:pPr>
            <w:r>
              <w:rPr>
                <w:rFonts w:ascii="Arial" w:cs="Arial" w:eastAsia="Arial" w:hAnsi="Arial"/>
                <w:sz w:val="16"/>
                <w:szCs w:val="16"/>
                <w:color w:val="auto"/>
              </w:rPr>
              <w:t>(67 )</w:t>
            </w:r>
          </w:p>
        </w:tc>
        <w:tc>
          <w:tcPr>
            <w:tcW w:w="340" w:type="dxa"/>
            <w:vAlign w:val="bottom"/>
          </w:tcPr>
          <w:p>
            <w:pPr>
              <w:spacing w:after="0"/>
              <w:rPr>
                <w:sz w:val="17"/>
                <w:szCs w:val="17"/>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6"/>
                <w:szCs w:val="16"/>
                <w:color w:val="auto"/>
              </w:rPr>
              <w:t>(98 )</w:t>
            </w: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300"/>
              <w:spacing w:after="0"/>
              <w:rPr>
                <w:sz w:val="20"/>
                <w:szCs w:val="20"/>
                <w:color w:val="auto"/>
              </w:rPr>
            </w:pPr>
            <w:r>
              <w:rPr>
                <w:rFonts w:ascii="Arial" w:cs="Arial" w:eastAsia="Arial" w:hAnsi="Arial"/>
                <w:sz w:val="16"/>
                <w:szCs w:val="16"/>
                <w:color w:val="auto"/>
              </w:rPr>
              <w:t>Adjusted EBITDA margin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jc w:val="right"/>
              <w:ind w:right="139"/>
              <w:spacing w:after="0"/>
              <w:rPr>
                <w:sz w:val="20"/>
                <w:szCs w:val="20"/>
                <w:color w:val="auto"/>
              </w:rPr>
            </w:pPr>
            <w:r>
              <w:rPr>
                <w:rFonts w:ascii="Arial" w:cs="Arial" w:eastAsia="Arial" w:hAnsi="Arial"/>
                <w:sz w:val="16"/>
                <w:szCs w:val="16"/>
                <w:color w:val="auto"/>
                <w:w w:val="91"/>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line="20" w:lineRule="exact"/>
              <w:rPr>
                <w:sz w:val="1"/>
                <w:szCs w:val="1"/>
                <w:color w:val="auto"/>
              </w:rPr>
            </w:pPr>
          </w:p>
        </w:tc>
      </w:tr>
      <w:tr>
        <w:trPr>
          <w:trHeight w:val="183"/>
        </w:trPr>
        <w:tc>
          <w:tcPr>
            <w:tcW w:w="5580" w:type="dxa"/>
            <w:vAlign w:val="bottom"/>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440" w:type="dxa"/>
            <w:vAlign w:val="bottom"/>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42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-316230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-316230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-316230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5" w:lineRule="exact"/>
        <w:rPr>
          <w:sz w:val="20"/>
          <w:szCs w:val="20"/>
          <w:color w:val="auto"/>
        </w:rPr>
      </w:pPr>
    </w:p>
    <w:p>
      <w:pPr>
        <w:jc w:val="both"/>
        <w:ind w:left="1020" w:right="100" w:hanging="503"/>
        <w:spacing w:after="0" w:line="264"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amount for the three months ended June 30, 2022 consists of $29 million of stock-based compensation expense and $1 million of related employer payroll taxes. Total amount for the three months ended June 30, 2021 consists of $37 million of stock-based compensation expense. Total amount for the six months ended June 30, 2022 consists of $27 million of stock-based compensation expense and $1 million of related employer payroll taxes. Total amount for six months ended June 30, 2021 consists of $74 million of stock-based compensation expense and $7 million of related employer payroll taxes.</w:t>
      </w:r>
    </w:p>
    <w:p>
      <w:pPr>
        <w:spacing w:after="0" w:line="61" w:lineRule="exact"/>
        <w:rPr>
          <w:rFonts w:ascii="Arial" w:cs="Arial" w:eastAsia="Arial" w:hAnsi="Arial"/>
          <w:sz w:val="14"/>
          <w:szCs w:val="14"/>
          <w:color w:val="auto"/>
        </w:rPr>
      </w:pPr>
    </w:p>
    <w:p>
      <w:pPr>
        <w:jc w:val="both"/>
        <w:ind w:left="1020" w:right="100" w:hanging="503"/>
        <w:spacing w:after="0" w:line="276"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stock-based compensation for the six months ended June 30, 2022 decreased by $47 million compared to the six months ended June 30, 2021 primarily due to forfeitures originating from the resignation of the Company’s former CEO, reductions to the Company’s workforce as part of the Company’s February 2022 Restructuring Plan, and modifications to the Company’s former Executive Chair’s equity awards.</w:t>
      </w:r>
    </w:p>
    <w:p>
      <w:pPr>
        <w:spacing w:after="0" w:line="52" w:lineRule="exact"/>
        <w:rPr>
          <w:rFonts w:ascii="Arial" w:cs="Arial" w:eastAsia="Arial" w:hAnsi="Arial"/>
          <w:sz w:val="14"/>
          <w:szCs w:val="14"/>
          <w:color w:val="auto"/>
        </w:rPr>
      </w:pPr>
    </w:p>
    <w:p>
      <w:pPr>
        <w:jc w:val="both"/>
        <w:ind w:left="1020" w:right="100" w:hanging="503"/>
        <w:spacing w:after="0" w:line="264"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amount for the three months ended June 30, 2022 includes restructuring charges consisting of $2 million in impairment of lease assets and property and equipment. Total amount for the six months ended June 30, 2022 includes a $15 million one-time discretionary cash bonus paid to select employees to cover their respective tax obligations triggered by the settlement of their RSUs that vested upon the Company’s IPO as well as restructuring charges consisting of $3 million of employee severance and $6 million in impairment of lease assets and property and equipment.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58" w:lineRule="exact"/>
        <w:rPr>
          <w:sz w:val="20"/>
          <w:szCs w:val="20"/>
          <w:color w:val="auto"/>
        </w:rPr>
      </w:pPr>
    </w:p>
    <w:p>
      <w:pPr>
        <w:jc w:val="both"/>
        <w:ind w:right="100" w:firstLine="636"/>
        <w:spacing w:after="0" w:line="263" w:lineRule="auto"/>
        <w:rPr>
          <w:sz w:val="20"/>
          <w:szCs w:val="20"/>
          <w:color w:val="auto"/>
        </w:rPr>
      </w:pPr>
      <w:r>
        <w:rPr>
          <w:rFonts w:ascii="Arial" w:cs="Arial" w:eastAsia="Arial" w:hAnsi="Arial"/>
          <w:sz w:val="18"/>
          <w:szCs w:val="18"/>
          <w:color w:val="auto"/>
        </w:rPr>
        <w:t>We also provide Free Cash Flow, a non-U.S. GAAP financial measure that represents net cash used in operating activities less purchases of property and equipment. We believe that Free Cash Flow is an important measure since we use third parties to host our services and therefore we do not incur significant capital expenditures to support revenue generating activities.</w:t>
      </w:r>
    </w:p>
    <w:p>
      <w:pPr>
        <w:spacing w:after="0" w:line="103" w:lineRule="exact"/>
        <w:rPr>
          <w:sz w:val="20"/>
          <w:szCs w:val="20"/>
          <w:color w:val="auto"/>
        </w:rPr>
      </w:pPr>
    </w:p>
    <w:p>
      <w:pPr>
        <w:jc w:val="both"/>
        <w:ind w:right="100" w:firstLine="636"/>
        <w:spacing w:after="0" w:line="292"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U.S. GAAP. Some of these limitations are:</w:t>
      </w:r>
    </w:p>
    <w:p>
      <w:pPr>
        <w:spacing w:after="0" w:line="77" w:lineRule="exact"/>
        <w:rPr>
          <w:sz w:val="20"/>
          <w:szCs w:val="20"/>
          <w:color w:val="auto"/>
        </w:rPr>
      </w:pPr>
    </w:p>
    <w:p>
      <w:pPr>
        <w:ind w:left="1020" w:hanging="376"/>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it is not a substitute for net cash used in operating activities;</w:t>
      </w:r>
    </w:p>
    <w:p>
      <w:pPr>
        <w:spacing w:after="0" w:line="75" w:lineRule="exact"/>
        <w:rPr>
          <w:rFonts w:ascii="Times New Roman" w:cs="Times New Roman" w:eastAsia="Times New Roman" w:hAnsi="Times New Roman"/>
          <w:sz w:val="18"/>
          <w:szCs w:val="18"/>
          <w:color w:val="auto"/>
        </w:rPr>
      </w:pPr>
    </w:p>
    <w:p>
      <w:pPr>
        <w:jc w:val="both"/>
        <w:ind w:left="1020" w:right="100" w:hanging="376"/>
        <w:spacing w:after="0" w:line="289"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companies may calculate Free Cash Flow or similarly titled non-U.S. GAAP measures differently or may use other measures to evaluate their performance, all of which could reduce the usefulness of free cash flow as a tool for comparison; and</w:t>
      </w:r>
    </w:p>
    <w:p>
      <w:pPr>
        <w:ind w:left="1020" w:right="100" w:hanging="376"/>
        <w:spacing w:after="0" w:line="275"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92" w:lineRule="exact"/>
        <w:rPr>
          <w:sz w:val="20"/>
          <w:szCs w:val="20"/>
          <w:color w:val="auto"/>
        </w:rPr>
      </w:pPr>
    </w:p>
    <w:p>
      <w:pPr>
        <w:ind w:right="100" w:firstLine="636"/>
        <w:spacing w:after="0" w:line="292"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used in operating activities, net loss and our other U.S. GAAP results.</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1" w:right="239" w:bottom="1440" w:gutter="0" w:footer="0" w:header="0"/>
        </w:sectPr>
      </w:pPr>
    </w:p>
    <w:bookmarkStart w:id="29" w:name="page30"/>
    <w:bookmarkEnd w:id="29"/>
    <w:p>
      <w:pPr>
        <w:ind w:firstLine="644"/>
        <w:spacing w:after="0" w:line="292" w:lineRule="auto"/>
        <w:rPr>
          <w:sz w:val="20"/>
          <w:szCs w:val="20"/>
          <w:color w:val="auto"/>
        </w:rPr>
      </w:pPr>
      <w:r>
        <w:rPr>
          <w:rFonts w:ascii="Arial" w:cs="Arial" w:eastAsia="Arial" w:hAnsi="Arial"/>
          <w:sz w:val="18"/>
          <w:szCs w:val="18"/>
          <w:color w:val="auto"/>
        </w:rPr>
        <w:t>The following table reflects the reconciliation of net cash used in operating activities to Free Cash Flow for each of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6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w w:val="81"/>
              </w:rPr>
              <w:t>millions)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(67 )</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(204 )</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(213 )</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(558 )</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6"/>
                <w:szCs w:val="16"/>
                <w:color w:val="auto"/>
              </w:rPr>
              <w:t>Less:</w:t>
            </w: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820" w:type="dxa"/>
            <w:vAlign w:val="bottom"/>
            <w:shd w:val="clear" w:color="auto" w:fill="CFF0FC"/>
          </w:tcPr>
          <w:p>
            <w:pPr>
              <w:ind w:left="280"/>
              <w:spacing w:after="0" w:line="158" w:lineRule="exact"/>
              <w:rPr>
                <w:sz w:val="20"/>
                <w:szCs w:val="20"/>
                <w:color w:val="auto"/>
              </w:rPr>
            </w:pPr>
            <w:r>
              <w:rPr>
                <w:rFonts w:ascii="Arial" w:cs="Arial" w:eastAsia="Arial" w:hAnsi="Arial"/>
                <w:sz w:val="16"/>
                <w:szCs w:val="16"/>
                <w:color w:val="auto"/>
              </w:rPr>
              <w:t>Purchases of property and equipment and development of</w:t>
            </w:r>
          </w:p>
        </w:tc>
        <w:tc>
          <w:tcPr>
            <w:tcW w:w="1060" w:type="dxa"/>
            <w:vAlign w:val="bottom"/>
            <w:shd w:val="clear" w:color="auto" w:fill="CFF0FC"/>
          </w:tcPr>
          <w:p>
            <w:pPr>
              <w:spacing w:after="0"/>
              <w:rPr>
                <w:sz w:val="13"/>
                <w:szCs w:val="13"/>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internal-use software</w:t>
            </w:r>
          </w:p>
        </w:tc>
        <w:tc>
          <w:tcPr>
            <w:tcW w:w="106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vMerge w:val="continue"/>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(67 )</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19"/>
              <w:spacing w:after="0"/>
              <w:rPr>
                <w:sz w:val="20"/>
                <w:szCs w:val="20"/>
                <w:color w:val="auto"/>
              </w:rPr>
            </w:pPr>
            <w:r>
              <w:rPr>
                <w:rFonts w:ascii="Arial" w:cs="Arial" w:eastAsia="Arial" w:hAnsi="Arial"/>
                <w:sz w:val="16"/>
                <w:szCs w:val="16"/>
                <w:color w:val="auto"/>
              </w:rPr>
              <w:t>(205 )</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(215 )</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(559 )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-162560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-162560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-162560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jc w:val="both"/>
        <w:ind w:right="20" w:firstLine="636"/>
        <w:spacing w:after="0" w:line="276" w:lineRule="auto"/>
        <w:rPr>
          <w:sz w:val="20"/>
          <w:szCs w:val="20"/>
          <w:color w:val="auto"/>
        </w:rPr>
      </w:pPr>
      <w:r>
        <w:rPr>
          <w:rFonts w:ascii="Arial" w:cs="Arial" w:eastAsia="Arial" w:hAnsi="Arial"/>
          <w:sz w:val="18"/>
          <w:szCs w:val="18"/>
          <w:color w:val="auto"/>
        </w:rPr>
        <w:t>The following table shows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gridSpan w:val="5"/>
          </w:tcPr>
          <w:p>
            <w:pPr>
              <w:jc w:val="right"/>
              <w:ind w:right="11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Six Months Ended</w:t>
            </w: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5160" w:type="dxa"/>
            <w:vAlign w:val="bottom"/>
          </w:tcPr>
          <w:p>
            <w:pPr>
              <w:ind w:left="20"/>
              <w:spacing w:after="0" w:line="158" w:lineRule="exact"/>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line="158"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58" w:lineRule="exact"/>
              <w:rPr>
                <w:sz w:val="20"/>
                <w:szCs w:val="20"/>
                <w:color w:val="auto"/>
              </w:rPr>
            </w:pPr>
            <w:r>
              <w:rPr>
                <w:rFonts w:ascii="Arial" w:cs="Arial" w:eastAsia="Arial" w:hAnsi="Arial"/>
                <w:sz w:val="16"/>
                <w:szCs w:val="16"/>
                <w:color w:val="auto"/>
              </w:rPr>
              <w:t>134</w:t>
            </w:r>
          </w:p>
        </w:tc>
        <w:tc>
          <w:tcPr>
            <w:tcW w:w="720" w:type="dxa"/>
            <w:vAlign w:val="bottom"/>
          </w:tcPr>
          <w:p>
            <w:pPr>
              <w:spacing w:after="0"/>
              <w:rPr>
                <w:sz w:val="13"/>
                <w:szCs w:val="13"/>
                <w:color w:val="auto"/>
              </w:rPr>
            </w:pPr>
          </w:p>
        </w:tc>
        <w:tc>
          <w:tcPr>
            <w:tcW w:w="200" w:type="dxa"/>
            <w:vAlign w:val="bottom"/>
          </w:tcPr>
          <w:p>
            <w:pPr>
              <w:jc w:val="right"/>
              <w:ind w:right="19"/>
              <w:spacing w:after="0" w:line="158"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58" w:lineRule="exact"/>
              <w:rPr>
                <w:sz w:val="20"/>
                <w:szCs w:val="20"/>
                <w:color w:val="auto"/>
              </w:rPr>
            </w:pPr>
            <w:r>
              <w:rPr>
                <w:rFonts w:ascii="Arial" w:cs="Arial" w:eastAsia="Arial" w:hAnsi="Arial"/>
                <w:sz w:val="16"/>
                <w:szCs w:val="16"/>
                <w:color w:val="auto"/>
              </w:rPr>
              <w:t>656</w:t>
            </w:r>
          </w:p>
        </w:tc>
        <w:tc>
          <w:tcPr>
            <w:tcW w:w="680" w:type="dxa"/>
            <w:vAlign w:val="bottom"/>
          </w:tcPr>
          <w:p>
            <w:pPr>
              <w:spacing w:after="0"/>
              <w:rPr>
                <w:sz w:val="13"/>
                <w:szCs w:val="13"/>
                <w:color w:val="auto"/>
              </w:rPr>
            </w:pPr>
          </w:p>
        </w:tc>
        <w:tc>
          <w:tcPr>
            <w:tcW w:w="240" w:type="dxa"/>
            <w:vAlign w:val="bottom"/>
          </w:tcPr>
          <w:p>
            <w:pPr>
              <w:jc w:val="right"/>
              <w:ind w:right="59"/>
              <w:spacing w:after="0" w:line="158"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58" w:lineRule="exact"/>
              <w:rPr>
                <w:sz w:val="20"/>
                <w:szCs w:val="20"/>
                <w:color w:val="auto"/>
              </w:rPr>
            </w:pPr>
            <w:r>
              <w:rPr>
                <w:rFonts w:ascii="Arial" w:cs="Arial" w:eastAsia="Arial" w:hAnsi="Arial"/>
                <w:sz w:val="16"/>
                <w:szCs w:val="16"/>
                <w:color w:val="auto"/>
              </w:rPr>
              <w:t>323</w:t>
            </w:r>
          </w:p>
        </w:tc>
        <w:tc>
          <w:tcPr>
            <w:tcW w:w="60" w:type="dxa"/>
            <w:vAlign w:val="bottom"/>
          </w:tcPr>
          <w:p>
            <w:pPr>
              <w:spacing w:after="0"/>
              <w:rPr>
                <w:sz w:val="13"/>
                <w:szCs w:val="13"/>
                <w:color w:val="auto"/>
              </w:rPr>
            </w:pPr>
          </w:p>
        </w:tc>
        <w:tc>
          <w:tcPr>
            <w:tcW w:w="840" w:type="dxa"/>
            <w:vAlign w:val="bottom"/>
            <w:gridSpan w:val="2"/>
          </w:tcPr>
          <w:p>
            <w:pPr>
              <w:jc w:val="right"/>
              <w:ind w:right="120"/>
              <w:spacing w:after="0" w:line="158"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58" w:lineRule="exact"/>
              <w:rPr>
                <w:sz w:val="20"/>
                <w:szCs w:val="20"/>
                <w:color w:val="auto"/>
              </w:rPr>
            </w:pPr>
            <w:r>
              <w:rPr>
                <w:rFonts w:ascii="Arial" w:cs="Arial" w:eastAsia="Arial" w:hAnsi="Arial"/>
                <w:sz w:val="16"/>
                <w:szCs w:val="16"/>
                <w:color w:val="auto"/>
              </w:rPr>
              <w:t>1,428</w:t>
            </w:r>
          </w:p>
        </w:tc>
        <w:tc>
          <w:tcPr>
            <w:tcW w:w="100" w:type="dxa"/>
            <w:vAlign w:val="bottom"/>
          </w:tcPr>
          <w:p>
            <w:pPr>
              <w:spacing w:after="0"/>
              <w:rPr>
                <w:sz w:val="13"/>
                <w:szCs w:val="13"/>
                <w:color w:val="auto"/>
              </w:rPr>
            </w:pPr>
          </w:p>
        </w:tc>
      </w:tr>
      <w:tr>
        <w:trPr>
          <w:trHeight w:val="247"/>
        </w:trPr>
        <w:tc>
          <w:tcPr>
            <w:tcW w:w="5160" w:type="dxa"/>
            <w:vAlign w:val="bottom"/>
          </w:tcPr>
          <w:p>
            <w:pPr>
              <w:ind w:left="20"/>
              <w:spacing w:after="0"/>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7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21"/>
                <w:szCs w:val="21"/>
                <w:color w:val="auto"/>
              </w:rPr>
            </w:pPr>
          </w:p>
        </w:tc>
      </w:tr>
      <w:tr>
        <w:trPr>
          <w:trHeight w:val="196"/>
        </w:trPr>
        <w:tc>
          <w:tcPr>
            <w:tcW w:w="5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FF0FC"/>
          </w:tcPr>
          <w:p>
            <w:pPr>
              <w:spacing w:after="0"/>
              <w:rPr>
                <w:sz w:val="17"/>
                <w:szCs w:val="17"/>
                <w:color w:val="auto"/>
              </w:rPr>
            </w:pPr>
          </w:p>
        </w:tc>
      </w:tr>
      <w:tr>
        <w:trPr>
          <w:trHeight w:val="158"/>
        </w:trPr>
        <w:tc>
          <w:tcPr>
            <w:tcW w:w="5160" w:type="dxa"/>
            <w:vAlign w:val="bottom"/>
          </w:tcPr>
          <w:p>
            <w:pPr>
              <w:ind w:left="20"/>
              <w:spacing w:after="0" w:line="158" w:lineRule="exact"/>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160" w:type="dxa"/>
            <w:vAlign w:val="bottom"/>
          </w:tcPr>
          <w:p>
            <w:pPr>
              <w:ind w:left="280"/>
              <w:spacing w:after="0" w:line="203"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r>
      <w:tr>
        <w:trPr>
          <w:trHeight w:val="203"/>
        </w:trPr>
        <w:tc>
          <w:tcPr>
            <w:tcW w:w="5160" w:type="dxa"/>
            <w:vAlign w:val="bottom"/>
          </w:tcPr>
          <w:p>
            <w:pPr>
              <w:ind w:left="280"/>
              <w:spacing w:after="0" w:line="203" w:lineRule="exact"/>
              <w:rPr>
                <w:sz w:val="20"/>
                <w:szCs w:val="20"/>
                <w:color w:val="auto"/>
              </w:rPr>
            </w:pPr>
            <w:r>
              <w:rPr>
                <w:rFonts w:ascii="Arial" w:cs="Arial" w:eastAsia="Arial" w:hAnsi="Arial"/>
                <w:sz w:val="16"/>
                <w:szCs w:val="16"/>
                <w:color w:val="auto"/>
              </w:rPr>
              <w:t>Product development</w:t>
            </w:r>
            <w:r>
              <w:rPr>
                <w:rFonts w:ascii="Arial" w:cs="Arial" w:eastAsia="Arial" w:hAnsi="Arial"/>
                <w:sz w:val="21"/>
                <w:szCs w:val="21"/>
                <w:color w:val="auto"/>
                <w:vertAlign w:val="superscript"/>
              </w:rPr>
              <w:t>(1)</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r>
      <w:tr>
        <w:trPr>
          <w:trHeight w:val="247"/>
        </w:trPr>
        <w:tc>
          <w:tcPr>
            <w:tcW w:w="5160" w:type="dxa"/>
            <w:vAlign w:val="bottom"/>
          </w:tcPr>
          <w:p>
            <w:pPr>
              <w:ind w:left="28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7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r>
      <w:tr>
        <w:trPr>
          <w:trHeight w:val="196"/>
        </w:trPr>
        <w:tc>
          <w:tcPr>
            <w:tcW w:w="516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498</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259</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559"/>
              <w:spacing w:after="0"/>
              <w:rPr>
                <w:sz w:val="20"/>
                <w:szCs w:val="20"/>
                <w:color w:val="auto"/>
              </w:rPr>
            </w:pPr>
            <w:r>
              <w:rPr>
                <w:rFonts w:ascii="Arial" w:cs="Arial" w:eastAsia="Arial" w:hAnsi="Arial"/>
                <w:sz w:val="16"/>
                <w:szCs w:val="16"/>
                <w:color w:val="auto"/>
              </w:rPr>
              <w:t>(91 )</w:t>
            </w:r>
          </w:p>
        </w:tc>
        <w:tc>
          <w:tcPr>
            <w:tcW w:w="2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20"/>
              <w:spacing w:after="0"/>
              <w:rPr>
                <w:sz w:val="20"/>
                <w:szCs w:val="20"/>
                <w:color w:val="auto"/>
              </w:rPr>
            </w:pPr>
            <w:r>
              <w:rPr>
                <w:rFonts w:ascii="Arial" w:cs="Arial" w:eastAsia="Arial" w:hAnsi="Arial"/>
                <w:sz w:val="16"/>
                <w:szCs w:val="16"/>
                <w:color w:val="auto"/>
              </w:rPr>
              <w:t>(114 )</w:t>
            </w:r>
          </w:p>
        </w:tc>
        <w:tc>
          <w:tcPr>
            <w:tcW w:w="2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(153 )</w:t>
            </w: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(240 )</w:t>
            </w:r>
          </w:p>
        </w:tc>
      </w:tr>
      <w:tr>
        <w:trPr>
          <w:trHeight w:val="203"/>
        </w:trPr>
        <w:tc>
          <w:tcPr>
            <w:tcW w:w="51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Interest and other income, net</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6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ind w:left="280"/>
              <w:spacing w:after="0"/>
              <w:rPr>
                <w:sz w:val="20"/>
                <w:szCs w:val="20"/>
                <w:color w:val="auto"/>
              </w:rPr>
            </w:pPr>
            <w:r>
              <w:rPr>
                <w:rFonts w:ascii="Arial" w:cs="Arial" w:eastAsia="Arial" w:hAnsi="Arial"/>
                <w:sz w:val="16"/>
                <w:szCs w:val="16"/>
                <w:color w:val="auto"/>
              </w:rPr>
              <w:t>Loss before provision for income taxes</w:t>
            </w:r>
          </w:p>
        </w:tc>
        <w:tc>
          <w:tcPr>
            <w:tcW w:w="200" w:type="dxa"/>
            <w:vAlign w:val="bottom"/>
          </w:tcPr>
          <w:p>
            <w:pPr>
              <w:spacing w:after="0"/>
              <w:rPr>
                <w:sz w:val="17"/>
                <w:szCs w:val="17"/>
                <w:color w:val="auto"/>
              </w:rPr>
            </w:pPr>
          </w:p>
        </w:tc>
        <w:tc>
          <w:tcPr>
            <w:tcW w:w="1440" w:type="dxa"/>
            <w:vAlign w:val="bottom"/>
            <w:gridSpan w:val="2"/>
          </w:tcPr>
          <w:p>
            <w:pPr>
              <w:jc w:val="right"/>
              <w:ind w:right="559"/>
              <w:spacing w:after="0"/>
              <w:rPr>
                <w:sz w:val="20"/>
                <w:szCs w:val="20"/>
                <w:color w:val="auto"/>
              </w:rPr>
            </w:pPr>
            <w:r>
              <w:rPr>
                <w:rFonts w:ascii="Arial" w:cs="Arial" w:eastAsia="Arial" w:hAnsi="Arial"/>
                <w:sz w:val="16"/>
                <w:szCs w:val="16"/>
                <w:color w:val="auto"/>
              </w:rPr>
              <w:t>(89 )</w:t>
            </w:r>
          </w:p>
        </w:tc>
        <w:tc>
          <w:tcPr>
            <w:tcW w:w="200" w:type="dxa"/>
            <w:vAlign w:val="bottom"/>
          </w:tcPr>
          <w:p>
            <w:pPr>
              <w:spacing w:after="0"/>
              <w:rPr>
                <w:sz w:val="17"/>
                <w:szCs w:val="17"/>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(106 )</w:t>
            </w:r>
          </w:p>
        </w:tc>
        <w:tc>
          <w:tcPr>
            <w:tcW w:w="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(149 )</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(232 )</w:t>
            </w:r>
          </w:p>
        </w:tc>
      </w:tr>
      <w:tr>
        <w:trPr>
          <w:trHeight w:val="20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7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6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559"/>
              <w:spacing w:after="0"/>
              <w:rPr>
                <w:sz w:val="20"/>
                <w:szCs w:val="20"/>
                <w:color w:val="auto"/>
              </w:rPr>
            </w:pPr>
            <w:r>
              <w:rPr>
                <w:rFonts w:ascii="Arial" w:cs="Arial" w:eastAsia="Arial" w:hAnsi="Arial"/>
                <w:sz w:val="16"/>
                <w:szCs w:val="16"/>
                <w:color w:val="auto"/>
              </w:rPr>
              <w:t>(90 )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620"/>
              <w:spacing w:after="0"/>
              <w:rPr>
                <w:sz w:val="20"/>
                <w:szCs w:val="20"/>
                <w:color w:val="auto"/>
              </w:rPr>
            </w:pPr>
            <w:r>
              <w:rPr>
                <w:rFonts w:ascii="Arial" w:cs="Arial" w:eastAsia="Arial" w:hAnsi="Arial"/>
                <w:sz w:val="16"/>
                <w:szCs w:val="16"/>
                <w:color w:val="auto"/>
              </w:rPr>
              <w:t>(111 )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(150 )</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(239 )</w:t>
            </w: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-1859915</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-427990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-427990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-427990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-162560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-162560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Includes stock-based compensation expense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1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Six Months Ended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8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8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b w:val="1"/>
                <w:bCs w:val="1"/>
                <w:color w:val="auto"/>
              </w:rPr>
              <w:t>(in</w:t>
            </w:r>
          </w:p>
        </w:tc>
        <w:tc>
          <w:tcPr>
            <w:tcW w:w="10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w w:val="88"/>
              </w:rPr>
              <w:t>millions)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60" w:type="dxa"/>
            <w:vAlign w:val="bottom"/>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80" w:type="dxa"/>
            <w:vAlign w:val="bottom"/>
            <w:gridSpan w:val="2"/>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development</w:t>
            </w: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(6 )</w:t>
            </w: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r>
      <w:tr>
        <w:trPr>
          <w:trHeight w:val="236"/>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stock-based compensation</w:t>
            </w: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42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23"/>
        </w:trPr>
        <w:tc>
          <w:tcPr>
            <w:tcW w:w="50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6"/>
                <w:szCs w:val="16"/>
                <w:b w:val="1"/>
                <w:bCs w:val="1"/>
                <w:color w:val="auto"/>
                <w:w w:val="99"/>
              </w:rPr>
              <w:t>June 30,</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96"/>
        </w:trPr>
        <w:tc>
          <w:tcPr>
            <w:tcW w:w="5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7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700" w:type="dxa"/>
            <w:vAlign w:val="bottom"/>
          </w:tcPr>
          <w:p>
            <w:pPr>
              <w:spacing w:after="0"/>
              <w:rPr>
                <w:sz w:val="17"/>
                <w:szCs w:val="17"/>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6"/>
                <w:szCs w:val="16"/>
                <w:color w:val="auto"/>
              </w:rPr>
              <w:t>Revenue</w:t>
            </w: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w w:val="98"/>
              </w:rPr>
              <w:t>%</w:t>
            </w:r>
          </w:p>
        </w:tc>
        <w:tc>
          <w:tcPr>
            <w:tcW w:w="7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100</w:t>
            </w: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w w:val="98"/>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1000" w:type="dxa"/>
            <w:vAlign w:val="bottom"/>
            <w:gridSpan w:val="2"/>
          </w:tcPr>
          <w:p>
            <w:pPr>
              <w:jc w:val="right"/>
              <w:ind w:right="459"/>
              <w:spacing w:after="0"/>
              <w:rPr>
                <w:sz w:val="20"/>
                <w:szCs w:val="20"/>
                <w:color w:val="auto"/>
              </w:rPr>
            </w:pPr>
            <w:r>
              <w:rPr>
                <w:rFonts w:ascii="Arial" w:cs="Arial" w:eastAsia="Arial" w:hAnsi="Arial"/>
                <w:sz w:val="16"/>
                <w:szCs w:val="16"/>
                <w:color w:val="auto"/>
              </w:rPr>
              <w:t>69 %</w:t>
            </w:r>
          </w:p>
        </w:tc>
        <w:tc>
          <w:tcPr>
            <w:tcW w:w="70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41 %</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67 %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43 %</w:t>
            </w:r>
          </w:p>
        </w:tc>
      </w:tr>
      <w:tr>
        <w:trPr>
          <w:trHeight w:val="196"/>
        </w:trPr>
        <w:tc>
          <w:tcPr>
            <w:tcW w:w="504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w w:val="98"/>
              </w:rPr>
              <w:t>%</w:t>
            </w:r>
          </w:p>
        </w:tc>
        <w:tc>
          <w:tcPr>
            <w:tcW w:w="7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w w:val="98"/>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7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1000" w:type="dxa"/>
            <w:vAlign w:val="bottom"/>
            <w:gridSpan w:val="2"/>
          </w:tcPr>
          <w:p>
            <w:pPr>
              <w:jc w:val="right"/>
              <w:ind w:right="459"/>
              <w:spacing w:after="0"/>
              <w:rPr>
                <w:sz w:val="20"/>
                <w:szCs w:val="20"/>
                <w:color w:val="auto"/>
              </w:rPr>
            </w:pPr>
            <w:r>
              <w:rPr>
                <w:rFonts w:ascii="Arial" w:cs="Arial" w:eastAsia="Arial" w:hAnsi="Arial"/>
                <w:sz w:val="16"/>
                <w:szCs w:val="16"/>
                <w:color w:val="auto"/>
              </w:rPr>
              <w:t>42 %</w:t>
            </w:r>
          </w:p>
        </w:tc>
        <w:tc>
          <w:tcPr>
            <w:tcW w:w="70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60 %</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31 %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61 %</w:t>
            </w:r>
          </w:p>
        </w:tc>
      </w:tr>
      <w:tr>
        <w:trPr>
          <w:trHeight w:val="203"/>
        </w:trPr>
        <w:tc>
          <w:tcPr>
            <w:tcW w:w="5760" w:type="dxa"/>
            <w:vAlign w:val="bottom"/>
            <w:gridSpan w:val="2"/>
          </w:tcPr>
          <w:p>
            <w:pPr>
              <w:ind w:left="280"/>
              <w:spacing w:after="0"/>
              <w:rPr>
                <w:sz w:val="20"/>
                <w:szCs w:val="20"/>
                <w:color w:val="auto"/>
              </w:rPr>
            </w:pPr>
            <w:r>
              <w:rPr>
                <w:rFonts w:ascii="Arial" w:cs="Arial" w:eastAsia="Arial" w:hAnsi="Arial"/>
                <w:sz w:val="16"/>
                <w:szCs w:val="16"/>
                <w:color w:val="auto"/>
              </w:rPr>
              <w:t>Product development</w:t>
            </w:r>
          </w:p>
        </w:tc>
        <w:tc>
          <w:tcPr>
            <w:tcW w:w="1000" w:type="dxa"/>
            <w:vAlign w:val="bottom"/>
            <w:gridSpan w:val="2"/>
          </w:tcPr>
          <w:p>
            <w:pPr>
              <w:jc w:val="right"/>
              <w:ind w:right="459"/>
              <w:spacing w:after="0"/>
              <w:rPr>
                <w:sz w:val="20"/>
                <w:szCs w:val="20"/>
                <w:color w:val="auto"/>
              </w:rPr>
            </w:pPr>
            <w:r>
              <w:rPr>
                <w:rFonts w:ascii="Arial" w:cs="Arial" w:eastAsia="Arial" w:hAnsi="Arial"/>
                <w:sz w:val="16"/>
                <w:szCs w:val="16"/>
                <w:color w:val="auto"/>
              </w:rPr>
              <w:t>34 %</w:t>
            </w:r>
          </w:p>
        </w:tc>
        <w:tc>
          <w:tcPr>
            <w:tcW w:w="70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8 %</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35 %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203"/>
        </w:trPr>
        <w:tc>
          <w:tcPr>
            <w:tcW w:w="50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720" w:type="dxa"/>
            <w:vAlign w:val="bottom"/>
          </w:tcPr>
          <w:p>
            <w:pPr>
              <w:spacing w:after="0"/>
              <w:rPr>
                <w:sz w:val="17"/>
                <w:szCs w:val="17"/>
                <w:color w:val="auto"/>
              </w:rPr>
            </w:pPr>
          </w:p>
        </w:tc>
        <w:tc>
          <w:tcPr>
            <w:tcW w:w="1000" w:type="dxa"/>
            <w:vAlign w:val="bottom"/>
            <w:gridSpan w:val="2"/>
          </w:tcPr>
          <w:p>
            <w:pPr>
              <w:jc w:val="right"/>
              <w:ind w:right="459"/>
              <w:spacing w:after="0"/>
              <w:rPr>
                <w:sz w:val="20"/>
                <w:szCs w:val="20"/>
                <w:color w:val="auto"/>
              </w:rPr>
            </w:pPr>
            <w:r>
              <w:rPr>
                <w:rFonts w:ascii="Arial" w:cs="Arial" w:eastAsia="Arial" w:hAnsi="Arial"/>
                <w:sz w:val="16"/>
                <w:szCs w:val="16"/>
                <w:color w:val="auto"/>
              </w:rPr>
              <w:t>23 %</w:t>
            </w:r>
          </w:p>
        </w:tc>
        <w:tc>
          <w:tcPr>
            <w:tcW w:w="70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8 %</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14 %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040" w:type="dxa"/>
            <w:vAlign w:val="bottom"/>
          </w:tcPr>
          <w:p>
            <w:pPr>
              <w:ind w:left="520"/>
              <w:spacing w:after="0"/>
              <w:rPr>
                <w:sz w:val="20"/>
                <w:szCs w:val="20"/>
                <w:color w:val="auto"/>
              </w:rPr>
            </w:pPr>
            <w:r>
              <w:rPr>
                <w:rFonts w:ascii="Arial" w:cs="Arial" w:eastAsia="Arial" w:hAnsi="Arial"/>
                <w:sz w:val="16"/>
                <w:szCs w:val="16"/>
                <w:color w:val="auto"/>
              </w:rPr>
              <w:t>Total operating expenses</w:t>
            </w:r>
          </w:p>
        </w:tc>
        <w:tc>
          <w:tcPr>
            <w:tcW w:w="720" w:type="dxa"/>
            <w:vAlign w:val="bottom"/>
          </w:tcPr>
          <w:p>
            <w:pPr>
              <w:spacing w:after="0"/>
              <w:rPr>
                <w:sz w:val="17"/>
                <w:szCs w:val="17"/>
                <w:color w:val="auto"/>
              </w:rPr>
            </w:pPr>
          </w:p>
        </w:tc>
        <w:tc>
          <w:tcPr>
            <w:tcW w:w="1000" w:type="dxa"/>
            <w:vAlign w:val="bottom"/>
            <w:gridSpan w:val="2"/>
          </w:tcPr>
          <w:p>
            <w:pPr>
              <w:jc w:val="right"/>
              <w:ind w:right="459"/>
              <w:spacing w:after="0"/>
              <w:rPr>
                <w:sz w:val="20"/>
                <w:szCs w:val="20"/>
                <w:color w:val="auto"/>
              </w:rPr>
            </w:pPr>
            <w:r>
              <w:rPr>
                <w:rFonts w:ascii="Arial" w:cs="Arial" w:eastAsia="Arial" w:hAnsi="Arial"/>
                <w:sz w:val="16"/>
                <w:szCs w:val="16"/>
                <w:color w:val="auto"/>
              </w:rPr>
              <w:t>99 %</w:t>
            </w:r>
          </w:p>
        </w:tc>
        <w:tc>
          <w:tcPr>
            <w:tcW w:w="70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76 %</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80 %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74 %</w:t>
            </w:r>
          </w:p>
        </w:tc>
      </w:tr>
      <w:tr>
        <w:trPr>
          <w:trHeight w:val="20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Loss from operations</w:t>
            </w:r>
          </w:p>
        </w:tc>
        <w:tc>
          <w:tcPr>
            <w:tcW w:w="1000" w:type="dxa"/>
            <w:vAlign w:val="bottom"/>
            <w:gridSpan w:val="2"/>
          </w:tcPr>
          <w:p>
            <w:pPr>
              <w:jc w:val="right"/>
              <w:ind w:right="399"/>
              <w:spacing w:after="0"/>
              <w:rPr>
                <w:sz w:val="20"/>
                <w:szCs w:val="20"/>
                <w:color w:val="auto"/>
              </w:rPr>
            </w:pPr>
            <w:r>
              <w:rPr>
                <w:rFonts w:ascii="Arial" w:cs="Arial" w:eastAsia="Arial" w:hAnsi="Arial"/>
                <w:sz w:val="16"/>
                <w:szCs w:val="16"/>
                <w:color w:val="auto"/>
              </w:rPr>
              <w:t>(68 )%</w:t>
            </w:r>
          </w:p>
        </w:tc>
        <w:tc>
          <w:tcPr>
            <w:tcW w:w="700" w:type="dxa"/>
            <w:vAlign w:val="bottom"/>
          </w:tcPr>
          <w:p>
            <w:pPr>
              <w:spacing w:after="0"/>
              <w:rPr>
                <w:sz w:val="17"/>
                <w:szCs w:val="17"/>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(17 )%</w:t>
            </w:r>
          </w:p>
        </w:tc>
        <w:tc>
          <w:tcPr>
            <w:tcW w:w="1700" w:type="dxa"/>
            <w:vAlign w:val="bottom"/>
            <w:gridSpan w:val="2"/>
          </w:tcPr>
          <w:p>
            <w:pPr>
              <w:jc w:val="right"/>
              <w:ind w:right="399"/>
              <w:spacing w:after="0"/>
              <w:rPr>
                <w:sz w:val="20"/>
                <w:szCs w:val="20"/>
                <w:color w:val="auto"/>
              </w:rPr>
            </w:pPr>
            <w:r>
              <w:rPr>
                <w:rFonts w:ascii="Arial" w:cs="Arial" w:eastAsia="Arial" w:hAnsi="Arial"/>
                <w:sz w:val="16"/>
                <w:szCs w:val="16"/>
                <w:color w:val="auto"/>
              </w:rPr>
              <w:t>(47 )%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03"/>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040" w:type="dxa"/>
            <w:vAlign w:val="bottom"/>
          </w:tcPr>
          <w:p>
            <w:pPr>
              <w:ind w:left="280"/>
              <w:spacing w:after="0"/>
              <w:rPr>
                <w:sz w:val="20"/>
                <w:szCs w:val="20"/>
                <w:color w:val="auto"/>
              </w:rPr>
            </w:pPr>
            <w:r>
              <w:rPr>
                <w:rFonts w:ascii="Arial" w:cs="Arial" w:eastAsia="Arial" w:hAnsi="Arial"/>
                <w:sz w:val="16"/>
                <w:szCs w:val="16"/>
                <w:color w:val="auto"/>
              </w:rPr>
              <w:t>Interest and other income, net</w:t>
            </w:r>
          </w:p>
        </w:tc>
        <w:tc>
          <w:tcPr>
            <w:tcW w:w="720" w:type="dxa"/>
            <w:vAlign w:val="bottom"/>
          </w:tcPr>
          <w:p>
            <w:pPr>
              <w:spacing w:after="0"/>
              <w:rPr>
                <w:sz w:val="17"/>
                <w:szCs w:val="17"/>
                <w:color w:val="auto"/>
              </w:rPr>
            </w:pPr>
          </w:p>
        </w:tc>
        <w:tc>
          <w:tcPr>
            <w:tcW w:w="1000" w:type="dxa"/>
            <w:vAlign w:val="bottom"/>
            <w:gridSpan w:val="2"/>
          </w:tcPr>
          <w:p>
            <w:pPr>
              <w:jc w:val="right"/>
              <w:ind w:right="459"/>
              <w:spacing w:after="0"/>
              <w:rPr>
                <w:sz w:val="20"/>
                <w:szCs w:val="20"/>
                <w:color w:val="auto"/>
              </w:rPr>
            </w:pPr>
            <w:r>
              <w:rPr>
                <w:rFonts w:ascii="Arial" w:cs="Arial" w:eastAsia="Arial" w:hAnsi="Arial"/>
                <w:sz w:val="16"/>
                <w:szCs w:val="16"/>
                <w:color w:val="auto"/>
              </w:rPr>
              <w:t>2 %</w:t>
            </w:r>
          </w:p>
        </w:tc>
        <w:tc>
          <w:tcPr>
            <w:tcW w:w="70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1 %</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1 %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040" w:type="dxa"/>
            <w:vAlign w:val="bottom"/>
          </w:tcPr>
          <w:p>
            <w:pPr>
              <w:ind w:left="520"/>
              <w:spacing w:after="0"/>
              <w:rPr>
                <w:sz w:val="20"/>
                <w:szCs w:val="20"/>
                <w:color w:val="auto"/>
              </w:rPr>
            </w:pPr>
            <w:r>
              <w:rPr>
                <w:rFonts w:ascii="Arial" w:cs="Arial" w:eastAsia="Arial" w:hAnsi="Arial"/>
                <w:sz w:val="16"/>
                <w:szCs w:val="16"/>
                <w:color w:val="auto"/>
              </w:rPr>
              <w:t>Loss before provision for income taxes</w:t>
            </w:r>
          </w:p>
        </w:tc>
        <w:tc>
          <w:tcPr>
            <w:tcW w:w="720" w:type="dxa"/>
            <w:vAlign w:val="bottom"/>
          </w:tcPr>
          <w:p>
            <w:pPr>
              <w:spacing w:after="0"/>
              <w:rPr>
                <w:sz w:val="17"/>
                <w:szCs w:val="17"/>
                <w:color w:val="auto"/>
              </w:rPr>
            </w:pPr>
          </w:p>
        </w:tc>
        <w:tc>
          <w:tcPr>
            <w:tcW w:w="1000" w:type="dxa"/>
            <w:vAlign w:val="bottom"/>
            <w:gridSpan w:val="2"/>
          </w:tcPr>
          <w:p>
            <w:pPr>
              <w:jc w:val="right"/>
              <w:ind w:right="399"/>
              <w:spacing w:after="0"/>
              <w:rPr>
                <w:sz w:val="20"/>
                <w:szCs w:val="20"/>
                <w:color w:val="auto"/>
              </w:rPr>
            </w:pPr>
            <w:r>
              <w:rPr>
                <w:rFonts w:ascii="Arial" w:cs="Arial" w:eastAsia="Arial" w:hAnsi="Arial"/>
                <w:sz w:val="16"/>
                <w:szCs w:val="16"/>
                <w:color w:val="auto"/>
              </w:rPr>
              <w:t>(66 )%</w:t>
            </w:r>
          </w:p>
        </w:tc>
        <w:tc>
          <w:tcPr>
            <w:tcW w:w="700" w:type="dxa"/>
            <w:vAlign w:val="bottom"/>
          </w:tcPr>
          <w:p>
            <w:pPr>
              <w:spacing w:after="0"/>
              <w:rPr>
                <w:sz w:val="17"/>
                <w:szCs w:val="17"/>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(16 )%</w:t>
            </w:r>
          </w:p>
        </w:tc>
        <w:tc>
          <w:tcPr>
            <w:tcW w:w="1700" w:type="dxa"/>
            <w:vAlign w:val="bottom"/>
            <w:gridSpan w:val="2"/>
          </w:tcPr>
          <w:p>
            <w:pPr>
              <w:jc w:val="right"/>
              <w:ind w:right="399"/>
              <w:spacing w:after="0"/>
              <w:rPr>
                <w:sz w:val="20"/>
                <w:szCs w:val="20"/>
                <w:color w:val="auto"/>
              </w:rPr>
            </w:pPr>
            <w:r>
              <w:rPr>
                <w:rFonts w:ascii="Arial" w:cs="Arial" w:eastAsia="Arial" w:hAnsi="Arial"/>
                <w:sz w:val="16"/>
                <w:szCs w:val="16"/>
                <w:color w:val="auto"/>
              </w:rPr>
              <w:t>(46 )%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720" w:type="dxa"/>
            <w:vAlign w:val="bottom"/>
          </w:tcPr>
          <w:p>
            <w:pPr>
              <w:spacing w:after="0"/>
              <w:rPr>
                <w:sz w:val="17"/>
                <w:szCs w:val="17"/>
                <w:color w:val="auto"/>
              </w:rPr>
            </w:pPr>
          </w:p>
        </w:tc>
        <w:tc>
          <w:tcPr>
            <w:tcW w:w="1000" w:type="dxa"/>
            <w:vAlign w:val="bottom"/>
            <w:gridSpan w:val="2"/>
          </w:tcPr>
          <w:p>
            <w:pPr>
              <w:jc w:val="right"/>
              <w:ind w:right="459"/>
              <w:spacing w:after="0"/>
              <w:rPr>
                <w:sz w:val="20"/>
                <w:szCs w:val="20"/>
                <w:color w:val="auto"/>
              </w:rPr>
            </w:pPr>
            <w:r>
              <w:rPr>
                <w:rFonts w:ascii="Arial" w:cs="Arial" w:eastAsia="Arial" w:hAnsi="Arial"/>
                <w:sz w:val="16"/>
                <w:szCs w:val="16"/>
                <w:color w:val="auto"/>
              </w:rPr>
              <w:t>1 %</w:t>
            </w:r>
          </w:p>
        </w:tc>
        <w:tc>
          <w:tcPr>
            <w:tcW w:w="70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6"/>
                <w:szCs w:val="16"/>
                <w:color w:val="auto"/>
              </w:rPr>
              <w:t>1 %</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1 %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tcPr>
          <w:p>
            <w:pPr>
              <w:spacing w:after="0"/>
              <w:rPr>
                <w:sz w:val="17"/>
                <w:szCs w:val="17"/>
                <w:color w:val="auto"/>
              </w:rPr>
            </w:pPr>
          </w:p>
        </w:tc>
        <w:tc>
          <w:tcPr>
            <w:tcW w:w="1000" w:type="dxa"/>
            <w:vAlign w:val="bottom"/>
            <w:gridSpan w:val="2"/>
          </w:tcPr>
          <w:p>
            <w:pPr>
              <w:jc w:val="right"/>
              <w:ind w:right="399"/>
              <w:spacing w:after="0"/>
              <w:rPr>
                <w:sz w:val="20"/>
                <w:szCs w:val="20"/>
                <w:color w:val="auto"/>
              </w:rPr>
            </w:pPr>
            <w:r>
              <w:rPr>
                <w:rFonts w:ascii="Arial" w:cs="Arial" w:eastAsia="Arial" w:hAnsi="Arial"/>
                <w:sz w:val="16"/>
                <w:szCs w:val="16"/>
                <w:color w:val="auto"/>
              </w:rPr>
              <w:t>(67 )%</w:t>
            </w:r>
          </w:p>
        </w:tc>
        <w:tc>
          <w:tcPr>
            <w:tcW w:w="700" w:type="dxa"/>
            <w:vAlign w:val="bottom"/>
          </w:tcPr>
          <w:p>
            <w:pPr>
              <w:spacing w:after="0"/>
              <w:rPr>
                <w:sz w:val="17"/>
                <w:szCs w:val="17"/>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(17 )%</w:t>
            </w:r>
          </w:p>
        </w:tc>
        <w:tc>
          <w:tcPr>
            <w:tcW w:w="1700" w:type="dxa"/>
            <w:vAlign w:val="bottom"/>
            <w:gridSpan w:val="2"/>
          </w:tcPr>
          <w:p>
            <w:pPr>
              <w:jc w:val="right"/>
              <w:ind w:right="399"/>
              <w:spacing w:after="0"/>
              <w:rPr>
                <w:sz w:val="20"/>
                <w:szCs w:val="20"/>
                <w:color w:val="auto"/>
              </w:rPr>
            </w:pPr>
            <w:r>
              <w:rPr>
                <w:rFonts w:ascii="Arial" w:cs="Arial" w:eastAsia="Arial" w:hAnsi="Arial"/>
                <w:sz w:val="16"/>
                <w:szCs w:val="16"/>
                <w:color w:val="auto"/>
              </w:rPr>
              <w:t>(47 )%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0"/>
        </w:trPr>
        <w:tc>
          <w:tcPr>
            <w:tcW w:w="5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9" w:lineRule="exact"/>
        <w:rPr>
          <w:sz w:val="20"/>
          <w:szCs w:val="20"/>
          <w:color w:val="auto"/>
        </w:rPr>
      </w:pPr>
    </w:p>
    <w:p>
      <w:pPr>
        <w:ind w:right="5500"/>
        <w:spacing w:after="0" w:line="455" w:lineRule="auto"/>
        <w:rPr>
          <w:sz w:val="20"/>
          <w:szCs w:val="20"/>
          <w:color w:val="auto"/>
        </w:rPr>
      </w:pPr>
      <w:r>
        <w:rPr>
          <w:rFonts w:ascii="Arial" w:cs="Arial" w:eastAsia="Arial" w:hAnsi="Arial"/>
          <w:sz w:val="18"/>
          <w:szCs w:val="18"/>
          <w:b w:val="1"/>
          <w:bCs w:val="1"/>
          <w:i w:val="1"/>
          <w:iCs w:val="1"/>
          <w:color w:val="auto"/>
        </w:rPr>
        <w:t>Comparison of Three and Six Months Ended June 30, 2022 and 2021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Change</w:t>
            </w:r>
          </w:p>
        </w:tc>
        <w:tc>
          <w:tcPr>
            <w:tcW w:w="4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vMerge w:val="restart"/>
          </w:tcPr>
          <w:p>
            <w:pPr>
              <w:ind w:left="20"/>
              <w:spacing w:after="0"/>
              <w:rPr>
                <w:sz w:val="20"/>
                <w:szCs w:val="20"/>
                <w:color w:val="auto"/>
              </w:rPr>
            </w:pPr>
            <w:r>
              <w:rPr>
                <w:rFonts w:ascii="Arial" w:cs="Arial" w:eastAsia="Arial" w:hAnsi="Arial"/>
                <w:sz w:val="16"/>
                <w:szCs w:val="16"/>
                <w:color w:val="auto"/>
              </w:rPr>
              <w:t>Core marketplace revenue</w:t>
            </w:r>
            <w:r>
              <w:rPr>
                <w:rFonts w:ascii="Arial" w:cs="Arial" w:eastAsia="Arial" w:hAnsi="Arial"/>
                <w:sz w:val="21"/>
                <w:szCs w:val="21"/>
                <w:color w:val="auto"/>
                <w:vertAlign w:val="superscript"/>
              </w:rPr>
              <w:t>(1)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11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millions)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54</w:t>
            </w:r>
          </w:p>
        </w:tc>
        <w:tc>
          <w:tcPr>
            <w:tcW w:w="6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378</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59"/>
              <w:spacing w:after="0"/>
              <w:rPr>
                <w:sz w:val="20"/>
                <w:szCs w:val="20"/>
                <w:color w:val="auto"/>
              </w:rPr>
            </w:pPr>
            <w:r>
              <w:rPr>
                <w:rFonts w:ascii="Arial" w:cs="Arial" w:eastAsia="Arial" w:hAnsi="Arial"/>
                <w:sz w:val="16"/>
                <w:szCs w:val="16"/>
                <w:color w:val="auto"/>
              </w:rPr>
              <w:t>(324 )</w:t>
            </w:r>
          </w:p>
        </w:tc>
        <w:tc>
          <w:tcPr>
            <w:tcW w:w="180" w:type="dxa"/>
            <w:vAlign w:val="bottom"/>
          </w:tcPr>
          <w:p>
            <w:pPr>
              <w:spacing w:after="0"/>
              <w:rPr>
                <w:sz w:val="17"/>
                <w:szCs w:val="17"/>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(86 )%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144</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855</w:t>
            </w:r>
          </w:p>
        </w:tc>
        <w:tc>
          <w:tcPr>
            <w:tcW w:w="6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(711 )</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6"/>
                <w:szCs w:val="16"/>
                <w:color w:val="auto"/>
              </w:rPr>
              <w:t>ProductBoost revenue</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59"/>
              <w:spacing w:after="0"/>
              <w:rPr>
                <w:sz w:val="20"/>
                <w:szCs w:val="20"/>
                <w:color w:val="auto"/>
              </w:rPr>
            </w:pPr>
            <w:r>
              <w:rPr>
                <w:rFonts w:ascii="Arial" w:cs="Arial" w:eastAsia="Arial" w:hAnsi="Arial"/>
                <w:sz w:val="16"/>
                <w:szCs w:val="16"/>
                <w:color w:val="auto"/>
              </w:rPr>
              <w:t>(39 )</w:t>
            </w:r>
          </w:p>
        </w:tc>
        <w:tc>
          <w:tcPr>
            <w:tcW w:w="180" w:type="dxa"/>
            <w:vAlign w:val="bottom"/>
          </w:tcPr>
          <w:p>
            <w:pPr>
              <w:spacing w:after="0"/>
              <w:rPr>
                <w:sz w:val="17"/>
                <w:szCs w:val="17"/>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(78 )%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(75 )</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6"/>
                <w:szCs w:val="16"/>
                <w:color w:val="auto"/>
              </w:rPr>
              <w:t>Marketplace revenue</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(85 )%</w:t>
            </w: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380" w:type="dxa"/>
            <w:vAlign w:val="bottom"/>
          </w:tcPr>
          <w:p>
            <w:pPr>
              <w:jc w:val="right"/>
              <w:ind w:right="239"/>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6"/>
                <w:szCs w:val="16"/>
                <w:color w:val="auto"/>
              </w:rPr>
              <w:t>Logistics revenue</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228</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59"/>
              <w:spacing w:after="0"/>
              <w:rPr>
                <w:sz w:val="20"/>
                <w:szCs w:val="20"/>
                <w:color w:val="auto"/>
              </w:rPr>
            </w:pPr>
            <w:r>
              <w:rPr>
                <w:rFonts w:ascii="Arial" w:cs="Arial" w:eastAsia="Arial" w:hAnsi="Arial"/>
                <w:sz w:val="16"/>
                <w:szCs w:val="16"/>
                <w:color w:val="auto"/>
              </w:rPr>
              <w:t>(159 )</w:t>
            </w:r>
          </w:p>
        </w:tc>
        <w:tc>
          <w:tcPr>
            <w:tcW w:w="180" w:type="dxa"/>
            <w:vAlign w:val="bottom"/>
          </w:tcPr>
          <w:p>
            <w:pPr>
              <w:spacing w:after="0"/>
              <w:rPr>
                <w:sz w:val="17"/>
                <w:szCs w:val="17"/>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(70 )%</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473</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39"/>
              <w:spacing w:after="0"/>
              <w:rPr>
                <w:sz w:val="20"/>
                <w:szCs w:val="20"/>
                <w:color w:val="auto"/>
              </w:rPr>
            </w:pPr>
            <w:r>
              <w:rPr>
                <w:rFonts w:ascii="Arial" w:cs="Arial" w:eastAsia="Arial" w:hAnsi="Arial"/>
                <w:sz w:val="16"/>
                <w:szCs w:val="16"/>
                <w:color w:val="auto"/>
              </w:rPr>
              <w:t>(319 )</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196"/>
        </w:trPr>
        <w:tc>
          <w:tcPr>
            <w:tcW w:w="2620" w:type="dxa"/>
            <w:vAlign w:val="bottom"/>
          </w:tcPr>
          <w:p>
            <w:pPr>
              <w:ind w:left="520"/>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4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4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(80 )%</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4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4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380" w:type="dxa"/>
            <w:vAlign w:val="bottom"/>
          </w:tcPr>
          <w:p>
            <w:pPr>
              <w:jc w:val="right"/>
              <w:ind w:right="239"/>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jc w:val="both"/>
        <w:ind w:left="760" w:right="100" w:hanging="378"/>
        <w:spacing w:after="0" w:line="260"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Wish Cash liability breakage recognized within core marketplace revenue was insignificant for the three and six months ended June 30, 2022, respectively, and $21 million for the three and six months ended June 30, 2021. Refer to Note 4 to our condensed consolidated financial statements in Item 1 of Part I, "Financial Information" for additional details. In addition, Core marketplace revenue for the three and six months ended June 30, 2022 included approximately a $2 million and zero net loss, respectively and $8 million and $17 million net gains for the three and six months ended June 30, 2021, respectively, from our cash flow hedging program.</w:t>
      </w:r>
    </w:p>
    <w:p>
      <w:pPr>
        <w:spacing w:after="0" w:line="278" w:lineRule="exact"/>
        <w:rPr>
          <w:sz w:val="20"/>
          <w:szCs w:val="20"/>
          <w:color w:val="auto"/>
        </w:rPr>
      </w:pPr>
    </w:p>
    <w:p>
      <w:pPr>
        <w:jc w:val="both"/>
        <w:ind w:right="100" w:firstLine="636"/>
        <w:spacing w:after="0" w:line="253" w:lineRule="auto"/>
        <w:rPr>
          <w:sz w:val="20"/>
          <w:szCs w:val="20"/>
          <w:color w:val="auto"/>
        </w:rPr>
      </w:pPr>
      <w:r>
        <w:rPr>
          <w:rFonts w:ascii="Arial" w:cs="Arial" w:eastAsia="Arial" w:hAnsi="Arial"/>
          <w:sz w:val="18"/>
          <w:szCs w:val="18"/>
          <w:color w:val="auto"/>
        </w:rPr>
        <w:t>Revenue decreased $ 522 million, or 80%, to $134 million for the three months ended June 30, 2022 as compared to $656 million for the three months ended June 30, 2021. Revenue decreased $1.1 billion, or 77%, to $323 million for the six months ended June 30, 2022 as compared to $1.4 billion for the six months ended June 30, 2021. This decrease was attributable to decreased marketplace and logistics revenue, as noted below.</w:t>
      </w:r>
    </w:p>
    <w:p>
      <w:pPr>
        <w:spacing w:after="0" w:line="126" w:lineRule="exact"/>
        <w:rPr>
          <w:sz w:val="20"/>
          <w:szCs w:val="20"/>
          <w:color w:val="auto"/>
        </w:rPr>
      </w:pPr>
    </w:p>
    <w:p>
      <w:pPr>
        <w:jc w:val="both"/>
        <w:ind w:right="100" w:firstLine="636"/>
        <w:spacing w:after="0" w:line="249" w:lineRule="auto"/>
        <w:rPr>
          <w:sz w:val="20"/>
          <w:szCs w:val="20"/>
          <w:color w:val="auto"/>
        </w:rPr>
      </w:pPr>
      <w:r>
        <w:rPr>
          <w:rFonts w:ascii="Arial" w:cs="Arial" w:eastAsia="Arial" w:hAnsi="Arial"/>
          <w:sz w:val="18"/>
          <w:szCs w:val="18"/>
          <w:color w:val="auto"/>
        </w:rPr>
        <w:t>Marketplace revenue for the three and six months ended June 30, 2022 decreased $363 million, or 85%, and $786 million, or 82%, respectively, compared to the same period in 2021. This decrease was primarily driven by lower order volumes associated with reduced MAUs and LTM Active Buyers, as well as revisions to our pricing strategy, which resulted in lower marketplace revenue per order. While we expect pricing adjustments across most geographies to have an unfavorable effect on revenues over the short term, we expect to see corresponding increases in order volume over time.</w:t>
      </w:r>
    </w:p>
    <w:p>
      <w:pPr>
        <w:spacing w:after="0" w:line="114" w:lineRule="exact"/>
        <w:rPr>
          <w:sz w:val="20"/>
          <w:szCs w:val="20"/>
          <w:color w:val="auto"/>
        </w:rPr>
      </w:pPr>
    </w:p>
    <w:p>
      <w:pPr>
        <w:jc w:val="both"/>
        <w:ind w:right="100" w:firstLine="636"/>
        <w:spacing w:after="0" w:line="292" w:lineRule="auto"/>
        <w:rPr>
          <w:sz w:val="20"/>
          <w:szCs w:val="20"/>
          <w:color w:val="auto"/>
        </w:rPr>
      </w:pPr>
      <w:r>
        <w:rPr>
          <w:rFonts w:ascii="Arial" w:cs="Arial" w:eastAsia="Arial" w:hAnsi="Arial"/>
          <w:sz w:val="18"/>
          <w:szCs w:val="18"/>
          <w:color w:val="auto"/>
        </w:rPr>
        <w:t>Logistics revenue for the three and six months ended June 30, 2022 decreased $159 million, or 70%, and $319 million, or 67%, respectively, compared to the same period in 2021. Like marketplace revenue, the decrease was primarily driven by lower order volumes.</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8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214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2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ind w:left="320"/>
              <w:spacing w:after="0"/>
              <w:rPr>
                <w:sz w:val="20"/>
                <w:szCs w:val="20"/>
                <w:color w:val="auto"/>
              </w:rPr>
            </w:pPr>
            <w:r>
              <w:rPr>
                <w:rFonts w:ascii="Arial" w:cs="Arial" w:eastAsia="Arial" w:hAnsi="Arial"/>
                <w:sz w:val="16"/>
                <w:szCs w:val="16"/>
                <w:b w:val="1"/>
                <w:bCs w:val="1"/>
                <w:color w:val="auto"/>
                <w:w w:val="98"/>
              </w:rPr>
              <w:t>Change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2720" w:type="dxa"/>
            <w:vAlign w:val="bottom"/>
          </w:tcPr>
          <w:p>
            <w:pPr>
              <w:spacing w:after="0"/>
              <w:rPr>
                <w:sz w:val="17"/>
                <w:szCs w:val="17"/>
                <w:color w:val="auto"/>
              </w:rPr>
            </w:pPr>
          </w:p>
        </w:tc>
        <w:tc>
          <w:tcPr>
            <w:tcW w:w="8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7"/>
                <w:szCs w:val="17"/>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272</w:t>
            </w: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  (180 )</w:t>
            </w: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(66 )% $</w:t>
            </w:r>
          </w:p>
        </w:tc>
        <w:tc>
          <w:tcPr>
            <w:tcW w:w="760" w:type="dxa"/>
            <w:vAlign w:val="bottom"/>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607</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ind w:left="60"/>
              <w:spacing w:after="0"/>
              <w:rPr>
                <w:sz w:val="20"/>
                <w:szCs w:val="20"/>
                <w:color w:val="auto"/>
              </w:rPr>
            </w:pPr>
            <w:r>
              <w:rPr>
                <w:rFonts w:ascii="Arial" w:cs="Arial" w:eastAsia="Arial" w:hAnsi="Arial"/>
                <w:sz w:val="16"/>
                <w:szCs w:val="16"/>
                <w:color w:val="auto"/>
              </w:rPr>
              <w:t>(390 )</w:t>
            </w:r>
          </w:p>
        </w:tc>
        <w:tc>
          <w:tcPr>
            <w:tcW w:w="3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(64 )%</w:t>
            </w:r>
          </w:p>
        </w:tc>
      </w:tr>
      <w:tr>
        <w:trPr>
          <w:trHeight w:val="203"/>
        </w:trPr>
        <w:tc>
          <w:tcPr>
            <w:tcW w:w="272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840" w:type="dxa"/>
            <w:vAlign w:val="bottom"/>
          </w:tcPr>
          <w:p>
            <w:pPr>
              <w:spacing w:after="0"/>
              <w:rPr>
                <w:sz w:val="17"/>
                <w:szCs w:val="17"/>
                <w:color w:val="auto"/>
              </w:rPr>
            </w:pPr>
          </w:p>
        </w:tc>
        <w:tc>
          <w:tcPr>
            <w:tcW w:w="600" w:type="dxa"/>
            <w:vAlign w:val="bottom"/>
            <w:gridSpan w:val="2"/>
          </w:tcPr>
          <w:p>
            <w:pPr>
              <w:ind w:left="160"/>
              <w:spacing w:after="0"/>
              <w:rPr>
                <w:sz w:val="20"/>
                <w:szCs w:val="20"/>
                <w:color w:val="auto"/>
              </w:rPr>
            </w:pPr>
            <w:r>
              <w:rPr>
                <w:rFonts w:ascii="Arial" w:cs="Arial" w:eastAsia="Arial" w:hAnsi="Arial"/>
                <w:sz w:val="16"/>
                <w:szCs w:val="16"/>
                <w:color w:val="auto"/>
              </w:rPr>
              <w:t>69 %</w:t>
            </w:r>
          </w:p>
        </w:tc>
        <w:tc>
          <w:tcPr>
            <w:tcW w:w="7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41 %</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67 %</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43 %</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8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31 %</w:t>
            </w:r>
          </w:p>
        </w:tc>
        <w:tc>
          <w:tcPr>
            <w:tcW w:w="7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59 %</w:t>
            </w: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33 %</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57 %</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-385445</wp:posOffset>
            </wp:positionV>
            <wp:extent cx="6986270"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spacing w:after="0" w:line="106"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Cost of revenue for the three and six months ended June 30, 2022 decreased $180 million, or 66%, and $390 million, or 64%, respectively, compared to the same period in 2021. This decrease was primarily due to lower marketplace and logistics related costs as a result of lower order volumes.</w:t>
      </w:r>
    </w:p>
    <w:p>
      <w:pPr>
        <w:spacing w:after="0" w:line="97"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18"/>
          <w:szCs w:val="18"/>
          <w:color w:val="auto"/>
        </w:rPr>
        <w:t>Gross margin decreased to 31% and 33% for the three and six months ended June 30, 2022, respectively, from 59% and 57% for the three and six months ended June 31, 2021, respectively, primarily driven by a greater percentage of lower margin logistics services making up overall revenue during the first half of 2022 compared to the same period in 2021 and revisions to our pricing strategy, which resulted in lower marketplace revenue per order.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64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25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June 30,</w:t>
            </w:r>
          </w:p>
        </w:tc>
        <w:tc>
          <w:tcPr>
            <w:tcW w:w="7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w w:val="98"/>
              </w:rPr>
              <w:t>Change</w:t>
            </w:r>
          </w:p>
        </w:tc>
        <w:tc>
          <w:tcPr>
            <w:tcW w:w="4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6"/>
                <w:szCs w:val="16"/>
                <w:b w:val="1"/>
                <w:bCs w:val="1"/>
                <w:color w:val="auto"/>
                <w:w w:val="99"/>
              </w:rPr>
              <w:t>June 30,</w:t>
            </w:r>
          </w:p>
        </w:tc>
        <w:tc>
          <w:tcPr>
            <w:tcW w:w="5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Change</w:t>
            </w:r>
          </w:p>
        </w:tc>
        <w:tc>
          <w:tcPr>
            <w:tcW w:w="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96"/>
        </w:trPr>
        <w:tc>
          <w:tcPr>
            <w:tcW w:w="25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7"/>
                <w:szCs w:val="17"/>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7"/>
                <w:szCs w:val="17"/>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r>
      <w:tr>
        <w:trPr>
          <w:trHeight w:val="196"/>
        </w:trPr>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5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56</w:t>
            </w:r>
          </w:p>
        </w:tc>
        <w:tc>
          <w:tcPr>
            <w:tcW w:w="4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396</w:t>
            </w:r>
          </w:p>
        </w:tc>
        <w:tc>
          <w:tcPr>
            <w:tcW w:w="42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 (340 )</w:t>
            </w:r>
          </w:p>
        </w:tc>
        <w:tc>
          <w:tcPr>
            <w:tcW w:w="14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(86 )%  $</w:t>
            </w: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866</w:t>
            </w:r>
          </w:p>
        </w:tc>
        <w:tc>
          <w:tcPr>
            <w:tcW w:w="4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 (765 )</w:t>
            </w:r>
          </w:p>
        </w:tc>
        <w:tc>
          <w:tcPr>
            <w:tcW w:w="2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19"/>
        </w:trPr>
        <w:tc>
          <w:tcPr>
            <w:tcW w:w="252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68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Arial" w:cs="Arial" w:eastAsia="Arial" w:hAnsi="Arial"/>
                <w:sz w:val="16"/>
                <w:szCs w:val="16"/>
                <w:color w:val="auto"/>
              </w:rPr>
              <w:t>42 %</w:t>
            </w:r>
          </w:p>
        </w:tc>
        <w:tc>
          <w:tcPr>
            <w:tcW w:w="1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60 %</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31 %</w:t>
            </w:r>
          </w:p>
        </w:tc>
        <w:tc>
          <w:tcPr>
            <w:tcW w:w="1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61 %</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-266700</wp:posOffset>
            </wp:positionV>
            <wp:extent cx="698627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spacing w:after="0" w:line="103"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Sales and marketing expense for the three and six months ended June 30, 2022 decreased $340 million, or 86%, and $765 million, or 88%, respectively, compared to the same period in 2021 primarily due to reduced digital advertising expenditures in order to focus our resources on other strategic initiatives.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100" w:type="dxa"/>
            <w:vAlign w:val="bottom"/>
            <w:gridSpan w:val="4"/>
          </w:tcPr>
          <w:p>
            <w:pPr>
              <w:jc w:val="center"/>
              <w:ind w:left="13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gridSpan w:val="3"/>
          </w:tcPr>
          <w:p>
            <w:pPr>
              <w:jc w:val="center"/>
              <w:ind w:right="402"/>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Change</w:t>
            </w:r>
          </w:p>
        </w:tc>
        <w:tc>
          <w:tcPr>
            <w:tcW w:w="122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99"/>
              </w:rPr>
              <w:t>June 30,</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3"/>
          </w:tcPr>
          <w:p>
            <w:pPr>
              <w:ind w:left="400"/>
              <w:spacing w:after="0"/>
              <w:rPr>
                <w:sz w:val="20"/>
                <w:szCs w:val="20"/>
                <w:color w:val="auto"/>
              </w:rPr>
            </w:pPr>
            <w:r>
              <w:rPr>
                <w:rFonts w:ascii="Arial" w:cs="Arial" w:eastAsia="Arial" w:hAnsi="Arial"/>
                <w:sz w:val="16"/>
                <w:szCs w:val="16"/>
                <w:b w:val="1"/>
                <w:bCs w:val="1"/>
                <w:color w:val="auto"/>
                <w:w w:val="98"/>
              </w:rPr>
              <w:t>Change</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25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r>
      <w:tr>
        <w:trPr>
          <w:trHeight w:val="196"/>
        </w:trPr>
        <w:tc>
          <w:tcPr>
            <w:tcW w:w="2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40" w:type="dxa"/>
            <w:vAlign w:val="bottom"/>
          </w:tcPr>
          <w:p>
            <w:pPr>
              <w:ind w:left="20"/>
              <w:spacing w:after="0"/>
              <w:rPr>
                <w:sz w:val="20"/>
                <w:szCs w:val="20"/>
                <w:color w:val="auto"/>
              </w:rPr>
            </w:pPr>
            <w:r>
              <w:rPr>
                <w:rFonts w:ascii="Arial" w:cs="Arial" w:eastAsia="Arial" w:hAnsi="Arial"/>
                <w:sz w:val="16"/>
                <w:szCs w:val="16"/>
                <w:color w:val="auto"/>
              </w:rPr>
              <w:t>Product development</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280" w:type="dxa"/>
            <w:vAlign w:val="bottom"/>
          </w:tcPr>
          <w:p>
            <w:pPr>
              <w:ind w:left="80"/>
              <w:spacing w:after="0"/>
              <w:rPr>
                <w:sz w:val="20"/>
                <w:szCs w:val="20"/>
                <w:color w:val="auto"/>
              </w:rPr>
            </w:pPr>
            <w:r>
              <w:rPr>
                <w:rFonts w:ascii="Arial" w:cs="Arial" w:eastAsia="Arial" w:hAnsi="Arial"/>
                <w:sz w:val="16"/>
                <w:szCs w:val="16"/>
                <w:color w:val="auto"/>
              </w:rPr>
              <w:t>46</w:t>
            </w:r>
          </w:p>
        </w:tc>
        <w:tc>
          <w:tcPr>
            <w:tcW w:w="420" w:type="dxa"/>
            <w:vAlign w:val="bottom"/>
          </w:tcPr>
          <w:p>
            <w:pPr>
              <w:spacing w:after="0"/>
              <w:rPr>
                <w:sz w:val="17"/>
                <w:szCs w:val="17"/>
                <w:color w:val="auto"/>
              </w:rPr>
            </w:pPr>
          </w:p>
        </w:tc>
        <w:tc>
          <w:tcPr>
            <w:tcW w:w="680" w:type="dxa"/>
            <w:vAlign w:val="bottom"/>
          </w:tcPr>
          <w:p>
            <w:pPr>
              <w:jc w:val="right"/>
              <w:ind w:right="522"/>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52</w:t>
            </w:r>
          </w:p>
        </w:tc>
        <w:tc>
          <w:tcPr>
            <w:tcW w:w="4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w w:val="91"/>
              </w:rPr>
              <w:t>(6 )</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(12 )%  $</w:t>
            </w: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4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103</w:t>
            </w:r>
          </w:p>
        </w:tc>
        <w:tc>
          <w:tcPr>
            <w:tcW w:w="3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   9</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19"/>
        </w:trPr>
        <w:tc>
          <w:tcPr>
            <w:tcW w:w="254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720" w:type="dxa"/>
            <w:vAlign w:val="bottom"/>
          </w:tcPr>
          <w:p>
            <w:pPr>
              <w:spacing w:after="0"/>
              <w:rPr>
                <w:sz w:val="19"/>
                <w:szCs w:val="19"/>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color w:val="auto"/>
              </w:rPr>
              <w:t>34 %</w:t>
            </w:r>
          </w:p>
        </w:tc>
        <w:tc>
          <w:tcPr>
            <w:tcW w:w="68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8 %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35 %</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7 %</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-266700</wp:posOffset>
            </wp:positionV>
            <wp:extent cx="698627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spacing w:after="0" w:line="103" w:lineRule="exact"/>
        <w:rPr>
          <w:sz w:val="20"/>
          <w:szCs w:val="20"/>
          <w:color w:val="auto"/>
        </w:rPr>
      </w:pPr>
    </w:p>
    <w:p>
      <w:pPr>
        <w:jc w:val="both"/>
        <w:ind w:firstLine="644"/>
        <w:spacing w:after="0" w:line="276" w:lineRule="auto"/>
        <w:rPr>
          <w:sz w:val="20"/>
          <w:szCs w:val="20"/>
          <w:color w:val="auto"/>
        </w:rPr>
      </w:pPr>
      <w:r>
        <w:rPr>
          <w:rFonts w:ascii="Arial" w:cs="Arial" w:eastAsia="Arial" w:hAnsi="Arial"/>
          <w:sz w:val="18"/>
          <w:szCs w:val="18"/>
          <w:color w:val="auto"/>
        </w:rPr>
        <w:t>Product development expense for the three months ended June 30, 2022 decreased $6 million, or 12%, compared to the same period in 2021. The decrease was primarily due to a decrease in expenses associated with data warehousing, processing, and analytics.</w:t>
      </w:r>
    </w:p>
    <w:p>
      <w:pPr>
        <w:spacing w:after="0" w:line="91"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Product development expense for the six months ended June 30, 2022 increased by $9 million or 9%, compared to the same period in 2021. The increase was primarily driven by a one-time discretionary bonus paid to select employees to cover their respective tax obligations triggered by the settlement of their RSUs that vested upon the Company’s IPO.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rPr>
              <w:t>Six Months Ended</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2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6"/>
                <w:szCs w:val="16"/>
                <w:b w:val="1"/>
                <w:bCs w:val="1"/>
                <w:color w:val="auto"/>
                <w:w w:val="99"/>
              </w:rPr>
              <w:t>June 30,</w:t>
            </w:r>
          </w:p>
        </w:tc>
        <w:tc>
          <w:tcPr>
            <w:tcW w:w="6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Change</w:t>
            </w:r>
          </w:p>
        </w:tc>
        <w:tc>
          <w:tcPr>
            <w:tcW w:w="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400" w:type="dxa"/>
            <w:vAlign w:val="bottom"/>
            <w:vMerge w:val="restart"/>
          </w:tcPr>
          <w:p>
            <w:pPr>
              <w:spacing w:after="0"/>
              <w:rPr>
                <w:sz w:val="20"/>
                <w:szCs w:val="20"/>
                <w:color w:val="auto"/>
              </w:rPr>
            </w:pPr>
            <w:r>
              <w:rPr>
                <w:rFonts w:ascii="Arial" w:cs="Arial" w:eastAsia="Arial" w:hAnsi="Arial"/>
                <w:sz w:val="13"/>
                <w:szCs w:val="13"/>
                <w:b w:val="1"/>
                <w:bCs w:val="1"/>
                <w:color w:val="auto"/>
                <w:w w:val="70"/>
              </w:rPr>
              <w:t>millions)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7"/>
                <w:szCs w:val="17"/>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ind w:left="60"/>
              <w:spacing w:after="0"/>
              <w:rPr>
                <w:sz w:val="20"/>
                <w:szCs w:val="20"/>
                <w:color w:val="auto"/>
              </w:rPr>
            </w:pPr>
            <w:r>
              <w:rPr>
                <w:rFonts w:ascii="Arial" w:cs="Arial" w:eastAsia="Arial" w:hAnsi="Arial"/>
                <w:sz w:val="16"/>
                <w:szCs w:val="16"/>
                <w:b w:val="1"/>
                <w:bCs w:val="1"/>
                <w:color w:val="auto"/>
              </w:rPr>
              <w:t>(in</w:t>
            </w:r>
          </w:p>
        </w:tc>
        <w:tc>
          <w:tcPr>
            <w:tcW w:w="4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50</w:t>
            </w:r>
          </w:p>
        </w:tc>
        <w:tc>
          <w:tcPr>
            <w:tcW w:w="4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  (19 )</w:t>
            </w:r>
          </w:p>
        </w:tc>
        <w:tc>
          <w:tcPr>
            <w:tcW w:w="18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(38 )%  $</w:t>
            </w:r>
          </w:p>
        </w:tc>
        <w:tc>
          <w:tcPr>
            <w:tcW w:w="680" w:type="dxa"/>
            <w:vAlign w:val="bottom"/>
          </w:tcPr>
          <w:p>
            <w:pPr>
              <w:ind w:left="480"/>
              <w:spacing w:after="0"/>
              <w:rPr>
                <w:sz w:val="20"/>
                <w:szCs w:val="20"/>
                <w:color w:val="auto"/>
              </w:rPr>
            </w:pPr>
            <w:r>
              <w:rPr>
                <w:rFonts w:ascii="Arial" w:cs="Arial" w:eastAsia="Arial" w:hAnsi="Arial"/>
                <w:sz w:val="16"/>
                <w:szCs w:val="16"/>
                <w:color w:val="auto"/>
              </w:rPr>
              <w:t>46</w:t>
            </w: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4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w w:val="98"/>
              </w:rPr>
              <w:t>$  (46 )</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9"/>
        </w:trPr>
        <w:tc>
          <w:tcPr>
            <w:tcW w:w="248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66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color w:val="auto"/>
              </w:rPr>
              <w:t>23 %</w:t>
            </w:r>
          </w:p>
        </w:tc>
        <w:tc>
          <w:tcPr>
            <w:tcW w:w="66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8 %</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6 %</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-266700</wp:posOffset>
            </wp:positionV>
            <wp:extent cx="698627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spacing w:after="0" w:line="103" w:lineRule="exact"/>
        <w:rPr>
          <w:sz w:val="20"/>
          <w:szCs w:val="20"/>
          <w:color w:val="auto"/>
        </w:rPr>
      </w:pPr>
    </w:p>
    <w:p>
      <w:pPr>
        <w:jc w:val="both"/>
        <w:ind w:right="20" w:firstLine="636"/>
        <w:spacing w:after="0" w:line="263" w:lineRule="auto"/>
        <w:rPr>
          <w:sz w:val="20"/>
          <w:szCs w:val="20"/>
          <w:color w:val="auto"/>
        </w:rPr>
      </w:pPr>
      <w:r>
        <w:rPr>
          <w:rFonts w:ascii="Arial" w:cs="Arial" w:eastAsia="Arial" w:hAnsi="Arial"/>
          <w:sz w:val="18"/>
          <w:szCs w:val="18"/>
          <w:color w:val="auto"/>
        </w:rPr>
        <w:t>General and administrative expense for the three months ended June 30, 2022 decreased $19 million, or 38%, compared to the same period in 2021. The decrease was primarily due to a decrease in employee-related costs, including stock-based compensation, driven by a reduced headcount from the Restructuring Plan and to a lesser extent, decreases in legal, audit, tax, and lease related expenses.</w:t>
      </w:r>
    </w:p>
    <w:p>
      <w:pPr>
        <w:spacing w:after="0" w:line="10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General and administrative expense for the six months ended June 30, 2022 decreased $46 million, or 50%, compared to the same period in 2021. The decrease was primarily related to a reversal of stock-based compensation in connection with the resignation of both our CEO and executive chair, a reduction in employee-related costs, including stock-based compensation, driven by a reduced headcount from the Restructuring Plan, and to a lesser extent, decreases in legal, audit, tax, and lease related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2180" w:type="dxa"/>
            <w:vAlign w:val="bottom"/>
            <w:gridSpan w:val="4"/>
          </w:tcPr>
          <w:p>
            <w:pPr>
              <w:jc w:val="center"/>
              <w:ind w:left="1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2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gridSpan w:val="3"/>
          </w:tcPr>
          <w:p>
            <w:pPr>
              <w:jc w:val="center"/>
              <w:ind w:right="499"/>
              <w:spacing w:after="0"/>
              <w:rPr>
                <w:sz w:val="20"/>
                <w:szCs w:val="20"/>
                <w:color w:val="auto"/>
              </w:rPr>
            </w:pPr>
            <w:r>
              <w:rPr>
                <w:rFonts w:ascii="Arial" w:cs="Arial" w:eastAsia="Arial" w:hAnsi="Arial"/>
                <w:sz w:val="16"/>
                <w:szCs w:val="16"/>
                <w:b w:val="1"/>
                <w:bCs w:val="1"/>
                <w:color w:val="auto"/>
                <w:w w:val="99"/>
              </w:rPr>
              <w:t>June 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5"/>
          </w:tcPr>
          <w:p>
            <w:pPr>
              <w:ind w:left="40"/>
              <w:spacing w:after="0"/>
              <w:rPr>
                <w:sz w:val="20"/>
                <w:szCs w:val="20"/>
                <w:color w:val="auto"/>
              </w:rPr>
            </w:pPr>
            <w:r>
              <w:rPr>
                <w:rFonts w:ascii="Arial" w:cs="Arial" w:eastAsia="Arial" w:hAnsi="Arial"/>
                <w:sz w:val="16"/>
                <w:szCs w:val="16"/>
                <w:b w:val="1"/>
                <w:bCs w:val="1"/>
                <w:color w:val="auto"/>
              </w:rPr>
              <w:t>Change</w:t>
            </w:r>
          </w:p>
        </w:tc>
        <w:tc>
          <w:tcPr>
            <w:tcW w:w="17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ind w:left="420"/>
              <w:spacing w:after="0"/>
              <w:rPr>
                <w:sz w:val="20"/>
                <w:szCs w:val="20"/>
                <w:color w:val="auto"/>
              </w:rPr>
            </w:pPr>
            <w:r>
              <w:rPr>
                <w:rFonts w:ascii="Arial" w:cs="Arial" w:eastAsia="Arial" w:hAnsi="Arial"/>
                <w:sz w:val="16"/>
                <w:szCs w:val="16"/>
                <w:b w:val="1"/>
                <w:bCs w:val="1"/>
                <w:color w:val="auto"/>
                <w:w w:val="95"/>
              </w:rPr>
              <w:t>Change</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6"/>
        </w:trPr>
        <w:tc>
          <w:tcPr>
            <w:tcW w:w="27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w:t>
            </w:r>
          </w:p>
        </w:tc>
        <w:tc>
          <w:tcPr>
            <w:tcW w:w="200" w:type="dxa"/>
            <w:vAlign w:val="bottom"/>
          </w:tcPr>
          <w:p>
            <w:pPr>
              <w:spacing w:after="0"/>
              <w:rPr>
                <w:sz w:val="17"/>
                <w:szCs w:val="17"/>
                <w:color w:val="auto"/>
              </w:rPr>
            </w:pPr>
          </w:p>
        </w:tc>
      </w:tr>
      <w:tr>
        <w:trPr>
          <w:trHeight w:val="196"/>
        </w:trPr>
        <w:tc>
          <w:tcPr>
            <w:tcW w:w="2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1</w:t>
            </w:r>
          </w:p>
        </w:tc>
        <w:tc>
          <w:tcPr>
            <w:tcW w:w="240" w:type="dxa"/>
            <w:vAlign w:val="bottom"/>
          </w:tcPr>
          <w:p>
            <w:pPr>
              <w:spacing w:after="0"/>
              <w:rPr>
                <w:sz w:val="17"/>
                <w:szCs w:val="17"/>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tcPr>
          <w:p>
            <w:pPr>
              <w:ind w:left="12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(4 )</w:t>
            </w: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(80 )%$</w:t>
            </w:r>
          </w:p>
        </w:tc>
        <w:tc>
          <w:tcPr>
            <w:tcW w:w="800" w:type="dxa"/>
            <w:vAlign w:val="bottom"/>
          </w:tcPr>
          <w:p>
            <w:pPr>
              <w:ind w:left="700"/>
              <w:spacing w:after="0"/>
              <w:rPr>
                <w:sz w:val="20"/>
                <w:szCs w:val="20"/>
                <w:color w:val="auto"/>
              </w:rPr>
            </w:pPr>
            <w:r>
              <w:rPr>
                <w:rFonts w:ascii="Arial" w:cs="Arial" w:eastAsia="Arial" w:hAnsi="Arial"/>
                <w:sz w:val="16"/>
                <w:szCs w:val="16"/>
                <w:color w:val="auto"/>
                <w:w w:val="89"/>
              </w:rPr>
              <w:t>1</w:t>
            </w:r>
          </w:p>
        </w:tc>
        <w:tc>
          <w:tcPr>
            <w:tcW w:w="200" w:type="dxa"/>
            <w:vAlign w:val="bottom"/>
          </w:tcPr>
          <w:p>
            <w:pPr>
              <w:spacing w:after="0"/>
              <w:rPr>
                <w:sz w:val="17"/>
                <w:szCs w:val="17"/>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7</w:t>
            </w:r>
          </w:p>
        </w:tc>
        <w:tc>
          <w:tcPr>
            <w:tcW w:w="2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   (6 )</w:t>
            </w:r>
          </w:p>
        </w:tc>
        <w:tc>
          <w:tcPr>
            <w:tcW w:w="2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(86 )%</w:t>
            </w:r>
          </w:p>
        </w:tc>
      </w:tr>
      <w:tr>
        <w:trPr>
          <w:trHeight w:val="219"/>
        </w:trPr>
        <w:tc>
          <w:tcPr>
            <w:tcW w:w="2720" w:type="dxa"/>
            <w:vAlign w:val="bottom"/>
          </w:tcPr>
          <w:p>
            <w:pPr>
              <w:ind w:left="260"/>
              <w:spacing w:after="0"/>
              <w:rPr>
                <w:sz w:val="20"/>
                <w:szCs w:val="20"/>
                <w:color w:val="auto"/>
              </w:rPr>
            </w:pPr>
            <w:r>
              <w:rPr>
                <w:rFonts w:ascii="Arial" w:cs="Arial" w:eastAsia="Arial" w:hAnsi="Arial"/>
                <w:sz w:val="16"/>
                <w:szCs w:val="16"/>
                <w:color w:val="auto"/>
              </w:rPr>
              <w:t>Percentage of revenue</w:t>
            </w:r>
          </w:p>
        </w:tc>
        <w:tc>
          <w:tcPr>
            <w:tcW w:w="8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1 %</w:t>
            </w:r>
          </w:p>
        </w:tc>
        <w:tc>
          <w:tcPr>
            <w:tcW w:w="8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1 %</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1 %</w:t>
            </w:r>
          </w:p>
        </w:tc>
        <w:tc>
          <w:tcPr>
            <w:tcW w:w="76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1 %</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-266700</wp:posOffset>
            </wp:positionV>
            <wp:extent cx="698627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spacing w:after="0" w:line="10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Provision for income taxes for the three and six months ended June 30, 2022 decreased $4 million, or 80%, and $6 million, or 86%, respectively, compared to the same periods in 2021. The change in provision for income taxes was primarily due to a decrease in pre-tax earnings of our international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0"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As of June 30, 2022, we had cash, cash equivalents and marketable securities of $947 million,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spacing w:after="0" w:line="113" w:lineRule="exact"/>
        <w:rPr>
          <w:sz w:val="20"/>
          <w:szCs w:val="20"/>
          <w:color w:val="auto"/>
        </w:rPr>
      </w:pPr>
    </w:p>
    <w:p>
      <w:pPr>
        <w:jc w:val="both"/>
        <w:ind w:right="20" w:firstLine="636"/>
        <w:spacing w:after="0" w:line="292" w:lineRule="auto"/>
        <w:rPr>
          <w:sz w:val="20"/>
          <w:szCs w:val="20"/>
          <w:color w:val="auto"/>
        </w:rPr>
      </w:pPr>
      <w:r>
        <w:rPr>
          <w:rFonts w:ascii="Arial" w:cs="Arial" w:eastAsia="Arial" w:hAnsi="Arial"/>
          <w:sz w:val="18"/>
          <w:szCs w:val="18"/>
          <w:color w:val="auto"/>
        </w:rPr>
        <w:t>Our material cash requirements include $185 million in accounts and merchants payable, $ 1 million remaining on a colocation and cloud services purchase commitment, and $23 million of facility lease obligations, of which $9 million is due within the next 12 months.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158"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June 30, 2022, we had not made any borrowings under the Revolving Credit Facility. Refer to Note 7 to our condensed consolidated financial statements in Item 1 of Part I, “Financial Information” for additional details related to the Revolving Credit Facility.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tcPr>
          <w:p>
            <w:pPr>
              <w:spacing w:after="0"/>
              <w:rPr>
                <w:sz w:val="19"/>
                <w:szCs w:val="19"/>
                <w:color w:val="auto"/>
              </w:rPr>
            </w:pPr>
          </w:p>
        </w:tc>
        <w:tc>
          <w:tcPr>
            <w:tcW w:w="36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40" w:type="dxa"/>
            <w:vAlign w:val="bottom"/>
          </w:tcPr>
          <w:p>
            <w:pPr>
              <w:spacing w:after="0"/>
              <w:rPr>
                <w:sz w:val="17"/>
                <w:szCs w:val="17"/>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6"/>
                <w:szCs w:val="16"/>
                <w:b w:val="1"/>
                <w:bCs w:val="1"/>
                <w:color w:val="auto"/>
                <w:w w:val="81"/>
              </w:rPr>
              <w:t>(in</w:t>
            </w:r>
          </w:p>
        </w:tc>
        <w:tc>
          <w:tcPr>
            <w:tcW w:w="1800" w:type="dxa"/>
            <w:vAlign w:val="bottom"/>
            <w:gridSpan w:val="2"/>
          </w:tcPr>
          <w:p>
            <w:pPr>
              <w:jc w:val="right"/>
              <w:ind w:right="979"/>
              <w:spacing w:after="0"/>
              <w:rPr>
                <w:sz w:val="20"/>
                <w:szCs w:val="20"/>
                <w:color w:val="auto"/>
              </w:rPr>
            </w:pPr>
            <w:r>
              <w:rPr>
                <w:rFonts w:ascii="Arial" w:cs="Arial" w:eastAsia="Arial" w:hAnsi="Arial"/>
                <w:sz w:val="16"/>
                <w:szCs w:val="16"/>
                <w:b w:val="1"/>
                <w:bCs w:val="1"/>
                <w:color w:val="auto"/>
              </w:rPr>
              <w:t>millions)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w:t>
            </w:r>
          </w:p>
        </w:tc>
        <w:tc>
          <w:tcPr>
            <w:tcW w:w="1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rPr>
                <w:sz w:val="20"/>
                <w:szCs w:val="20"/>
                <w:color w:val="auto"/>
              </w:rPr>
            </w:pPr>
            <w:r>
              <w:rPr>
                <w:rFonts w:ascii="Arial" w:cs="Arial" w:eastAsia="Arial" w:hAnsi="Arial"/>
                <w:sz w:val="16"/>
                <w:szCs w:val="16"/>
                <w:color w:val="auto"/>
              </w:rPr>
              <w:t>Operating activities</w:t>
            </w:r>
          </w:p>
        </w:tc>
        <w:tc>
          <w:tcPr>
            <w:tcW w:w="130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39"/>
              <w:spacing w:after="0"/>
              <w:rPr>
                <w:sz w:val="20"/>
                <w:szCs w:val="20"/>
                <w:color w:val="auto"/>
              </w:rPr>
            </w:pPr>
            <w:r>
              <w:rPr>
                <w:rFonts w:ascii="Arial" w:cs="Arial" w:eastAsia="Arial" w:hAnsi="Arial"/>
                <w:sz w:val="16"/>
                <w:szCs w:val="16"/>
                <w:color w:val="auto"/>
              </w:rPr>
              <w:t>(213 )</w:t>
            </w:r>
          </w:p>
        </w:tc>
        <w:tc>
          <w:tcPr>
            <w:tcW w:w="1400" w:type="dxa"/>
            <w:vAlign w:val="bottom"/>
          </w:tcPr>
          <w:p>
            <w:pPr>
              <w:jc w:val="right"/>
              <w:ind w:right="12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(558 )</w:t>
            </w:r>
          </w:p>
        </w:tc>
      </w:tr>
      <w:tr>
        <w:trPr>
          <w:trHeight w:val="203"/>
        </w:trPr>
        <w:tc>
          <w:tcPr>
            <w:tcW w:w="69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Investing activities</w:t>
            </w:r>
          </w:p>
        </w:tc>
        <w:tc>
          <w:tcPr>
            <w:tcW w:w="13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(91 )</w:t>
            </w:r>
          </w:p>
        </w:tc>
        <w:tc>
          <w:tcPr>
            <w:tcW w:w="14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r>
      <w:tr>
        <w:trPr>
          <w:trHeight w:val="219"/>
        </w:trPr>
        <w:tc>
          <w:tcPr>
            <w:tcW w:w="6940" w:type="dxa"/>
            <w:vAlign w:val="bottom"/>
          </w:tcPr>
          <w:p>
            <w:pPr>
              <w:ind w:left="280"/>
              <w:spacing w:after="0"/>
              <w:rPr>
                <w:sz w:val="20"/>
                <w:szCs w:val="20"/>
                <w:color w:val="auto"/>
              </w:rPr>
            </w:pPr>
            <w:r>
              <w:rPr>
                <w:rFonts w:ascii="Arial" w:cs="Arial" w:eastAsia="Arial" w:hAnsi="Arial"/>
                <w:sz w:val="16"/>
                <w:szCs w:val="16"/>
                <w:color w:val="auto"/>
              </w:rPr>
              <w:t>Financing activities</w:t>
            </w:r>
          </w:p>
        </w:tc>
        <w:tc>
          <w:tcPr>
            <w:tcW w:w="1300" w:type="dxa"/>
            <w:vAlign w:val="bottom"/>
          </w:tcPr>
          <w:p>
            <w:pPr>
              <w:spacing w:after="0"/>
              <w:rPr>
                <w:sz w:val="19"/>
                <w:szCs w:val="19"/>
                <w:color w:val="auto"/>
              </w:rPr>
            </w:pPr>
          </w:p>
        </w:tc>
        <w:tc>
          <w:tcPr>
            <w:tcW w:w="920" w:type="dxa"/>
            <w:vAlign w:val="bottom"/>
            <w:gridSpan w:val="2"/>
          </w:tcPr>
          <w:p>
            <w:pPr>
              <w:jc w:val="right"/>
              <w:ind w:right="239"/>
              <w:spacing w:after="0"/>
              <w:rPr>
                <w:sz w:val="20"/>
                <w:szCs w:val="20"/>
                <w:color w:val="auto"/>
              </w:rPr>
            </w:pPr>
            <w:r>
              <w:rPr>
                <w:rFonts w:ascii="Arial" w:cs="Arial" w:eastAsia="Arial" w:hAnsi="Arial"/>
                <w:sz w:val="16"/>
                <w:szCs w:val="16"/>
                <w:color w:val="auto"/>
              </w:rPr>
              <w:t>(4 )</w:t>
            </w:r>
          </w:p>
        </w:tc>
        <w:tc>
          <w:tcPr>
            <w:tcW w:w="14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Net cash used in our operating activities for the six months ended June 30, 2022 was $213 million. This was driven by our net loss of $150 million and $105 million unfavorable changes in our operating assets and liabilities, which was partially offset by non-cash expenses of $42 million. Unfavorable working capital movement was mainly driven by reductions in accounts payable, merchants payable and accrued and refund liabilities. Accounts payable, merchants payable, and accrued and refund liabilities decreased by $106 million primarily due to lower order volumes and reduced digital advertising expenditures.</w:t>
      </w:r>
    </w:p>
    <w:p>
      <w:pPr>
        <w:spacing w:after="0" w:line="111"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8"/>
          <w:szCs w:val="18"/>
          <w:color w:val="auto"/>
        </w:rPr>
        <w:t>Net cash used in our operating activities for the six months ended June 30, 2021 was $558 million. This was primarily driven by our net loss of $ 239 million and $410 million unfavorable net working capital changes, which was partially offset by non-cash expenses, such as stock-based compensation expense of $74 million. Unfavorable working capital movement was mainly driven by accounts payable, merchants payable and accrued and refund liabilities. Accounts payable decreased by $179 million primarily due to timing of payments and shorter vendor payment terms. Earlier during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$141 million primarily driven by lower volumes in the first half of 2021 compared to the fourth quarter of 2020 due to seasonality and higher percentage of shipments through our A+ program which accelerated the payment of merchants payable due to higher delivery confirmation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8"/>
          <w:szCs w:val="18"/>
          <w:color w:val="auto"/>
        </w:rPr>
        <w:t>Net cash used in investing activities was $91 million for the six months ended June 30, 2022. This was primarily due to $226 million in purchases of marketable securities and $2 million in capital expenditures, partially offset by $137 million of maturities in marketable securities.</w:t>
      </w:r>
    </w:p>
    <w:p>
      <w:pPr>
        <w:spacing w:after="0" w:line="103" w:lineRule="exact"/>
        <w:rPr>
          <w:sz w:val="20"/>
          <w:szCs w:val="20"/>
          <w:color w:val="auto"/>
        </w:rPr>
      </w:pPr>
    </w:p>
    <w:p>
      <w:pPr>
        <w:jc w:val="both"/>
        <w:ind w:firstLine="636"/>
        <w:spacing w:after="0" w:line="292" w:lineRule="auto"/>
        <w:rPr>
          <w:sz w:val="20"/>
          <w:szCs w:val="20"/>
          <w:color w:val="auto"/>
        </w:rPr>
      </w:pPr>
      <w:r>
        <w:rPr>
          <w:rFonts w:ascii="Arial" w:cs="Arial" w:eastAsia="Arial" w:hAnsi="Arial"/>
          <w:sz w:val="18"/>
          <w:szCs w:val="18"/>
          <w:color w:val="auto"/>
        </w:rPr>
        <w:t>Net cash used in investing activities was $2 million for the six months ended June 30, 2021. This was primarily due to $124 million purchases of marketable securities, partially offset by $123 million of maturities of marketable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77"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8"/>
          <w:szCs w:val="18"/>
          <w:color w:val="auto"/>
        </w:rPr>
        <w:t>Net cash used in our financing activities was $4 million for the six months ended June 30, 2022. This was primarily due to $5 million in payments of taxes related to employee RSU settlements, offset by $1 million in proceeds from common stock purchased under the Company's ESPP.</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our financing activities was insignificant during the six months ended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7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For the three and six months ended June 30, 2022 and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60"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We are involved in claims, lawsuits, government investigations,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3"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We evaluate our estimates, including those listed below on an ongoing basis. We base our estimates on historical facts and various other assumptions that we believe to be reasonable at the time the estimates are made. Actual results could differ from those estimates.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critical accounting policies are as follows:</w:t>
      </w:r>
    </w:p>
    <w:p>
      <w:pPr>
        <w:spacing w:after="0" w:line="158" w:lineRule="exact"/>
        <w:rPr>
          <w:sz w:val="20"/>
          <w:szCs w:val="20"/>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Revenue recognition;</w:t>
      </w:r>
    </w:p>
    <w:p>
      <w:pPr>
        <w:spacing w:after="0" w:line="75"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lease obligations;</w:t>
      </w:r>
    </w:p>
    <w:p>
      <w:pPr>
        <w:spacing w:after="0" w:line="75"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long-lived assets, including intangibles and lease assets;</w:t>
      </w:r>
    </w:p>
    <w:p>
      <w:pPr>
        <w:spacing w:after="0" w:line="89"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Stock-based compensation; and</w:t>
      </w:r>
    </w:p>
    <w:p>
      <w:pPr>
        <w:spacing w:after="0" w:line="75" w:lineRule="exact"/>
        <w:rPr>
          <w:rFonts w:ascii="Times New Roman" w:cs="Times New Roman" w:eastAsia="Times New Roman" w:hAnsi="Times New Roman"/>
          <w:sz w:val="18"/>
          <w:szCs w:val="18"/>
          <w:color w:val="auto"/>
        </w:rPr>
      </w:pPr>
    </w:p>
    <w:p>
      <w:pPr>
        <w:ind w:left="1340" w:hanging="380"/>
        <w:spacing w:after="0"/>
        <w:tabs>
          <w:tab w:leader="none" w:pos="13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Income taxes.</w:t>
      </w:r>
    </w:p>
    <w:p>
      <w:pPr>
        <w:spacing w:after="0" w:line="157" w:lineRule="exact"/>
        <w:rPr>
          <w:sz w:val="20"/>
          <w:szCs w:val="20"/>
          <w:color w:val="auto"/>
        </w:rPr>
      </w:pPr>
    </w:p>
    <w:p>
      <w:pPr>
        <w:ind w:right="20" w:firstLine="644"/>
        <w:spacing w:after="0" w:line="292" w:lineRule="auto"/>
        <w:rPr>
          <w:sz w:val="20"/>
          <w:szCs w:val="20"/>
          <w:color w:val="auto"/>
        </w:rPr>
      </w:pPr>
      <w:r>
        <w:rPr>
          <w:rFonts w:ascii="Arial" w:cs="Arial" w:eastAsia="Arial" w:hAnsi="Arial"/>
          <w:sz w:val="18"/>
          <w:szCs w:val="18"/>
          <w:color w:val="auto"/>
        </w:rPr>
        <w:t>Our critical accounting policies are important to the portrayal of our financial condition and results of operations, and require us to make judgments and estimates about matters that are inherently uncertain.</w:t>
      </w:r>
    </w:p>
    <w:p>
      <w:pPr>
        <w:spacing w:after="0" w:line="77" w:lineRule="exact"/>
        <w:rPr>
          <w:sz w:val="20"/>
          <w:szCs w:val="20"/>
          <w:color w:val="auto"/>
        </w:rPr>
      </w:pPr>
    </w:p>
    <w:p>
      <w:pPr>
        <w:ind w:right="20" w:firstLine="644"/>
        <w:spacing w:after="0" w:line="27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2021 Form 10-K, filed with the SEC on March 14,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4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Cash, cash equivalents and marketable securities as of June 30, 2022 were held primarily in cash deposits, treasuries, and corporate bonds. The fair value of our cash, cash equivalents, and investments would not be significantly affected by either an increase or decrease in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interest rates due mainly to the short-term nature of these instruments and that the Company’s policy is to hold investments to maturity except in cases of non-compliance with our investment policy.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44"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processes and procedures for managing this risk. We use natural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hedging techniques first to net off existing foreign currency exposures. For the remaining exposure, we may enter into short term foreign currency derivative contracts, including forward contracts to hedge exposures associated with monetary assets and liabilities, mainly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merchants payable, and cash flows denominated in non-functional currencies.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w:t>
      </w:r>
    </w:p>
    <w:p>
      <w:pPr>
        <w:spacing w:after="0" w:line="1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condensed consolidated balance sheets. The majority of these foreign exchange contracts expire in less than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three months and all expire within one year. Refer to Note 5 to our condensed consolidated financial statements in Item 1 of Part I, “Financial Statements” for more information related to our derivative financial instruments.</w:t>
      </w:r>
    </w:p>
    <w:p>
      <w:pPr>
        <w:spacing w:after="0" w:line="12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8"/>
          <w:szCs w:val="18"/>
          <w:color w:val="auto"/>
        </w:rPr>
        <w:t>Based on our overall currency rate exposures as of June 30, 2022,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in the near-term.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5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As of the date of filing of this Quarterly Report, we do not believe that inflation has had a material effect on our business, financial condition, or results of operations. If the Company’s costs were to become subject to significant inflationary pressures, the Company may not</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be able to fully offset such higher costs through increases in revenue as increases in core inflation rates may also affect consumers’ willingness to make discretionary purchases on our platforms. The Company’s inability or failure to do so could harm the Company’s business,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disclosure controls and procedures (as defined in Rules 13a-15(e) or 15d-15(e) under the Exchange Act) are designed to ensure</w:t>
      </w:r>
    </w:p>
    <w:p>
      <w:pPr>
        <w:spacing w:after="0" w:line="1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disclosure. Our Chief Executive Officer and Chief Financial Officer, with assistance from other members of management, have evaluated the effectiveness of our disclosure controls and procedures as of June 30, 2022, and, based on their evaluation, have concluded that the</w:t>
      </w:r>
    </w:p>
    <w:p>
      <w:pPr>
        <w:spacing w:after="0" w:line="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disclosure controls and procedures were not effective as of such date due to material weaknesses in internal control over financial reporting,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Weaknesses in Internal Control over Financial Reporting</w:t>
      </w:r>
    </w:p>
    <w:p>
      <w:pPr>
        <w:spacing w:after="0" w:line="158" w:lineRule="exact"/>
        <w:rPr>
          <w:sz w:val="20"/>
          <w:szCs w:val="20"/>
          <w:color w:val="auto"/>
        </w:rPr>
      </w:pPr>
    </w:p>
    <w:p>
      <w:pPr>
        <w:jc w:val="both"/>
        <w:ind w:firstLine="628"/>
        <w:spacing w:after="0" w:line="276" w:lineRule="auto"/>
        <w:rPr>
          <w:sz w:val="20"/>
          <w:szCs w:val="20"/>
          <w:color w:val="auto"/>
        </w:rPr>
      </w:pPr>
      <w:r>
        <w:rPr>
          <w:rFonts w:ascii="Arial" w:cs="Arial" w:eastAsia="Arial" w:hAnsi="Arial"/>
          <w:sz w:val="18"/>
          <w:szCs w:val="18"/>
          <w:color w:val="auto"/>
        </w:rPr>
        <w:t>As disclosed in Item 9A, “Controls and Procedures” within our 2021 Form 10-K, which was filed with the SEC on March 14, 2022, the following material weaknesses were identified and remain outstanding as of June 30, 2022:</w:t>
      </w:r>
    </w:p>
    <w:p>
      <w:pPr>
        <w:spacing w:after="0" w:line="37" w:lineRule="exact"/>
        <w:rPr>
          <w:sz w:val="20"/>
          <w:szCs w:val="20"/>
          <w:color w:val="auto"/>
        </w:rPr>
      </w:pPr>
    </w:p>
    <w:p>
      <w:pPr>
        <w:jc w:val="both"/>
        <w:ind w:left="1020" w:hanging="503"/>
        <w:spacing w:after="0" w:line="244"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 Business process controls (automated and manual) that are dependent on the ineffective ITGCs, or that rely on data produced from systems impacted by the ineffective ITGCs, are also deemed ineffective.</w:t>
      </w:r>
    </w:p>
    <w:p>
      <w:pPr>
        <w:spacing w:after="0" w:line="81"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fully implement components of the COSO framework, including elements of the control environment, information and communication, control activities and monitoring activities components, relating to: (i) providing sufficient management oversight and ownership over the internal control evaluation process; (ii) hiring and training sufficient competent personnel to support the Company’s internal control objectives; (iii) performing timely monitoring to ascertain whether the components of internal control are present and functioning effectively; (iv) communicating deficiencies in a timely manner to those parties responsible for taking corrective action; and (v) retaining sufficient documentation of control activities and evidence supporting the operating effectiveness of the controls. As such, management concluded that it did not have an adequate process in place to complete its assessment of the design and operating effectiveness of internal control over financial reporting in a timely manner.</w:t>
      </w:r>
    </w:p>
    <w:p>
      <w:pPr>
        <w:spacing w:after="0" w:line="125"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spacing w:after="0" w:line="126"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Weaknesses</w:t>
      </w:r>
    </w:p>
    <w:p>
      <w:pPr>
        <w:spacing w:after="0" w:line="171"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 Our ongoing remediation actions include: (i) hiring additional qualified accounting, financial reporting, tax and information technology personnel with public company experience; (ii) providing additional training for our personnel including the appropriate level of documentation to be maintained to support internal control over financial reporting; (iii) holding periodic SOX Steering Committee meetings which is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 (iv) designing and implementing controls to formalize roles and review responsibilities to align with the staff’s skills and experience and to ensure proper internal control over financial reporting; (v) enhancing and standardizing user access reviews and monitoring controls in the second quarter of 2022, where appropriate, to improve segregation of duties; and (vi) enhancing processes to monitor critical batch and interface jobs.</w:t>
      </w:r>
    </w:p>
    <w:p>
      <w:pPr>
        <w:spacing w:after="0" w:line="125"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are committed to continuing to implement a strong system of controls and believe that our ongoing remediation efforts will result in significant improvements to our internal control over financial reporting and will remediate the material weaknesses. However, material weaknesses are not considered remediated until the new controls have been operational for a sufficient period of time, are tested, and management concludes that these controls are operating effectively. This remediation process will require resources and time to implement, and remediation efforts could continue beyond the fiscal year ending December 31, 2023. We will continue to monitor the effectiveness of these remediation measures, and we will make any changes to the design of this plan and take such other actions that we deem appropriate given the circumstances.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8"/>
          <w:szCs w:val="18"/>
          <w:color w:val="auto"/>
        </w:rPr>
        <w:t>Other than enhancing and standardizing user access reviews and monitoring controls as described under “Management’s Plan to Remediate the Material Weaknesses” above, there were no changes to our internal control over financial reporting during the quarter ended June 30, 2022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Disclosure Controls and Procedures</w:t>
      </w:r>
    </w:p>
    <w:p>
      <w:pPr>
        <w:spacing w:after="0" w:line="15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2"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The information set forth under Note 7, Commitments and Contingencies, in Notes to Unaudited Condensed Consolidated Financial Statements included in Part I, Item 1, of this Quarterly Report on Form 10-Q, is incorporated herein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Investing in our Class A common stock involves a high degree of risk. Before deciding whether to purchase shares of our Class A</w:t>
      </w:r>
    </w:p>
    <w:p>
      <w:pPr>
        <w:spacing w:after="0" w:line="4" w:lineRule="exact"/>
        <w:rPr>
          <w:sz w:val="20"/>
          <w:szCs w:val="20"/>
          <w:color w:val="auto"/>
        </w:rPr>
      </w:pPr>
    </w:p>
    <w:p>
      <w:pPr>
        <w:jc w:val="both"/>
        <w:ind w:right="20"/>
        <w:spacing w:after="0" w:line="211" w:lineRule="auto"/>
        <w:rPr>
          <w:sz w:val="20"/>
          <w:szCs w:val="20"/>
          <w:color w:val="auto"/>
        </w:rPr>
      </w:pPr>
      <w:r>
        <w:rPr>
          <w:rFonts w:ascii="Arial" w:cs="Arial" w:eastAsia="Arial" w:hAnsi="Arial"/>
          <w:sz w:val="18"/>
          <w:szCs w:val="18"/>
          <w:color w:val="auto"/>
        </w:rPr>
        <w:t>common stock, you should consider carefully the risks and uncertainties described below, our consolidated financial statements and related notes, and all of the other information in this Quarterly Report on Form 10-Q. Additional risks and uncertainties that we are unaware of, or</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that we currently believe are not material, may also become important factors that affect our business. These risk factors could materially and adversely affect our business, financial condition and results of operations, and the market price of our ordinary shares could decline. These</w:t>
      </w:r>
    </w:p>
    <w:p>
      <w:pPr>
        <w:spacing w:after="0" w:line="219" w:lineRule="auto"/>
        <w:rPr>
          <w:sz w:val="20"/>
          <w:szCs w:val="20"/>
          <w:color w:val="auto"/>
        </w:rPr>
      </w:pPr>
      <w:r>
        <w:rPr>
          <w:rFonts w:ascii="Arial" w:cs="Arial" w:eastAsia="Arial" w:hAnsi="Arial"/>
          <w:sz w:val="18"/>
          <w:szCs w:val="18"/>
          <w:color w:val="auto"/>
        </w:rPr>
        <w:t>risk factors do not identify all risks that we face – our operations could also be affected by factors that are not presently known to us or that</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we currently consider to be immaterial to our operations. Due to risks and uncertainties, known and unknown, our past financial results may not be a reliable indicator of future performance and historical trends should not be used to anticipate results or trends in future periods.</w:t>
      </w:r>
    </w:p>
    <w:p>
      <w:pPr>
        <w:spacing w:after="0" w:line="110"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8"/>
          <w:szCs w:val="18"/>
          <w:color w:val="auto"/>
        </w:rPr>
        <w:t>We have marked with an asterisk (*) those risks described below that reflect substantive changes from, or additions to, the risks described in our Annual Report on Form 10-K for the year ended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efforts to acquire new users and engage existing users may not be successful or may be more costly than we expect, which could prevent us from maintaining or increasing our revenue.*</w:t>
      </w:r>
    </w:p>
    <w:p>
      <w:pPr>
        <w:spacing w:after="0" w:line="7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success depends on our ability to attract new users and engage existing users in a cost-effective manner. In order to acquire and engage users, we must, among other things, promote and sustain our platform and provide high-quality products, user experiences, and service. Our marketing efforts currently include various initiatives and consist primarily of digital marketing on a variety of social media channels, such as Facebook, search engine optimization on websites, such as Google, Bing, and Yahoo!, various branding strategies, such as our relationship with social influencers, and mobile “push” notifications, text messaging, and email. For the years ended December 31, 2021, 2020 and 2019, we spent $1.1 billion, $1.7 billion and $1.5 billion on sales and marketing, representing 53%, 67% and 77% of our revenue, respectively. We anticipate that sales and marketing expenses will continue to comprise a substantial majority of our overall operating costs for the foreseeable future. We have historically acquired a significant number of our users through digital advertising on platforms and websites owned by Facebook and Google, which may terminate their agreements with us anytime. Our investments in sales and marketing may not effectively reach potential users, potential users may decide not to buy through us, or user spend on our platform may not yield the intended return on investment, any of which could negatively affect our financial results.</w:t>
      </w:r>
    </w:p>
    <w:p>
      <w:pPr>
        <w:spacing w:after="0" w:line="13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addition, during the first half of 2022 we continued to face headwinds from the rise in digital advertising costs which has among other things impacted new customer acquisition and conversion. In response to rising digital advertising costs, which contributed to lower marketing efficiency, starting in the third quarter of 2021, we decided to significantly reduce our digital advertising expenditures as we focused our resources on other strategic initiatives. As discussed under “Management’s Discussion and Analysis of Financial Condition and Results of Operations—Key Financial and Performance Metrics,” our monthly active users and last twelve months Active Buyers were negatively impacted by our decision to significantly reduce our digital advertising expenditures. Starting in the third quarter of 2021, in response to these headwinds, we commenced a number of initiatives that we believe will improve the user experience and increase retention, including (i) enhancing our product quality and selection, (ii) providing an unmatched fun and entertaining shopping experience, and (iii) improving the performance of the app. Beginning late June of 2022, we began to ramp up digital advertising spend and initiated a number of programs which we believe could enhance the consumer experience, encourage customer acquisition, increase consumer retention, and position the Company for long-term sustainable growth. We believe our continued strategy to increase users’ experience in our marketplace and provide a more differentiated and engaging user experience will position us for long-term sustainable growth, but there can be no assurance that our initiatives will be successful.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9" w:name="page40"/>
    <w:bookmarkEnd w:id="39"/>
    <w:p>
      <w:pPr>
        <w:ind w:firstLine="644"/>
        <w:spacing w:after="0" w:line="292" w:lineRule="auto"/>
        <w:rPr>
          <w:sz w:val="20"/>
          <w:szCs w:val="20"/>
          <w:color w:val="auto"/>
        </w:rPr>
      </w:pPr>
      <w:r>
        <w:rPr>
          <w:rFonts w:ascii="Arial" w:cs="Arial" w:eastAsia="Arial" w:hAnsi="Arial"/>
          <w:sz w:val="18"/>
          <w:szCs w:val="18"/>
          <w:color w:val="auto"/>
        </w:rPr>
        <w:t>Many other factors, some of which are beyond our control, may reduce our ability to acquire, maintain and further engage with users, including those described in this “Risk Factors” section and the following:</w:t>
      </w:r>
    </w:p>
    <w:p>
      <w:pPr>
        <w:spacing w:after="0" w:line="23" w:lineRule="exact"/>
        <w:rPr>
          <w:sz w:val="20"/>
          <w:szCs w:val="20"/>
          <w:color w:val="auto"/>
        </w:rPr>
      </w:pPr>
    </w:p>
    <w:p>
      <w:pPr>
        <w:ind w:left="1020" w:right="20" w:hanging="503"/>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system updates to app stores and advertising platforms such as Facebook and Google, including adjustments to algorithms that may decrease user engagement or negatively affect our ability to target a broad audience;</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ongoing changes in advertising platforms’ pricing, which could continue to result in higher advertising costs;</w:t>
      </w:r>
    </w:p>
    <w:p>
      <w:pPr>
        <w:spacing w:after="0" w:line="102"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digital advertising platforms’ policies, such as those of Facebook and Google, that may delay or prevent us from advertising through these channels, which could result in reduced traffic to and sales on our platform;</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search algorithms by search engines;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of our email marketing messages to reach the intended recipients’ inbox;</w:t>
      </w:r>
    </w:p>
    <w:p>
      <w:pPr>
        <w:spacing w:after="0" w:line="102"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ineffectiveness of our marketing efforts and other spend to continue to acquire new users and maintain and increase engagement with existing users;</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decline in popularity of, or governmental restrictions on, social media platforms where we advertise;</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of new search engines or social media sites that reduce traffic on existing search engines and social media sites;</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consumer behavior changes as a result of COVID-19; and</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products listed by merchants on our platform that are the subject of adverse media reports, regulatory investigations, or other negative publicity.</w:t>
      </w:r>
    </w:p>
    <w:p>
      <w:pPr>
        <w:spacing w:after="0" w:line="105"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8"/>
          <w:szCs w:val="18"/>
          <w:color w:val="auto"/>
        </w:rPr>
        <w:t>As a result of any of these factors or any additional factors that are outside of our control, if we are unable to continue acquiring new users or increasing engagement with existing users, it could have a material adverse effect on our business, financial condition, results of operations, and prospects.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are unable to promote, maintain, and protect our brand and reputation, and offer a compelling user experience, our ability to attract new users and engage with our existing base of users will be impaired.</w:t>
      </w:r>
    </w:p>
    <w:p>
      <w:pPr>
        <w:spacing w:after="0" w:line="75"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believe that maintaining our brand and reputation will be critical to attracting new users and encouraging users to transact on our platform. In addition to targeted online marketing, we spend a considerable amount of resources on promoting our brand and reputation. For example, starting in 2020, we began to invest in additional off-line marketing activities. Our brand promotion activities, including our proposed rebranding of Wish, may not be successful or cost effective, and to the extent that these activities yield increased revenue, the increased revenue may not offset the expenses we incur. If we do not successfully drive brand awareness, we may fail to attract new users or increase engagement with existing users and our business may not grow or may decline, all of which could harm our business, financial condition, results of operations, and prospects.</w:t>
      </w:r>
    </w:p>
    <w:p>
      <w:pPr>
        <w:spacing w:after="0" w:line="12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ability to provide a high-quality user experience is also highly dependent on external factors over which we may have little or no control, including, without limitation, the reliability and performance of our merchants and third-party carriers. If our users are dissatisfied with the quality of the products sold on our platform, the customer service they receive or their overall user experience, or if our merchants or third-party carriers cannot deliver products to our users in a timely manner or at all, our users may stop purchasing products on our platform. Our users may also become dissatisfied with their user experience if they are unable to receive timely customer service, and because we rely in large part on an automated customer service system, it is possible our users could become dissatisfied with our customer service. We also rely on merchants for information, including product characteristics, descriptions, images, and availability that may be inaccurate or misleading. Our failure to provide our users with high-quality products and high-quality user experiences for any reason could substantially harm our reputation and adversely impact our efforts to develop Wish as a trusted brand, which could have a material adverse effect on our business, financial condition, results of operations, and prospects.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0" w:name="page41"/>
    <w:bookmarkEnd w:id="40"/>
    <w:p>
      <w:pPr>
        <w:jc w:val="both"/>
        <w:ind w:firstLine="644"/>
        <w:spacing w:after="0" w:line="247" w:lineRule="auto"/>
        <w:rPr>
          <w:sz w:val="20"/>
          <w:szCs w:val="20"/>
          <w:color w:val="auto"/>
        </w:rPr>
      </w:pPr>
      <w:r>
        <w:rPr>
          <w:rFonts w:ascii="Arial" w:cs="Arial" w:eastAsia="Arial" w:hAnsi="Arial"/>
          <w:sz w:val="18"/>
          <w:szCs w:val="18"/>
          <w:color w:val="auto"/>
        </w:rPr>
        <w:t>In addition, we may be subject to unfavorable publicity that would create a public perception that non-authentic, counterfeit, dangerous, illegal, or defective goods are sold on our platform, or that our policies and practices are insufficient to deter or respond to such conduct. Even if these claims are factually incorrect or based on isolated incidents, it could damage our reputation, diminish the value of our brand, draw governmental or regulatory scrutiny or action, undermine our trust and credibility, or have a negative impact on our ability to attract new users, or discourage our existing users from continuing to transact on our platform. We may also be subject to negative media regarding our privacy or cyber security practices, terms of service, product quality, litigation or regulatory activity, the sale of illicit or dangerous goods, other unauthorized actions by merchants on our platform, or the actions of other companies that provide similar services to ours, which may adversely affect our reputation, business, and financial results.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The transition to a new Chief Executive Officer (“CEO”) will be critical to our success and our business may be adversely impacted if we do not successfully manage the transition process in a timely manner.*</w:t>
      </w:r>
    </w:p>
    <w:p>
      <w:pPr>
        <w:spacing w:after="0" w:line="7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success depends, in part, on the effectiveness of Vijay Talwar, our recently appointed CEO who will be critical to setting and achieving our vision, strategic direction, culture, products, and technology. The CEO transition, and any related speculation and uncertainty regarding our future business strategy and direction may be disruptive to the Company and our relationships with customers and employees. If we are unable to execute an orderly transition and successfully integrate Mr. Talwar into our leadership team, revenue, operating results, and financial conditions may be adversely affected.</w:t>
      </w:r>
    </w:p>
    <w:p>
      <w:pPr>
        <w:spacing w:after="0" w:line="111"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Additionally, Piotr Szulczewski, our founder and former CEO, has resigned from the Board, and the departure of Mr. Szulczewski as our CEO and as a member of the Board will result in a loss of institutional knowledge. This loss of knowledge and experience can be mitigated through successful hiring and transition, but there can be no assurance that we will be successful in such efforts. The ability of Mr. Talwar to quickly expand his knowledge of our business, operations, and strategic plans will be critical to the Board and our management’s ability to make informed decisions about our strategic direction and operations.</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lose the services of members of our senior management team or key employees, we may not be able to execute our business strategy.</w:t>
      </w:r>
    </w:p>
    <w:p>
      <w:pPr>
        <w:spacing w:after="0" w:line="7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Competition for talent in our industry and the technology industry has become increasingly intense as the current labor market to build, retain, and replace highly skilled personnel has become highly competitive. We rely on the continued service of our senior management team, key employees, and other highly skilled personnel. The failure to properly manage succession plans, develop leadership talent, and/or replace the loss of services of senior management or other key employees, could significantly delay or prevent the achievement of our objectives. From time to time, there may be changes in our senior management team resulting from the hiring or departure of executives, which could disrupt our business. We do not have long-term employment agreements with any of our key personnel, and do not maintain any “key person” life insurance policies. The loss of the services of one or more of our senior management or other key employees for any reason could adversely affect our business, financial condition, and results of operations, and require significant amounts of time, training and resources to find suitable replacements and integrate them within our business and could affect our corporate culture. Further, in connection with the announcement of our restructuring plan, we may find it even more difficult to recruit and retain highly skilled personnel, which could harm our business. See the section titled “Management’s Discussion and Analysis of Financial Condition and Results of Operations— February 2022 Restructuring Plan” and Notes to Consolidated Financial Statements, Note 12. Restructuring Costs, for further discussion of our restructuring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b w:val="1"/>
          <w:bCs w:val="1"/>
          <w:i w:val="1"/>
          <w:iCs w:val="1"/>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90" w:lineRule="exact"/>
        <w:rPr>
          <w:sz w:val="20"/>
          <w:szCs w:val="20"/>
          <w:color w:val="auto"/>
        </w:rPr>
      </w:pPr>
    </w:p>
    <w:p>
      <w:pPr>
        <w:jc w:val="both"/>
        <w:ind w:right="20" w:firstLine="644"/>
        <w:spacing w:after="0" w:line="292" w:lineRule="auto"/>
        <w:rPr>
          <w:sz w:val="20"/>
          <w:szCs w:val="20"/>
          <w:color w:val="auto"/>
        </w:rPr>
      </w:pPr>
      <w:r>
        <w:rPr>
          <w:rFonts w:ascii="Arial" w:cs="Arial" w:eastAsia="Arial" w:hAnsi="Arial"/>
          <w:sz w:val="18"/>
          <w:szCs w:val="18"/>
          <w:color w:val="auto"/>
        </w:rPr>
        <w:t>A significant portion of our users download our mobile app through the Apple App Store and the Google Play Store, and over 90% of our user activity and purchases coccur on our mobile app.</w:t>
      </w:r>
    </w:p>
    <w:p>
      <w:pPr>
        <w:spacing w:after="0" w:line="77"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are subject to the policies and terms of service of these third-party platforms, which govern the promotion, distribution, content, and operation of our app on the platform. Each platform provider has broad discretion to change and interpret its terms of service and other policies with respect to us and other developers, and those changes may be unfavorable to us. A platform provider may also add fees associated with access to and use of its platform, alter how we are able to advertise on the platform, prevent our app from being offered on their platform, change how the personal information of its users is made available to application developers on the platform, or limit the use of personal information for advertising purposes.</w:t>
      </w:r>
    </w:p>
    <w:p>
      <w:pPr>
        <w:spacing w:after="0" w:line="13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may also object to content created by merchants on our platform, such as drug paraphernalia or adult content, and our perceived distribution or advertisement of such content may cause a platform provider to view us in a negative light or take other adverse actions against us. For example, platform providers have warned application developers on their platform, including Wish, that providing content related to drug paraphernalia or adult content could cause such platform providers to remove the apps from their platforms. While we believe that we have complied with platform providers’ requirements, they may introduce additional requirements in the future. If a platform provider establishes more favorable relationships with one or more of our competitors or such platform provider determines that we are a competitor, our access to a platform may be limited or discontinued entirely. Any limit or discontinuation of our access to any platform could adversely affect our business, financial condition, and results of operations.</w:t>
      </w:r>
    </w:p>
    <w:p>
      <w:pPr>
        <w:spacing w:after="0" w:line="123"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In the past, some of these platforms have been unavailable for short periods of time. This and other changes, bugs, or technical system issues could degrade the user experience on our platform. There may also be changes to mobile hardware or software technology that make it more difficult for our users to access and use our platform on their mobile devices, which could adversely affect our user growth and user engagement. If any of these events recurs on a prolonged, or even short-term basis, or other similar issues arise that impact users’ ability to access our app or use mobile devices, our business, financial condition, results of operations, or reputation may be harmed.</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unable to offer features and attract merchants to list products that keep pace with changing consumer preferences, our business, financial condition, and results of operations may be materially and adversely affected.</w:t>
      </w:r>
    </w:p>
    <w:p>
      <w:pPr>
        <w:spacing w:after="0" w:line="61"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Constantly changing consumer preferences have affected and will continue to affect the ecommerce industry. We must stay ahead of emerging consumer preferences and anticipate product trends that will appeal to existing and potential users. Our users choose to purchase products due in part to the attractive prices that we offer, and they may choose to shop elsewhere if we cannot match the prices offered by other websites and platforms or by brick-and-mortar stores. If our users do not find our platform entertaining and are not shown desired products on our platform at attractive prices, they may lose interest in us, which in turn may materially and adversely affect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rely on our merchants to provide a positive experience to our users.</w:t>
      </w:r>
    </w:p>
    <w:p>
      <w:pPr>
        <w:spacing w:after="0" w:line="171"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Negative publicity or sentiment as a result of complaints about merchants selling on our platform could reduce our ability to attract users, discourage users from making additional purchases on our platform, or otherwise damage our reputation. A perception that our levels of responsiveness and support for our users are inadequate could have similar results. In some situations, we may choose to reimburse users for their purchases to help avoid harm to our reputation, but we may not be able to recover the funds we expend for those reimbursements.</w:t>
      </w:r>
    </w:p>
    <w:p>
      <w:pPr>
        <w:spacing w:after="0" w:line="114"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Disruptions in the operations of a substantial number of merchants on our platform, to the extent they are caused by events that are beyond their control, such as interruptions in order or payment processing, transportation disruptions, natural disasters, pandemics, inclement weather, geo-political conflicts, including the current conflict between Russia and Ukraine arising from the invasion of Ukraine by Russia, terrorism, public health crises, or political unrest, could result in negative experiences for a substantial number of our users, which could harm our reputation and adversely affect our business. For example, during the initial outbreak of COVID-19, our merchants based in China experienced supply interruptions and delivery delays. If there are subsequent or further increases in the number of COVID-19 outbreaks in China or elsewhere, merchants on our platform may experience additional disruptions to their supply and restrictions on their ability to deliver products to our users in a timely manner, which could harm our business.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brand, reputation, and business may be harmed if merchants on our platform use unethical or illegal business practices, including the sale of hazardous, counterfeit, fraudulent, or illegal products, or if our policies and practices with respect to such sales are perceived or found to be inadequate, and we may be impacted by the unlawful activities of merchants on our platform.</w:t>
      </w:r>
    </w:p>
    <w:p>
      <w:pPr>
        <w:spacing w:after="0" w:line="11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It is important that both merchants and users have confidence in the transactions they are completing on our platform. Merchants on our platform have in the past, and may in the future, engage in illegal or unethical business practices. Allegations or findings of such illegal or unethical business practices by merchants on our platform could harm our brand, reputation, and business. Our policies promote legal and ethical business practices, such as prohibiting false or misleading seller or product information, the listing or sale of counterfeit or otherwise infringing goods, and the listing or sale of hazardous, fraudulent, or illegal products. For example, our merchant terms explicitly prohibit any illegal activity by merchants and require compliance with our policies. We maintain a suite of policies that educate merchants regarding items and practices that are explicitly prohibited from the platform, as well as the penalties for violations of our policies. We enforce these policies through the use of human and machine reviews as well as penalties for merchants if a violation of the policies is discovered. However, we do not control merchants or their business practices and cannot ensure their compliance with our policies.</w:t>
      </w:r>
    </w:p>
    <w:p>
      <w:pPr>
        <w:spacing w:after="0" w:line="125" w:lineRule="exact"/>
        <w:rPr>
          <w:sz w:val="20"/>
          <w:szCs w:val="20"/>
          <w:color w:val="auto"/>
        </w:rPr>
      </w:pPr>
    </w:p>
    <w:p>
      <w:pPr>
        <w:jc w:val="both"/>
        <w:ind w:firstLine="644"/>
        <w:spacing w:after="0" w:line="292" w:lineRule="auto"/>
        <w:rPr>
          <w:sz w:val="20"/>
          <w:szCs w:val="20"/>
          <w:color w:val="auto"/>
        </w:rPr>
      </w:pPr>
      <w:r>
        <w:rPr>
          <w:rFonts w:ascii="Arial" w:cs="Arial" w:eastAsia="Arial" w:hAnsi="Arial"/>
          <w:sz w:val="18"/>
          <w:szCs w:val="18"/>
          <w:color w:val="auto"/>
        </w:rPr>
        <w:t>If merchants on our platform engage in illegal or unethical business practices or are perceived to do so, we may receive negative publicity and our brand and reputation may be harmed.</w:t>
      </w:r>
    </w:p>
    <w:p>
      <w:pPr>
        <w:spacing w:after="0" w:line="77"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Additionally, while we do not control merchants and cannot ensure their compliance with applicable law, we nevertheless frequently receive and respond to inquiries and demands from regulators and law-enforcement agencies around the globe, and we expect to continue to receive more inquiries and demands in the future. If our policies are violated by merchants, or if our policies and practices or responses to such conduct are perceived as or found to be inadequate by regulators or law-enforcement agencies, it could subject us to government inquiries, investigations, or enforcement actions, as well as potential civil or criminal liabilities, or requiring changes to our policies and practices with respect to illegal or unethical business practices that could lower our revenue, increase our costs, make our platform less user-friendly, or otherwise adversely impact our business. This has been the case in France, where regulators are trying to hold Wish accountable and responsible for the purportedly illegal or hazardous listings created by merchants; we are currently responding to and challenging these claims in French courts. Separately, during the initial outbreak of COVID-19, a small number of merchants created listings of personal protective equipment and other health-related products that regulators deemed to violate consumer protections related to pricing and advertising. Though these listings were posted by merchants in violation of our policies, Wish has received and may continue to receive inquiries and demands from regulators regarding these listings.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3" w:name="page44"/>
    <w:bookmarkEnd w:id="43"/>
    <w:p>
      <w:pPr>
        <w:jc w:val="both"/>
        <w:ind w:firstLine="644"/>
        <w:spacing w:after="0" w:line="249" w:lineRule="auto"/>
        <w:rPr>
          <w:sz w:val="20"/>
          <w:szCs w:val="20"/>
          <w:color w:val="auto"/>
        </w:rPr>
      </w:pPr>
      <w:r>
        <w:rPr>
          <w:rFonts w:ascii="Arial" w:cs="Arial" w:eastAsia="Arial" w:hAnsi="Arial"/>
          <w:sz w:val="18"/>
          <w:szCs w:val="18"/>
          <w:color w:val="auto"/>
        </w:rPr>
        <w:t>Our merchants are subject to regulation by the U.S. Consumer Product Safety Commission and similar state and international regulatory authorities in the United States and abroad, and their products sold on our platform could be subject to involuntary recalls, takedown notices, and other actions by these authorities. Concerns about product safety, including concerns about the safety of products manufactured in developing countries, could lead to recalls of selected products sold on our platform. Recall and government or user concerns about product safety could harm our reputation and reduce sales, either of which could have a material adverse effect on our business, results of operations, financial condition, and prospects.</w:t>
      </w:r>
    </w:p>
    <w:p>
      <w:pPr>
        <w:spacing w:after="0" w:line="116"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Proposed laws in Europe, the United States, and other jurisdictions and/or novel interpretations or enforcement of existing law may change the scope of platform liability, and ongoing case law developments may unpredictably increase our liability as a platform for merchant activity or for activities adjacent to the marketplace, such as logistics, or otherwise constrain or impede our ability to do business in a given jurisdiction. In that event, we may be held directly or secondarily liable for the intellectual property infringement, product compliance deficiencies, consumer protection deficiencies, privacy and data protection incidents, or regulatory issues of our merchants, including potentially for their conduct over which we have no control or influence. Moreover, we may be subject to product liability claims where merchants lack sufficient assets or are not reachable, which could be costly to defend in the aggregate. Regardless of the validity of any claims made against us, we may incur significant costs and efforts to defend against or settle them. We expect to continue to receive inquiries or demands from regulators and law enforcement regarding intellectual property, product compliance, and product safety. This could lead to government investigations, inquiries, and/or the imposition of penalties, fines and/or criminal liability in certain jurisdictions and, consequently, would be costly, time consuming, and would adversely impact our business.</w:t>
      </w:r>
    </w:p>
    <w:p>
      <w:pPr>
        <w:spacing w:after="0" w:line="13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Merchants on our platform have in the past, and may in the future, engage in fictitious transactions or collaborate with third parties in order to artificially inflate their sales records and search results rankings. Such activity may frustrate other merchants by enabling the perpetrating merchants to be favored over legitimate merchants, may harm users by misleading them to believe that a merchant is more reliable or trustworthy than the merchant actually is, and may impact key performance metrics. Although we have implemented policies and practices to detect and penalize merchants who engage in fraudulent activities on our platform, there can be no assurance that such policies and practices will be effective in preventing fraudulent transactions. Any of these activities may adversely affect our brand, reputation, and business. If a governmental authority determines that we have aided and abetted the infringement or sale of counterfeit goods or if legal changes result in us potentially being liable for actions by merchants on our platform, we could face regulatory, civil, or criminal penalties. Successful claims by third-party rights owners could require us to pay substantial damages or refrain from permitting any further listing of the relevant items. These types of claims could force us to modify our business practices, which could lower our revenue, increase our costs, or make our platform less user friendly. Moreover, public perception that counterfeit or other unauthorized items are common in our platform, even if factually incorrect, could result in negative publicity and damage to our reputation and brand.</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merchants rely on third-party carriers and transportation providers as part of the fulfillment process, and these third parties may fail to adequately serve our users and comply with shipping and related regulations, which could adversely affect our service offerings and results of operations.</w:t>
      </w:r>
    </w:p>
    <w:p>
      <w:pPr>
        <w:spacing w:after="0" w:line="90"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 xml:space="preserve">We rely on merchants to properly and promptly prepare products ordered by our users for shipment and our logistics program relies on third-party carriers and logistics providers to deliver products as well as third parties to consolidate packages for shipping. Any failure by merchants to timely prepare such products for shipment or any delay by third-party carriers to deliver the products will have an adverse effect on the fulfillment of user orders, which could negatively affect the user experience and harm our business and results of operations. Any increase in shipping costs, any significant shipping difficulties, disruptions or delays, or any failure by merchants on our platform to deliver products in a timely manner or to otherwise adequately serve our users, could damage our reputation and brand, and may harm our business. For example, due to abrupt new VAT regulations in Colombia (and related evolving interpretations of the same by local regulatory enforcement agencies),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in the first quarter of 2018, PostNord, the postal service in Sweden, suspended delivery of packages coming from outside the European Union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 Our merchants based in China also experienced supply interruptions and delivery delays during the initial outbreak of COVID-19 and have continued to experience such interruptions and delays, which may continue to have an adverse effect on our users’ experience on our platform.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4" w:name="page45"/>
    <w:bookmarkEnd w:id="44"/>
    <w:p>
      <w:pPr>
        <w:jc w:val="both"/>
        <w:ind w:firstLine="644"/>
        <w:spacing w:after="0" w:line="245" w:lineRule="auto"/>
        <w:rPr>
          <w:sz w:val="20"/>
          <w:szCs w:val="20"/>
          <w:color w:val="auto"/>
        </w:rPr>
      </w:pPr>
      <w:r>
        <w:rPr>
          <w:rFonts w:ascii="Arial" w:cs="Arial" w:eastAsia="Arial" w:hAnsi="Arial"/>
          <w:sz w:val="18"/>
          <w:szCs w:val="18"/>
          <w:color w:val="auto"/>
        </w:rPr>
        <w:t>Historically, our merchants in China have benefitted from lower shipping costs due to the Universal Postal Union Treaty (“UPU”). Certain expected changes to UPU postal rates that went into effect in July 2020 and other expected changes that will be implemented in the future are likely to increase the shipping rates our merchants incur to ship products from China. For example, Congress is currently considering a bill that would bar packages from non-market economies (currently only China) from qualifying for tariff-free entry into the United States under the existing de minimis statute. If this bill is enacted into law, it would make importing goods from China to the United States more complicated and expensive, which could adversely affect our business. The actions we have taken in our logistics program to mitigate these increased costs may not be successful over the long term. If there are increases in shipping costs, including rising oil and gas prices, the sales price of products on our platform could increase, which could reduce the volume of transaction activity on our platform to decrease and may consequently have a negative impact on our results of operations.</w:t>
      </w:r>
    </w:p>
    <w:p>
      <w:pPr>
        <w:spacing w:after="0" w:line="12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We generate a portion of our revenue from merchant advertising on our platform. A reduction in advertising spend by merchants could harm our business.*</w:t>
      </w:r>
    </w:p>
    <w:p>
      <w:pPr>
        <w:spacing w:after="0" w:line="89"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have implemented new features on our platform, such as ProductBoost and the Merchant Promotions Platform, which allow merchants to promote their listings to our users. In addition to generating revenue from merchants, these features may also result in increased purchases by users. However, not all merchants on our platform may agree with us on the value of these new features and may not use ProductBoost or the Merchant Promotions Platform, and some of our merchants could react negatively to these new features. During the initial outbreak of COVID-19, merchant advertising declined due to the shutdown of business activity in China. If we are unable to monetize existing and new features for merchants, it could have a significant impact on our business, financial condition, and prospects.</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continued efforts to improve our logistics programs and enable faster and more reliable delivery in order to help grow our business and generate revenue may not be effective.</w:t>
      </w:r>
    </w:p>
    <w:p>
      <w:pPr>
        <w:spacing w:after="0" w:line="75"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have worked to improve our logistics programs and to streamline our processes in order to provide a more consistent and reliable experience for our users through programs such as Wish Express and Wish Local. However, we still rely on third-party carriers for delivery and we are still in the process of establishing reliable long-term agreements with such carriers both in the United States and worldwide. If we are not able to negotiate acceptable pricing, service level requirements, and other terms with these carriers, or these carriers experience capacity or performance problems or other issues, it could negatively impact our results of operations and our users’ experience. For example, due to COVID-19 and related supply chain issues, global logistics has experienced longer delivery times.</w:t>
      </w:r>
    </w:p>
    <w:p>
      <w:pPr>
        <w:spacing w:after="0" w:line="11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have also developed and experimented with different logistics offerings in order to monetize our logistics platform. This is a relatively new business initiative for us. If we are unable to consistently generate revenue from our logistics platform or offer logistics services that are appealing to merchants and users, or if changes in carrier policies and pricing, shortage of low-cost carriers, and fluctuation of oil and gas prices result in higher logistics costs, it could have a material impact on our business, financial condition, and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Building out our Wish Local program may be costly and time intensive and we may not receive the expected benefits.</w:t>
      </w:r>
    </w:p>
    <w:p>
      <w:pPr>
        <w:spacing w:after="0" w:line="17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In 2019, we introduced Wish Local, a program that develops partnerships with local brick-and-mortar stores that can serve as local pickup and delivery locations for users’ orders. In addition, we are in the process of expanding the Wish Local program to partner with collection point network providers in some countries to provide additional local pickup and dropoff locations for user’s orders. The process of reaching out to and entering into relationships with these retailers can be time intensive and costly because we must evaluate and approve each retailer individually prior to them becoming part of the Wish Local program. Therefore, growing Wish Local may be more expensive and time consuming than we have estimated. Also, users may not use the Wish Local program as much as we expect, which would delay or prevent any expected benefits. For example, users have curtailed their use of Wish Local due to health concerns regarding COVID-19, which has slowed the growth of this program.</w:t>
      </w:r>
    </w:p>
    <w:p>
      <w:pPr>
        <w:spacing w:after="0" w:line="119"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terms of service require Wish Local retailers to meet certain service level requirements with respect to holding and delivering Wish orders to users. If these retailers do not comply with these service level requirements, our reputation may be harmed. Additionally, we may need to implement monitoring systems to confirm that the Wish Local retailers are complying with service level requirements and to prevent fraudulent activities by these retailers. Implementing these systems may prove to be costly and time intensive.</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market in which we operate is rapidly evolving and we face intense competition; if we do not compete effectively, our results of operations and financial condition could be harmed.</w:t>
      </w:r>
    </w:p>
    <w:p>
      <w:pPr>
        <w:spacing w:after="0" w:line="61"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Our market is highly competitive and characterized by rapid changes in technology and consumer sentiment. Competition in our industry has intensified, and we expect this trend to continue as the list of our competitors grows. This competition, among other things, affects our ability to attract new users and engage our existing users.</w:t>
      </w:r>
    </w:p>
    <w:p>
      <w:pPr>
        <w:spacing w:after="0" w:line="103" w:lineRule="exact"/>
        <w:rPr>
          <w:sz w:val="20"/>
          <w:szCs w:val="20"/>
          <w:color w:val="auto"/>
        </w:rPr>
      </w:pPr>
    </w:p>
    <w:p>
      <w:pPr>
        <w:jc w:val="both"/>
        <w:ind w:firstLine="644"/>
        <w:spacing w:after="0" w:line="276" w:lineRule="auto"/>
        <w:rPr>
          <w:sz w:val="20"/>
          <w:szCs w:val="20"/>
          <w:color w:val="auto"/>
        </w:rPr>
      </w:pPr>
      <w:r>
        <w:rPr>
          <w:rFonts w:ascii="Arial" w:cs="Arial" w:eastAsia="Arial" w:hAnsi="Arial"/>
          <w:sz w:val="18"/>
          <w:szCs w:val="18"/>
          <w:color w:val="auto"/>
        </w:rPr>
        <w:t>We compete with ecommerce platforms and other retailers for merchants on our platform and merchants can list their goods on a number of ecommerce platforms, such as Amazon.com, Alibaba, Shein, and Shopify.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various factors that affect how merchants engage with our platform, including:</w:t>
      </w:r>
    </w:p>
    <w:p>
      <w:pPr>
        <w:spacing w:after="0" w:line="10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engagement of users on our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fees;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brand awareness;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quality of our services;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functionality of our platform.</w:t>
      </w:r>
    </w:p>
    <w:p>
      <w:pPr>
        <w:spacing w:after="0" w:line="170"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also compete with retailers for the attention of users. A user has the choice of shopping with any online or offline retailer, whether large marketplaces, such as Amazon.com, Alibaba, Shein, and Shopify, as well as more traditional discount retailers, such as Walmart and Target, and discount retailers that offer heavily discounted and off-season merchandise, such as Dollar General and TJ Maxx, or local stores or other venues or marketplaces. Many of these competitors offer low-cost or free shipping, fast shipping times, favorable return policies, and other features that may be difficult or impossible for our merchants to match.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There are various factors that affect how users engage with our platform, including: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brand awareness and recognition;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of goods sold on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functionality of our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ease of payment;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shipping terms;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breadth of the products sold on our platform.</w:t>
      </w:r>
    </w:p>
    <w:p>
      <w:pPr>
        <w:spacing w:after="0" w:line="157"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Some of our competitors have, and potential competitors may have, longer operating histories, greater financial, technical, marketing, institutional and other resources, faster shipping times, lower-cost shipping, larger databases, greater name and brand recognition, or a larger base of users or merchants than we do. For example, Google or Facebook could enter the ecommerce space and they have significantly more resources and users than we do. They may devote greater resources to the development, marketing, and promotion of their services than we do, and they may offer lower pricing or free shipping to the users on their platforms. These factors may allow our competitors to derive greater revenue and profits from their existing user and merchant bases, acquire users at lower costs or respond more quickly than we can to new or emerging technologies and changes in trends and consumer shopping behavior. If we are unable to compete successfully, or if competing successfully requires us to expend greater resources, our financial condition and results of operations could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at our current scale, which may make it difficult to evaluate our business and future prospects.</w:t>
      </w:r>
    </w:p>
    <w:p>
      <w:pPr>
        <w:spacing w:after="0" w:line="158"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began commercial operations in 2010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not achieve or maintain profitability in the future.</w:t>
      </w:r>
    </w:p>
    <w:p>
      <w:pPr>
        <w:spacing w:after="0" w:line="15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Since our inception in 2010, we have incurred net losses each year. We incurred net losses of $ 361 million, $745 million, and $129 million for the years ended December 31, 2021, 2020, and 2019, respectively, and incurred a net loss of $150 million for the six months ended June 30, 2022. As of June 30, 2022, we had an accumulated deficit of approximately $2.7 billion. We may not achieve or maintain profitability in the future. Our operating expenses may continue to increase in the future as we increase our efforts to expand our user base, continue to invest in the research and development of our technologies and service offerings and continue to operate as a public company. These efforts may be more costly than we expect and we may not be able to increase our revenue to offset our operating expenses. Our revenue growth slowed for the year ended December 31, 2021 and may slow again, or our revenue may decline for a number of other possible reasons, including increased competition, a decrease in the growth or reduction in size of our overall market, or if we fail for any reason to capitalize on growth opportunities.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7" w:name="page48"/>
    <w:bookmarkEnd w:id="47"/>
    <w:p>
      <w:pPr>
        <w:jc w:val="both"/>
        <w:spacing w:after="0" w:line="301" w:lineRule="auto"/>
        <w:rPr>
          <w:sz w:val="20"/>
          <w:szCs w:val="20"/>
          <w:color w:val="auto"/>
        </w:rPr>
      </w:pPr>
      <w:r>
        <w:rPr>
          <w:rFonts w:ascii="Arial" w:cs="Arial" w:eastAsia="Arial" w:hAnsi="Arial"/>
          <w:sz w:val="18"/>
          <w:szCs w:val="18"/>
          <w:b w:val="1"/>
          <w:bCs w:val="1"/>
          <w:i w:val="1"/>
          <w:iCs w:val="1"/>
          <w:color w:val="auto"/>
        </w:rPr>
        <w:t>Our company is evolving, and we are in the process of executing on new business strategies and restructuring efforts; if we fail to successfully execute on these strategies, our business, financial condition, and operating results could be harmed.*</w:t>
      </w:r>
    </w:p>
    <w:p>
      <w:pPr>
        <w:spacing w:after="0" w:line="61"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business is undergoing significant changes and our business strategy is constantly evolving. Our success depends on our ability to adapt our business model to changing market conditions and consumer spending habits. For example, in 2021, we made a number of strategic decisions in an effort to improve our business operations and our marketplace offerings in response to the headwinds of reduced retention and new buyer conversion and a rise in digital advertising costs. Nevertheless, certain elements of this shift in strategy, or any future changes to our strategy that we may make could be disruptive to our business and our employees if we do not manage the changes properly. Furthermore, continuing changes in macroeconomic trends, shifting consumer priorities, and the COVID-19 pandemic may hamper and delay our efforts by, for example, making our assumptions regarding our strategies incorrect or subject to change or causing our strategies to not have the effect and outcomes that we anticipate. The slowing of consumer discretionary spending due to macroeconomic factors could impede our turnaround efforts.</w:t>
      </w:r>
    </w:p>
    <w:p>
      <w:pPr>
        <w:spacing w:after="0" w:line="139"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We may not successfully execute or achieve the expected benefits of our restructuring and turnaround initiatives, which could adversely affect our business.</w:t>
      </w:r>
    </w:p>
    <w:p>
      <w:pPr>
        <w:spacing w:after="0" w:line="7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We recently announced a turnaround and restructuring strategy which focuses on narrowing our business focus, reducing our headcount and outside spend, reviewing our real estate footprint, and a number of other cost saving measures. These restructuring initiatives are intended to focus the business on operational efficiency and right-sizing our expenses for 2022 and beyond. Although we believe these initiatives address the needs of our business and its long-term objectives, our strategy is based on certain assumptions and forecasts, which are subject to risks and uncertainties, including whether we have accurately identified the issues, whether we targeted the appropriate cost saving measures, and whether our right-sizing efforts are executed at the appropriate scale and scope. Consequently, the implementation of these restructuring initiatives may not be successful in yielding the intended results. Moreover, implementation of these initiatives may be costly and disruptive to our business, with the intended impact falling short or resulting in an overcorrection. Our cost cutting initiatives may negatively affect employee morale, which could result in personnel losses beyond the planned workforce reduction, diminished productivity, loss of institutional knowledge, and difficulty attracting highly skilled employees. The intended results of our turnaround effort may also be impacted by negative publicity about the Company and/or our restructuring initiatives, resulting in reputational harm, diminished investor confidence, and consumer backlash. These new initiatives have and may continue to require a significant amount of executive management’s time and focus, which may divert attention from other areas of our business. See the section titled “Management’s Discussion and Analysis of Financial Condition and Results of Operations— February 2022 Restructuring Plan” and Notes to Consolidated Financial Statements, Note 12. Restructuring Costs, for further discussion of our restructuring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or subject us to fines or other penalties.</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We use social media, emails, and text messages as part of our omnichannel approach to marketing. As laws and regulations rapidly evolve to govern the use of these channels, the failure by us, our employees or third parties acting on our behalf or at our direction to abide by applicable laws and regulations in the use of these channels could adversely affect our reputation or subject us to fines, other penalties, or lawsuits. Although we continue to update our practices as these laws change over time, we may be subject to lawsuits alleging our failure to comply with such laws. In addition, our employees or third parties acting on our behalf or at our direction may knowingly or inadvertently use social media, including through advertisements, in ways that could lead to the loss or infringement of intellectual property, as well as the public disclosure of proprietary, confidential, or sensitive personal information of our business, employees, users, merchants, or others. Any such inappropriate use of social media, emails, and text messages could also cause reputational damage.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8" w:name="page49"/>
    <w:bookmarkEnd w:id="48"/>
    <w:p>
      <w:pPr>
        <w:jc w:val="both"/>
        <w:ind w:firstLine="644"/>
        <w:spacing w:after="0" w:line="263" w:lineRule="auto"/>
        <w:rPr>
          <w:sz w:val="20"/>
          <w:szCs w:val="20"/>
          <w:color w:val="auto"/>
        </w:rPr>
      </w:pPr>
      <w:r>
        <w:rPr>
          <w:rFonts w:ascii="Arial" w:cs="Arial" w:eastAsia="Arial" w:hAnsi="Arial"/>
          <w:sz w:val="18"/>
          <w:szCs w:val="18"/>
          <w:color w:val="auto"/>
        </w:rPr>
        <w:t>Moreover, changes in advertising and tracking policies of mobile device operating systems and platforms (e.g., Apple and Android) may limit or prevent the collection and use of certain data elements for certain purposes, such as ad targeting, and the use of such data elements may subject us to fines or other penalties.</w:t>
      </w:r>
    </w:p>
    <w:p>
      <w:pPr>
        <w:spacing w:after="0" w:line="10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users may engage with us online through social media platforms, including Facebook, Instagram, and Twitter, by providing feedback and public commentary about all aspects of our business. Information concerning us or our merchants,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58"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users can pay for purchases using a variety of methods, including through credit cards or Buy Now, Pay Later solutions through various third-party payment providers, and we pay our merchants through a variety of methods. If these service providers do not perform adequately or if our relationships with these service providers were to terminate, our users’ ability to place orders, and our merchants’ ability to receive orders or payment could be adversely affected and our business could be harmed. For example, in 2014, PayPal temporarily suspended processing payments on our platform as a result of concerns related to products listed on our platform. If a third-party payment provider suspends service or has significant outages in the future and we do not have alternative payment providers in place or are unable to provide our own solution, our business could be harmed. Likewise, if our third-party payment providers experience a security breach or fraud attack, our merchants and users could be adversely impacted. In addition, if our third-party providers increase the fees they charge us, our operating expenses could increase. If we respond by increasing the fees we charge to our merchants, some merchants may increase the price of their products, stop listing new items for sale or even close their accounts altogether.</w:t>
      </w:r>
    </w:p>
    <w:p>
      <w:pPr>
        <w:spacing w:after="0" w:line="123"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laws and regulations related to payments are complex, evolving, subject to change and vary across different jurisdictions in the United States and globally. Any failure or claim of our failure to comply, or any failure by our third-party payment processors to comply, could cost us substantial resources and could result in liabilities. Further, through our agreements with our third-party payment processors, we are indirectly subject to payment card association operating rules, and certification requirements, including the Payment Card Industry Data Security Standard and Visa Network Rules, which are subject to change. Failure to comply with these rules and certification requirements could impact our ability to meet our contractual obligations with our third-party payment processors and could result in potential fines. We are also subject to rules governing electronic funds transfers. Any change in these rules and requirements could make it difficult or impossible for us to comply. In addition, similar to a potential increase in costs from third-party providers described above, any increased costs associated with compliance with payment card association rules could lead to increased fees for our merchants, which may negatively impact our marketplaces.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r>
        <w:rPr>
          <w:rFonts w:ascii="Arial" w:cs="Arial" w:eastAsia="Arial" w:hAnsi="Arial"/>
          <w:sz w:val="18"/>
          <w:szCs w:val="18"/>
          <w:b w:val="1"/>
          <w:bCs w:val="1"/>
          <w:color w:val="auto"/>
        </w:rPr>
        <w:t>.</w:t>
      </w:r>
    </w:p>
    <w:p>
      <w:pPr>
        <w:spacing w:after="0" w:line="9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We calculate and track performance metrics with internal tools, which are not independently verified by any third-party. While we believe our metrics are reasonable estimates of our user or merchant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merchants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merchant base, or traffic levels; if we discover material inaccuracies in our metrics; or if the metrics we rely on to track our performance do not provide an accurate measurement of our business, user or merchant base or traffic levels, we may not be able to effectively implement our business strategy, our reputation may be harmed, and our operating and financial results could be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9" w:name="page50"/>
    <w:bookmarkEnd w:id="49"/>
    <w:p>
      <w:pPr>
        <w:jc w:val="both"/>
        <w:ind w:firstLine="644"/>
        <w:spacing w:after="0" w:line="253" w:lineRule="auto"/>
        <w:rPr>
          <w:sz w:val="20"/>
          <w:szCs w:val="20"/>
          <w:color w:val="auto"/>
        </w:rPr>
      </w:pPr>
      <w:r>
        <w:rPr>
          <w:rFonts w:ascii="Arial" w:cs="Arial" w:eastAsia="Arial" w:hAnsi="Arial"/>
          <w:sz w:val="18"/>
          <w:szCs w:val="18"/>
          <w:color w:val="auto"/>
        </w:rPr>
        <w:t>Our merchants, platform partners,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merchants may be less willing to sell on our platform, which could negatively affect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develop new offerings to respond to our users’ and merchants’ changing needs.</w:t>
      </w:r>
    </w:p>
    <w:p>
      <w:pPr>
        <w:spacing w:after="0" w:line="158" w:lineRule="exact"/>
        <w:rPr>
          <w:sz w:val="20"/>
          <w:szCs w:val="20"/>
          <w:color w:val="auto"/>
        </w:rPr>
      </w:pPr>
    </w:p>
    <w:p>
      <w:pPr>
        <w:jc w:val="both"/>
        <w:ind w:right="20" w:firstLine="644"/>
        <w:spacing w:after="0" w:line="276"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user and merchant demands.</w:t>
      </w:r>
    </w:p>
    <w:p>
      <w:pPr>
        <w:spacing w:after="0" w:line="104"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Our users and merchants may not be satisfied with our new platform offerings or perceive that the new offerings do not respond to their needs. Developing new offerings is complex, and the timetable for commercial release is difficult to predict and may vary from our historical experience. As a result, the introduction of new offerings may occur after anticipated or announced release dates. In addition, new offerings could require us to comply with additional governmental regulations. Our new offerings also may bring us more directly into competition with companies that are better established or have greater resources than we do.</w:t>
      </w:r>
    </w:p>
    <w:p>
      <w:pPr>
        <w:spacing w:after="0" w:line="114"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If we do not continue to cost-effectively develop new offerings that satisfy our users or merchants, then our competitive position and growth prospects may be harmed. In addition, new offerings may have lower margins than existing offerings and our revenue may not grow enough as a result of the new offerings to offset the cost of developing them.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expand, and diversify our relationships with merchants, our revenue and results of operations will be harmed.</w:t>
      </w:r>
    </w:p>
    <w:p>
      <w:pPr>
        <w:spacing w:after="0" w:line="15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We rely on our merchants to offer products that appeal to our existing and potential users at attractive prices. Our ability to provide popular products on our platform at attractive prices depends on our ability to develop mutually beneficial relationships with our merchants. For example, we rely on our merchants, most of whom are based in China, to make available sufficient inventory and fulfill large volumes of orders in an efficient and timely manner to ensure a positive user experience. Merchants can leave our platform at any time, so we may experience merchant attrition in the ordinary course of business resulting from several factors, such as losses to competitors, perception that marketing on our platform is ineffective, reduction in our or merchants’ marketing budgets, and the penalties we impose on merchants for failing to comply with our policies. We have had, and may continue to have, disputes with merchants with respect to their compliance with our delivery requirements, quality control policies and measures, and the penalties imposed by us for violation of these policies or measures, which may cause them to be dissatisfied with our platform or to legally challenge the enforceability of our terms. If we experience significant merchant attrition, or if we are unable to attract new and geographically-diverse merchants, our revenue and results of operations may be materially and adversely affected. For example, during the initial outbreak of COVID-19, many of our merchants based in China were adversely impacted, which had a negative impact on the supply of inventory on our marketplace and our merchants based in China continue to be adversely impacted. In addition, our agreements with merchants also typically do not restrict them from establishing or maintaining business relationships with our competitors. Furthermore, Congress is currently considering a bill that would bar packages from non-market economies (currently only China) from qualifying for tariff-free entry into the United States under the existing de minimis statute. If this bill is enacted into law, it would make importing goods from China to the United States more complicated and expensive, which could adversely affect our business.</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Failure to deal effectively with fraudulent activities on our platform would increase our loss rate and harm our business, and could severely diminish merchant and user confidence in and use of our services.</w:t>
      </w:r>
    </w:p>
    <w:p>
      <w:pPr>
        <w:spacing w:after="0" w:line="75" w:lineRule="exact"/>
        <w:rPr>
          <w:sz w:val="20"/>
          <w:szCs w:val="20"/>
          <w:color w:val="auto"/>
        </w:rPr>
      </w:pPr>
    </w:p>
    <w:p>
      <w:pPr>
        <w:jc w:val="both"/>
        <w:ind w:firstLine="644"/>
        <w:spacing w:after="0" w:line="260" w:lineRule="auto"/>
        <w:rPr>
          <w:sz w:val="20"/>
          <w:szCs w:val="20"/>
          <w:color w:val="auto"/>
        </w:rPr>
      </w:pPr>
      <w:r>
        <w:rPr>
          <w:rFonts w:ascii="Arial" w:cs="Arial" w:eastAsia="Arial" w:hAnsi="Arial"/>
          <w:sz w:val="17"/>
          <w:szCs w:val="17"/>
          <w:color w:val="auto"/>
        </w:rPr>
        <w:t>We have in the past incurred and may in the future incur losses from various types of fraud, including stolen credit card numbers, claims that a user did not authorize a purchase, merchant fraud, and users who have closed bank accounts or have insufficient funds in open bank accounts to satisfy payments. We face risks with respect to fraudulent activities on our platform and periodically receive complaints from users who may not have received the products that they had contracted to purchase. In some jurisdictions, users may also have the right to cancel a sale made by a merchant within a specified time period and for any reason. Although we have implemented measures to detect and reduce the occurrence of fraudulent activities, combat bad user experiences, and increase user satisfaction, including evaluating merchants on the basis of their transaction history and restricting or suspending their activity, there can be no assurance that these measures will be effective in combating fraudulent transactions or improving overall satisfaction among merchants, users, and other participants. Additional measures to address fraud could negatively affect the attractiveness of our services to users or merchants, resulting in a reduction in our ability to attract new users or continue to engage current users, damage to our reputation, or a diminution in the value of our brand.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0" w:name="page51"/>
    <w:bookmarkEnd w:id="50"/>
    <w:p>
      <w:pPr>
        <w:jc w:val="both"/>
        <w:ind w:firstLine="644"/>
        <w:spacing w:after="0" w:line="253" w:lineRule="auto"/>
        <w:rPr>
          <w:sz w:val="20"/>
          <w:szCs w:val="20"/>
          <w:color w:val="auto"/>
        </w:rPr>
      </w:pPr>
      <w:r>
        <w:rPr>
          <w:rFonts w:ascii="Arial" w:cs="Arial" w:eastAsia="Arial" w:hAnsi="Arial"/>
          <w:sz w:val="18"/>
          <w:szCs w:val="18"/>
          <w:color w:val="auto"/>
        </w:rPr>
        <w:t>Additionally, under current credit card practices, we are liable for fraudulent credit card transactions because we do not obtain a cardholder’s signature, which results in chargebacks made to our users that we are not able to collect from our merchants. We do not currently carry insurance against this risk. We face the risk of significant losses from this type of fraud as our net sales increase and as we continue to expand globally. Our failure to adequately control fraudulent credit card transactions could damage our reputation and brand and substantially harm our business, results of operations, financial condition, and prospects.</w:t>
      </w:r>
    </w:p>
    <w:p>
      <w:pPr>
        <w:spacing w:after="0" w:line="111"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We also accept payments for many of our sales through credit and debit card transactions, which are handled through third-party payment processors. As a result, we are subject to a number of risks related to credit and debit card payments, including that we pay interchange and other fees, which may increase over time and could require us to absorb or pass along an increase in our costs and expenses. In addition, as part of payment processing, our users’ credit and debit card information is transmitted to our third-party credit card payment processors. We may in the future become subject to lawsuits or other proceedings for purportedly fraudulent transactions arising out of the actual or alleged theft of our users’ credit or debit card information if the security of our third-party credit card payment processors is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users in addition to the consequences that could arise from such action or inaction violating applicable privacy, data protection, data security and other laws as outlined above, and there may be an adverse impact on our business, results of operations, financial condition, and prospects.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continue to adversely affect our business and results of operations.</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In March 2020, the World Health Organization declared COVID -19 to be a pandemic. In an effort to contain and mitigate the spread of COVID-19, many countries, including the United States, imposed and continue to impose unprecedented restrictions on travel and business operations, and there have been business closures and a substantial reduction in economic activity in countries that have had significant outbreaks of COVID-19.</w:t>
      </w:r>
    </w:p>
    <w:p>
      <w:pPr>
        <w:spacing w:after="0" w:line="113"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Our operations and performance depend significantly on global and regional economic conditions, and the outbreak of COVID-19 has had a significant negative effect on global and regional economies. Further, the ability of our merchants to offer products and make available sufficient inventory in an efficient manner may be adversely affected by the health impacts, travel restrictions, required social distancing, and other governmental mandates due to COVID-19, which could negatively impact our users’ experience and cause our revenue and reputation to decline. Additionally, due to the continuing economic impacts caused by COVID-19, consumer discretionary spending has been adversely affected, which may cause the demand for the products available on our platform to be reduced and our revenue to decline.</w:t>
      </w:r>
    </w:p>
    <w:p>
      <w:pPr>
        <w:spacing w:after="0" w:line="11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are conducting business with substantial restrictions, such as remote working and limited employee travel, among other modifications. While our business occurs over an online platform, which allows us to support our merchants and users virtually, we cannot be certain that our ability to service our merchants and users will not be adversely affected by COVID-19. We also continue to see disruption in the supply chain that is affecting delivery times.</w:t>
      </w:r>
    </w:p>
    <w:p>
      <w:pPr>
        <w:spacing w:after="0" w:line="113" w:lineRule="exact"/>
        <w:rPr>
          <w:sz w:val="20"/>
          <w:szCs w:val="20"/>
          <w:color w:val="auto"/>
        </w:rPr>
      </w:pPr>
    </w:p>
    <w:p>
      <w:pPr>
        <w:jc w:val="both"/>
        <w:ind w:right="20" w:firstLine="644"/>
        <w:spacing w:after="0" w:line="292" w:lineRule="auto"/>
        <w:rPr>
          <w:sz w:val="20"/>
          <w:szCs w:val="20"/>
          <w:color w:val="auto"/>
        </w:rPr>
      </w:pPr>
      <w:r>
        <w:rPr>
          <w:rFonts w:ascii="Arial" w:cs="Arial" w:eastAsia="Arial" w:hAnsi="Arial"/>
          <w:sz w:val="18"/>
          <w:szCs w:val="18"/>
          <w:color w:val="auto"/>
        </w:rPr>
        <w:t>At the beginning of the COVD-19 pandemic, we benefited from greater mobile usage and less competition from physical retail as a result of shelter-in-place mandates. We also benefited from increased user spending due to U.S. government stimulus programs.</w:t>
      </w:r>
    </w:p>
    <w:p>
      <w:pPr>
        <w:spacing w:after="0" w:line="77"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The extent to which the COVID-19 pandemic may continue to impact our business will depend on future developments, which are highly uncertain and cannot be predicted with confidence, including the duration of the pandemic, travel restrictions, changes to consumer ecommerce activity in response to evolving governmental mandates that impact brick-and-mortar stores, supply chain and logistical challenges, global unemployment rates, shifting priorities of regulatory agencies in response to the pandemic, the development and distribution of vaccines, and the effectiveness of actions taken in the United States and other countries to prevent, contain, and treat the disease and its variants. The pandemic may have the effect of heightening or exacerbating many of the other risks described in this “Risk Factors” section. See the section titled “Management’s Discussion and Analysis of Financial Condition and Results of Operations—Impact of the COVID-19 Pandemic” for a further discussion of the impact of the COVID-19 pandemic on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1" w:name="page52"/>
    <w:bookmarkEnd w:id="51"/>
    <w:p>
      <w:pPr>
        <w:jc w:val="both"/>
        <w:spacing w:after="0" w:line="301" w:lineRule="auto"/>
        <w:rPr>
          <w:sz w:val="20"/>
          <w:szCs w:val="20"/>
          <w:color w:val="auto"/>
        </w:rPr>
      </w:pPr>
      <w:r>
        <w:rPr>
          <w:rFonts w:ascii="Arial" w:cs="Arial" w:eastAsia="Arial" w:hAnsi="Arial"/>
          <w:sz w:val="18"/>
          <w:szCs w:val="18"/>
          <w:b w:val="1"/>
          <w:bCs w:val="1"/>
          <w:i w:val="1"/>
          <w:iCs w:val="1"/>
          <w:color w:val="auto"/>
        </w:rPr>
        <w:t>Our pricing strategies may not meet users’ price expectations or result in net income (loss), and laws and regulations could negatively impact the effectiveness of our model.</w:t>
      </w:r>
    </w:p>
    <w:p>
      <w:pPr>
        <w:spacing w:after="0" w:line="61"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pricing strategies have had, and may continue to have, a significant impact on our revenue and net income (loss). In addition to offering discounted prices and shipping as a means of attracting users and encouraging repeat purchases, we use dynamic pricing, where pricing varies depending on factors such as user location and demand, which is intended to optimize revenue and volume and allows us to offer a variety of promotions and discounts. Such offers and discounts, however, may reduce our revenue and margins. In the future, laws applicable to data protection, consumer protection, and artificial intelligence may change in a manner that limits our ability to employ dynamic pricing. In addition, our competitors’ pricing and marketing strategies are beyond our control and can significantly affect the results of our pricing strategies. If our pricing strategies, which may evolve over time, fail to meet our users’ price expectations or fail to result in increased margins, or if we are unable to compete effectively with our competitors if they engage in aggressive pricing strategies or other competitive activities, it could have a material adverse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refund policies may adversely affect our results of operations.</w:t>
      </w:r>
    </w:p>
    <w:p>
      <w:pPr>
        <w:spacing w:after="0" w:line="15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have adopted user-friendly refund policies that make it convenient and easy for users to receive a refund after completing purchases. These policies are designed to improve users’ shopping experience and promote user loyalty, which in turn help us acquire and engage our existing users. However, these policies also subject us to additional costs and expenses which we may not recoup through increased revenue. We may also be required by law to adopt new or amend existing refund policies from time to time. These policies also make us more susceptible to misuse and if our refund policy is misused by a significant number of users, our costs may increase significantly, and our results of operations may be materially and adversely affected. If we revise these policies to reduce our costs and expenses, our users may be dissatisfied, which may result in loss of existing users or failure to acquire new users at a desirable pace or cost, which may materially and adversely affect our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recruit and retain employees is important to our success.</w:t>
      </w:r>
    </w:p>
    <w:p>
      <w:pPr>
        <w:spacing w:after="0" w:line="158"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Our future performance depends on our employees, including key engineering and product development personnel. Competition for key personnel is intense, especially in the San Francisco Bay area where our corporate headquarters are located, and we may be unable to successfully attract, integrate, or retain sufficiently qualified key personnel. In making employment decisions, particularly in the Internet and high-technology industries, job candidates often consider the value of the equity awards they would receive in connection with their employment and fluctuations in our stock price may make it more difficult to attract, retain, and motivate employees.</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forecasts of market opportunity and market growth may prove to be inaccurate, and, even if these forecasts materialize, we cannot assure you our business will grow at similar rates, if at all.</w:t>
      </w:r>
    </w:p>
    <w:p>
      <w:pPr>
        <w:spacing w:after="0" w:line="6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Estimates of market opportunity and forecasts of market growth are subject to significant uncertainty and are based on assumptions and estimates that may not prove to be accurate, including due to the impacts from COVID-19. Any estimates of the size of the markets that we may be able to address and any forecasts relating to the expected growth in ecommerce and other markets are subject to many assumptions and may prove to be inaccurate. These markets may not grow at the rates that we forecast. We may not grow our business at similar rates, or at all. Our growth is subject to many factors, including our success in implementing our business strategy, which is subject to many risks and uncertainties. Accordingly, any estimates of market opportunity and forecasts of market growth, including any in this report, should not be taken as indicative of our future growth.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2" w:name="page53"/>
    <w:bookmarkEnd w:id="52"/>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rely on consumer discretionary spending and may be adversely affected by economic downturns and other macroeconomic conditions or trends.*</w:t>
      </w:r>
    </w:p>
    <w:p>
      <w:pPr>
        <w:spacing w:after="0" w:line="61"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Macroeconomic conditions may adversely affect our business. If general economic conditions deteriorate globally or in specific markets where we operate, consumer discretionary spending may decline and demand for products available in our platform may be reduced. Recently, there have been some indications of deteriorating economic conditions both globally and in the markets we operate. A decrease in consumer discretionary spending would cause sales in our platform to decline and adversely impact our business. If the Company’s costs were to become subject to significant inflationary pressures, including recent inflationary pressures, the Company may not be able to fully offset such higher costs through increases in revenue as increases in core inflation rates may also affect consumers’ willingness to make discretionary purchases on our platforms. The Company’s inability or failure to do so could harm the Company’s business, financial condition, and results of operations. As the world moves into new phases of the pandemic, with new variants emerging, and inflation on the rise, macroeconomic conditions may continue to trend downward for a more prolonged period than expected.</w:t>
      </w:r>
    </w:p>
    <w:p>
      <w:pPr>
        <w:spacing w:after="0" w:line="13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Unfavorable changes or failure by us to comply with evolving internet and ecommerce regulations could substantially harm our business and operating results.</w:t>
      </w:r>
    </w:p>
    <w:p>
      <w:pPr>
        <w:spacing w:after="0" w:line="75"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These regulations and laws may involve taxes, privacy and data security, consumer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 Any failure, or perceived failure, by us to comply with any of these laws or regulations could result in damage to our reputation, a loss in business and proceedings, or actions against us by governmental entities or others, which could impact our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unsuccessful in making, integrating, and maintaining any future acquisitions and investments.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acquire businesses or technologies in the future. Integrating an acquired business or technology is difficult and can be risky.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These potential and completed transactions create risks such as:</w:t>
      </w:r>
    </w:p>
    <w:p>
      <w:pPr>
        <w:spacing w:after="0" w:line="8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 of our ongoing businesses, including loss of management focus on existing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of integrating new businesses and technologies into our infrastructure; and</w:t>
      </w:r>
    </w:p>
    <w:p>
      <w:pPr>
        <w:spacing w:after="0" w:line="102"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assuming liabilities related to the activities of the acquired business before and after the acquisition, including liabilities for violations of laws and regulations, commercial disputes, cyberattacks, taxes, and other matters.</w:t>
      </w:r>
    </w:p>
    <w:p>
      <w:pPr>
        <w:spacing w:after="0" w:line="92"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Moreover, acquisitions may divert management’s time and focus from operating our business. 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merchants, or our users.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litigation matters or other legal proceedings that are expensive and time consuming.</w:t>
      </w:r>
    </w:p>
    <w:p>
      <w:pPr>
        <w:spacing w:after="0" w:line="17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may become involved in litigation matters, including class action lawsuits, relating to intellectual property, product liability, and consumer practices, whether for our own products or those offered by merchants, as well as other commercial disputes.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3" w:name="page54"/>
    <w:bookmarkEnd w:id="53"/>
    <w:p>
      <w:pPr>
        <w:jc w:val="both"/>
        <w:ind w:firstLine="644"/>
        <w:spacing w:after="0" w:line="242" w:lineRule="auto"/>
        <w:rPr>
          <w:sz w:val="20"/>
          <w:szCs w:val="20"/>
          <w:color w:val="auto"/>
        </w:rPr>
      </w:pPr>
      <w:r>
        <w:rPr>
          <w:rFonts w:ascii="Arial" w:cs="Arial" w:eastAsia="Arial" w:hAnsi="Arial"/>
          <w:sz w:val="18"/>
          <w:szCs w:val="18"/>
          <w:color w:val="auto"/>
        </w:rPr>
        <w:t xml:space="preserve">Additionally, the market price of our Class A common stock has been and may continue to be volatile. As a result, we have been named in lawsuits, and may be subject to both ongoing litigation and other requests related to our stock price/performance and/or Board performance and independence. In 2021, we were named as defendants in various securities litigations: (1) </w:t>
      </w:r>
      <w:r>
        <w:rPr>
          <w:rFonts w:ascii="Arial" w:cs="Arial" w:eastAsia="Arial" w:hAnsi="Arial"/>
          <w:sz w:val="18"/>
          <w:szCs w:val="18"/>
          <w:color w:val="222222"/>
        </w:rPr>
        <w:t>In May 2021, four putative class</w:t>
      </w:r>
      <w:r>
        <w:rPr>
          <w:rFonts w:ascii="Arial" w:cs="Arial" w:eastAsia="Arial" w:hAnsi="Arial"/>
          <w:sz w:val="18"/>
          <w:szCs w:val="18"/>
          <w:color w:val="auto"/>
        </w:rPr>
        <w:t xml:space="preserve"> </w:t>
      </w:r>
      <w:r>
        <w:rPr>
          <w:rFonts w:ascii="Arial" w:cs="Arial" w:eastAsia="Arial" w:hAnsi="Arial"/>
          <w:sz w:val="18"/>
          <w:szCs w:val="18"/>
          <w:color w:val="222222"/>
        </w:rPr>
        <w:t xml:space="preserve">action lawsuits were filed in U.S. federal court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(“IPO cases”). One of these four cases was dismissed, leaving three pending cases against the Company, which have since been related and consolidated before one judge. The lead case is </w:t>
      </w:r>
      <w:r>
        <w:rPr>
          <w:rFonts w:ascii="Arial" w:cs="Arial" w:eastAsia="Arial" w:hAnsi="Arial"/>
          <w:sz w:val="18"/>
          <w:szCs w:val="18"/>
          <w:i w:val="1"/>
          <w:iCs w:val="1"/>
          <w:color w:val="222222"/>
        </w:rPr>
        <w:t>Hoang</w:t>
      </w:r>
      <w:r>
        <w:rPr>
          <w:rFonts w:ascii="Arial" w:cs="Arial" w:eastAsia="Arial" w:hAnsi="Arial"/>
          <w:sz w:val="18"/>
          <w:szCs w:val="18"/>
          <w:color w:val="222222"/>
        </w:rPr>
        <w:t xml:space="preserve"> v. ContextLogic, inc., </w:t>
      </w:r>
      <w:r>
        <w:rPr>
          <w:rFonts w:ascii="Arial" w:cs="Arial" w:eastAsia="Arial" w:hAnsi="Arial"/>
          <w:sz w:val="18"/>
          <w:szCs w:val="18"/>
          <w:color w:val="000000"/>
        </w:rPr>
        <w:t>and (2) in August 2021,</w:t>
      </w:r>
      <w:r>
        <w:rPr>
          <w:rFonts w:ascii="Arial" w:cs="Arial" w:eastAsia="Arial" w:hAnsi="Arial"/>
          <w:sz w:val="18"/>
          <w:szCs w:val="18"/>
          <w:color w:val="222222"/>
        </w:rPr>
        <w:t xml:space="preserve">a shareholder derivative action purportedly brought on behalf of the Company, </w:t>
      </w:r>
      <w:r>
        <w:rPr>
          <w:rFonts w:ascii="Arial" w:cs="Arial" w:eastAsia="Arial" w:hAnsi="Arial"/>
          <w:sz w:val="18"/>
          <w:szCs w:val="18"/>
          <w:i w:val="1"/>
          <w:iCs w:val="1"/>
          <w:color w:val="222222"/>
        </w:rPr>
        <w:t>Patel v. Szulczewski</w:t>
      </w:r>
      <w:r>
        <w:rPr>
          <w:rFonts w:ascii="Arial" w:cs="Arial" w:eastAsia="Arial" w:hAnsi="Arial"/>
          <w:sz w:val="18"/>
          <w:szCs w:val="18"/>
          <w:color w:val="222222"/>
        </w:rPr>
        <w:t xml:space="preserve">,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cases. We are also subject to other securities litigation, a derivative action </w:t>
      </w:r>
      <w:r>
        <w:rPr>
          <w:rFonts w:ascii="Arial" w:cs="Arial" w:eastAsia="Arial" w:hAnsi="Arial"/>
          <w:sz w:val="18"/>
          <w:szCs w:val="18"/>
          <w:i w:val="1"/>
          <w:iCs w:val="1"/>
          <w:color w:val="000000"/>
        </w:rPr>
        <w:t>Aviv v. Szulczewski</w:t>
      </w:r>
      <w:r>
        <w:rPr>
          <w:rFonts w:ascii="Arial" w:cs="Arial" w:eastAsia="Arial" w:hAnsi="Arial"/>
          <w:sz w:val="18"/>
          <w:szCs w:val="18"/>
          <w:color w:val="000000"/>
        </w:rPr>
        <w:t>, discussed elsewhere herein. We may continue to be the target of securities litigations, and/or may receive other</w:t>
      </w:r>
      <w:r>
        <w:rPr>
          <w:rFonts w:ascii="Arial" w:cs="Arial" w:eastAsia="Arial" w:hAnsi="Arial"/>
          <w:sz w:val="18"/>
          <w:szCs w:val="18"/>
          <w:color w:val="222222"/>
        </w:rPr>
        <w:t xml:space="preserve"> </w:t>
      </w:r>
      <w:r>
        <w:rPr>
          <w:rFonts w:ascii="Arial" w:cs="Arial" w:eastAsia="Arial" w:hAnsi="Arial"/>
          <w:sz w:val="18"/>
          <w:szCs w:val="18"/>
          <w:color w:val="000000"/>
        </w:rPr>
        <w:t>civil and regulator inquiries and requests, in the future. Securities litigation or inquiries or investigations against us could result in substantial costs and divert our management’s attention from other business concerns, which could adversely affect our business.</w:t>
      </w:r>
    </w:p>
    <w:p>
      <w:pPr>
        <w:spacing w:after="0" w:line="143"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From time to time, we are subject to investigations, demands, litigation and other proceedings involving consumer protection, product safety, and data protection authorities or other regulatory agencies, including, in particular, in Denmark, France, Hungary, Italy, the Netherlands, and the United States. These proceedings can result in civil and/or criminal penalties, large fines, other penalties, and/or remediation efforts and/or injunctive relief that could limit or restrict our ability to do business either in a given jurisdiction within a product class. For example, in France we are facing (1) civil litigation over product safety and merchant listings which the regulator deems to be unsafe or of poor quality; and (2) charges from the French authorities relating to the previous policies enabling merchants to utilize strike-through pricing, previous practices regarding non-translation of product listings on the Wish app and website, and allegations relating to anti-counterfeiting practices and policies. Separately, at the initial outbreak of COVID-19, consumer protection authorities demanded rapid and decisive changes in the way that we screen and handle product listings that potentially violate various laws, including emergency price caps on certain items. Implementing these requests or defending against any associated fines could prove expensive and time consuming and negatively affect our results of operations and financial condition. While we may dispute the charges or cases, novel interpretations of the law or enforcement efforts could subject us to litigation and/or time consuming and costly remediation measures or otherwise impair business operations in a jurisdiction.</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10"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p>
    <w:p>
      <w:pPr>
        <w:spacing w:after="0" w:line="13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material weaknesses that we identified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spacing w:after="0" w:line="113"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Class A common stock. See Item 4. “Controls and Procedures” for further discussions of the identified material weaknesses.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4" w:name="page55"/>
    <w:bookmarkEnd w:id="54"/>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spacing w:after="0" w:line="90"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spacing w:after="0" w:line="11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continue to improve our internal control over financial reporting by hiring additional accounting, engineering, and business intelligence personnel and implementing process level and management review controls to identify and address emerging risks, we cannot guarantee that these changes will remediate future deficiencies or that additional material weaknesses in our internal control over financial reporting will not be identified in the future.</w:t>
      </w:r>
    </w:p>
    <w:p>
      <w:pPr>
        <w:spacing w:after="0" w:line="12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spacing w:after="0" w:line="126" w:lineRule="exact"/>
        <w:rPr>
          <w:sz w:val="20"/>
          <w:szCs w:val="20"/>
          <w:color w:val="auto"/>
        </w:rPr>
      </w:pPr>
    </w:p>
    <w:p>
      <w:pPr>
        <w:ind w:right="80" w:firstLine="644"/>
        <w:spacing w:after="0" w:line="24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Class A common stock, and could result in our delisting on the Nasdaq. As noted previously, see Item 4. “Controls and Procedures” for further discussions of the identified material weaknesses.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Economic tension between the United States and China, or between other countries, may intensify and the United States, China, or other countries may adopt drastic measures in the future that impact our business.</w:t>
      </w:r>
    </w:p>
    <w:p>
      <w:pPr>
        <w:spacing w:after="0" w:line="75"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Our merchants source a large percentage of the products we list on our platform from China and other countries outside the United States and Europe. Additionally, most of our merchants, and some of our operations, are located in China, making the price and availability of products on our platform susceptible to international trade risks and other international economic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5" w:name="page56"/>
    <w:bookmarkEnd w:id="55"/>
    <w:p>
      <w:pPr>
        <w:jc w:val="both"/>
        <w:ind w:firstLine="644"/>
        <w:spacing w:after="0" w:line="244" w:lineRule="auto"/>
        <w:rPr>
          <w:sz w:val="20"/>
          <w:szCs w:val="20"/>
          <w:color w:val="auto"/>
        </w:rPr>
      </w:pPr>
      <w:r>
        <w:rPr>
          <w:rFonts w:ascii="Arial" w:cs="Arial" w:eastAsia="Arial" w:hAnsi="Arial"/>
          <w:sz w:val="18"/>
          <w:szCs w:val="18"/>
          <w:color w:val="auto"/>
        </w:rPr>
        <w:t>If the U.S. government or other governments impose tariffs or other economic measures that directly or indirectly increase the price of products it imports and that we list on our platform, the increased prices could have a material adverse effect on our financial results and business. The effects of the imposed and proposed tariffs are uncertain because of the dynamic nature of governmental action, relations and responses. Further escalation of trade, economic and geo-political tensions between the United States and its trading partners, especially China, could result in long-term changes to global trade, including retaliatory trade restrictions that restrict the international flow of products. For example, Congress is currently considering a bill that would bar packages from non-market economies (currently only China) from qualifying for tariff-free entry into the United States under the existing de minimis statute. If this bill is enacted into law, it would make importing goods from China to the United States more complicated and expensive, which could adversely affect our business. We cannot predict what actions may ultimately be taken with respect to tariffs or trade relations between the United States and China or other countries, what products may be subject to such actions, or what actions may be taken by the other countries in retaliation.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12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Additionally, certain jurisdictions may attempt to restrict the operation and access of certain China-based companies, such as TikTok, WeChat and Alipay in the United States. In response, government authorities in China, or elsewhere, may seek to restrict access and operation of U.S. companies. Most of our merchants and some of our operations are located in China; if our operations or our merchant’s activities were restricted in China, our platform, our business, financial condition, and results of operations would be adversely affected.</w:t>
      </w:r>
    </w:p>
    <w:p>
      <w:pPr>
        <w:spacing w:after="0" w:line="11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are not able to predict future economic policy of the United States, China, or of any foreign countries in which we operate. The adoption and expansion of restrictions, including restrictions on access to apps and other platforms, cross-border data transfers, tariffs, or other governmental action related to economic policies, has the potential to adversely impact our business, operational results and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relating to the provision of financial services are subject to government regulation and oversight.</w:t>
      </w:r>
    </w:p>
    <w:p>
      <w:pPr>
        <w:spacing w:after="0" w:line="158"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Many jurisdictions in which we operate have laws that govern financial services activities. Regulators in certain jurisdictions may determine that certain aspects of our business are subject to these laws and could require us to obtain licenses to continue to operate in such jurisdictions. For example, if we are deemed to be a money transmitter as defined by applicable regulation, we could be subject to certain laws, rules and regulations enforced by multiple authorities and governing bodies in the United States and abroad. If we are found to be a money transmitter or lender under any applicable regulation and we are not in compliance with such regulations, we may be subject to fines or other penalties in one or more jurisdictions levied by federal or state or local regulators, including state Attorneys General, as well as those levied by foreign regulators. In addition to fines, penalties for failing to comply with applicable rules and regulations could include criminal and civil proceedings or other enforcement actions. We could also be required to make changes to our business practices or compliance programs as a result of regulatory scrutiny.</w:t>
      </w:r>
    </w:p>
    <w:p>
      <w:pPr>
        <w:spacing w:after="0" w:line="139" w:lineRule="exact"/>
        <w:rPr>
          <w:sz w:val="20"/>
          <w:szCs w:val="20"/>
          <w:color w:val="auto"/>
        </w:rPr>
      </w:pPr>
    </w:p>
    <w:p>
      <w:pPr>
        <w:ind w:right="280" w:firstLine="644"/>
        <w:spacing w:after="0" w:line="263" w:lineRule="auto"/>
        <w:rPr>
          <w:sz w:val="20"/>
          <w:szCs w:val="20"/>
          <w:color w:val="auto"/>
        </w:rPr>
      </w:pPr>
      <w:r>
        <w:rPr>
          <w:rFonts w:ascii="Arial" w:cs="Arial" w:eastAsia="Arial" w:hAnsi="Arial"/>
          <w:sz w:val="17"/>
          <w:szCs w:val="17"/>
          <w:color w:val="auto"/>
        </w:rPr>
        <w:t>One of our subsidiaries, ContextLogic B.V., received a payments institution license in 2021 from its regulatory authority, De Nederlandsche Bank. This license permits ContextLogic B.V. to operate as a payment service provider (including acquiring and executing payment transactions, as referred to in the Revised Payment Services Directive (“2015/2366/EU”) in the Netherlands. In addition, ContextLogic B.V. can offer its payment services in all other countries of the European Economic Area (“EEA”) on the basis of a European passport. As a regulated financial institution, ContextLogic B.V. is in compliance and will continue to comply with financial services regulations, including those relating to anti-money laundering, combating the financing of terrorism, and sanctioned or prohibited persons.</w:t>
      </w:r>
    </w:p>
    <w:p>
      <w:pPr>
        <w:spacing w:after="0" w:line="119"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continue to evaluate our options for seeking additional licenses and/or subsidiaries in several other jurisdictions to optimize our payment solutions, interchange fees, and to support the future growth of our business. We could be denied such licenses, have existing licenses revoked, or be required to make significant changes to our business operations before being granted such licenses. If we are denied licenses or such licenses are revoked, we may be forced to cease or limit business operations in certain jurisdictions, including in the EEA, and even if we are able to obtain such licenses, we could be subject to fines or other enforcement action, or stripped of such licenses, if we are found to violate the requirements of such licenses. Such regulatory actions, or the need to obtain regulatory approvals, could impose significant costs and involve substantial delay in payments we make in certain local markets, any of which could adversely affect our business, financial condition, or operating results.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6" w:name="page57"/>
    <w:bookmarkEnd w:id="56"/>
    <w:p>
      <w:pPr>
        <w:jc w:val="both"/>
        <w:ind w:firstLine="644"/>
        <w:spacing w:after="0" w:line="244" w:lineRule="auto"/>
        <w:rPr>
          <w:sz w:val="20"/>
          <w:szCs w:val="20"/>
          <w:color w:val="auto"/>
        </w:rPr>
      </w:pPr>
      <w:r>
        <w:rPr>
          <w:rFonts w:ascii="Arial" w:cs="Arial" w:eastAsia="Arial" w:hAnsi="Arial"/>
          <w:sz w:val="18"/>
          <w:szCs w:val="18"/>
          <w:color w:val="auto"/>
        </w:rPr>
        <w:t>In addition, laws related to money transmission and online payments are evolving, and changes in such laws could affect our ability to provide payment processing on our platform in the same form and on the same terms as we have historically, or at all. As we evolve our business or make changes to our business structure, we may be subject to additional laws or requirements related to money transmission, lending, online payments and financial regulation. These laws govern, among other things, money transmission, prepaid access instruments, lending, electronic funds transfers, anti-money laundering, combating the financing of terrorism, banking, systematic integrity risk assessments, cyber security of payment processes, sanctions and import and export restrictions. Our business operations may not always comply with these financial laws and regulations. Historical or future non-compliance with these laws or regulations could result in significant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spacing w:after="0" w:line="123"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Further, our payment system is susceptible to illegal and improper uses, including money laundering, terrorist financing, fraud and payments to sanctioned parties. We have invested and will need to continue to invest substantial resources to comply with applicable financial services legislation, including anti-money laundering, combating the financing of terrorism, and sanctions laws. Government authorities may seek to bring legal action against us if we fail to prevent or detect that our payment system is used for improper or illegal purposes or if our enterprise risk management or controls are not adequately assessed, updated, or implemented, and any such action could result in financial or reputational harm to our business.</w:t>
      </w:r>
    </w:p>
    <w:p>
      <w:pPr>
        <w:spacing w:after="0" w:line="116"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Additionally, some of our merchants use applications, such as WeChat, for transmitting payments and communicating with us. If any of these payment applications were limited or banned by governmental authorities, certain payments could be delayed or our communications with merchants could be adversely impacted.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are subject to global trade customs regulations and government oversight.</w:t>
      </w:r>
    </w:p>
    <w:p>
      <w:pPr>
        <w:spacing w:after="0" w:line="171" w:lineRule="exact"/>
        <w:rPr>
          <w:sz w:val="20"/>
          <w:szCs w:val="20"/>
          <w:color w:val="auto"/>
        </w:rPr>
      </w:pPr>
    </w:p>
    <w:p>
      <w:pPr>
        <w:jc w:val="both"/>
        <w:ind w:right="20" w:firstLine="644"/>
        <w:spacing w:after="0" w:line="255" w:lineRule="auto"/>
        <w:rPr>
          <w:sz w:val="20"/>
          <w:szCs w:val="20"/>
          <w:color w:val="auto"/>
        </w:rPr>
      </w:pPr>
      <w:r>
        <w:rPr>
          <w:rFonts w:ascii="Arial" w:cs="Arial" w:eastAsia="Arial" w:hAnsi="Arial"/>
          <w:sz w:val="18"/>
          <w:szCs w:val="18"/>
          <w:color w:val="auto"/>
        </w:rPr>
        <w:t>We are also within the scope of certain customs enquiries and subject to international trade law enforcement, that could require us to incur an increase in costs and/or impacting the supply and delivery-times of products from merchants to consumers, potentially causing us to experience damage in reputation and/or restricting our rate of global growth.</w:t>
      </w:r>
    </w:p>
    <w:p>
      <w:pPr>
        <w:spacing w:after="0" w:line="123"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Our business is conducted worldwide, with goods imported from and exported to a substantial number of countries. The vast majority of products sold on our platform are shipped internationally. We are subject to numerous regulations, including customs and international trade laws that govern the importation, exportation, and sale of goods. For example, due to abrupt new VAT regulations in Colombia (and related evolving interpretations of the same by local regulatory enforcement agencies), the de minimis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in the first quarter of 2018, PostNord, the postal service in Sweden, suspended delivery of packages coming from outside the European Union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w:t>
      </w:r>
    </w:p>
    <w:p>
      <w:pPr>
        <w:spacing w:after="0" w:line="12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If these laws or regulations were to change or were violated by our management, employees or merchants, we could experience delays in shipments of our goods, be subject to fines or penalties, or suffer reputational harm, which could reduce demand for our services and negatively impact our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7" w:name="page58"/>
    <w:bookmarkEnd w:id="57"/>
    <w:p>
      <w:pPr>
        <w:jc w:val="both"/>
        <w:ind w:firstLine="644"/>
        <w:spacing w:after="0" w:line="253" w:lineRule="auto"/>
        <w:rPr>
          <w:sz w:val="20"/>
          <w:szCs w:val="20"/>
          <w:color w:val="auto"/>
        </w:rPr>
      </w:pPr>
      <w:r>
        <w:rPr>
          <w:rFonts w:ascii="Arial" w:cs="Arial" w:eastAsia="Arial" w:hAnsi="Arial"/>
          <w:sz w:val="18"/>
          <w:szCs w:val="18"/>
          <w:color w:val="auto"/>
        </w:rPr>
        <w:t>Legal requirements are frequently changed and subject to interpretation, and we are unable to predict the ultimate cost of compliance with these requirements or their effects on our operations. We may be required to make significant expenditures to comply with existing or future laws and regulations, which may increase our costs and materially limit our ability to operate our business. In addition, changes to legal requirements can create delays in the introduction and sale of our products and services, or in some cases, prevent the export or import or our products and services to certain countries, governments, or persons altogether.</w:t>
      </w:r>
    </w:p>
    <w:p>
      <w:pPr>
        <w:spacing w:after="0" w:line="11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We may see a significant loss of revenue in France or from users in France as a result of French regulator enforcement actions.*</w:t>
      </w:r>
    </w:p>
    <w:p>
      <w:pPr>
        <w:spacing w:after="0" w:line="15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222222"/>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DGCCRF is relying on an untested interpretation and enforcement of Europe’s Market Surveillance Regulation (“MSR”) to support its position that Wish is responsible as a distributor for products sold by merchants on the platform, and regarding the role of Wish in platform liability and immunity. In addition to the delisting and blocking, the injunction could also expose Wish to fines and penalties. As far as we know, this is a case of first impression in Europe; we are the first e-commerce company that we are aware of in the EU that has faced any such delisting/blocking, and the first of its kind in France. We took immediate measures to challenge the injunction, and to suspend and lift it. We are in the process of the legal challenge.</w:t>
      </w:r>
    </w:p>
    <w:p>
      <w:pPr>
        <w:spacing w:after="0" w:line="123"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222222"/>
        </w:rPr>
        <w:t>In December 2021, the French Administrative Court upheld the delisting injunction, but in so doing noted that the delisting is not intended to be, and should not be, permanent. We promptly appealed and that challenge is currently making its way through the appeals process in the French domestic courts. Concurrently, we are also working on and towards a timeline for the lifting of the delisting injunction.</w:t>
      </w:r>
    </w:p>
    <w:p>
      <w:pPr>
        <w:spacing w:after="0" w:line="103"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222222"/>
        </w:rPr>
        <w:t>Meanwhile, the injunction has had significant effects on our revenues from France as we are unable to acquire new users on the App, old users are precluded from upgrading or updating their app, and mobile or web users are unable to find us or navigate to us from the main search engines in France. In addition, we have ceased ad spend in France as a direct and proximate result of the injunction as there is no return on such an investment nor would we recoup any revenue from ad spending. We anticipate that in 2022 we may lose as much as 80-85% of our marketplace revenue in France as a result of the injunction if the delisting injunction is not ended, lifted or otherwise overruled.</w:t>
      </w:r>
    </w:p>
    <w:p>
      <w:pPr>
        <w:spacing w:after="0" w:line="12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222222"/>
        </w:rPr>
        <w:t>This injunction and the legal proceedings challenging it could also subject the Company to substantial costs, divert resources and the attention of management from the Company’s business, and harm the Company’s business and financial results. We may also be subject to additional civil and criminal litigation and/or penalties from the DGCCRF relating to any purported or perceived moderation of the platform and/or merchant activity on the platform.</w:t>
      </w:r>
    </w:p>
    <w:p>
      <w:pPr>
        <w:spacing w:after="0" w:line="113" w:lineRule="exact"/>
        <w:rPr>
          <w:sz w:val="20"/>
          <w:szCs w:val="20"/>
          <w:color w:val="auto"/>
        </w:rPr>
      </w:pPr>
    </w:p>
    <w:p>
      <w:pPr>
        <w:jc w:val="both"/>
        <w:ind w:right="20" w:firstLine="644"/>
        <w:spacing w:after="0" w:line="276" w:lineRule="auto"/>
        <w:rPr>
          <w:sz w:val="20"/>
          <w:szCs w:val="20"/>
          <w:color w:val="auto"/>
        </w:rPr>
      </w:pPr>
      <w:r>
        <w:rPr>
          <w:rFonts w:ascii="Arial" w:cs="Arial" w:eastAsia="Arial" w:hAnsi="Arial"/>
          <w:sz w:val="18"/>
          <w:szCs w:val="18"/>
          <w:color w:val="222222"/>
        </w:rPr>
        <w:t>The injunction may also expose us to risk in the EU generally, should other regulators take a similar approach or interpretation to the MSR, and we may be the subject of additional requests for information, document requests or information in the EU.</w:t>
      </w:r>
    </w:p>
    <w:p>
      <w:pPr>
        <w:spacing w:after="0" w:line="104"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Separately, in late December 2021, authorities in France charged ContextLogic with legal violations relating to the Company’s former policy permitting merchants to use strikethrough pricing in France, the Company’s previous failure to translate into French listings and product details on the Company’s app and website, and the Company’s anti-counterfeiting policies and practices. The Company disputes the charges and is preparing to defend itself at a hearing that is currently scheduled for March 2023. Any adverse outcome could result in payment of substantial fines, payments to allegedly impacted consumer groups, harm to our reputation, loss of rights, or adverse changes to our offerings or business practices in France. Any of these results could adversely affect our business. In addition, defending claims may be costly and may impose a significant burden on our management.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Our international operations are subject to increased risks.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inherent risks in doing business internationally, including:</w:t>
      </w:r>
    </w:p>
    <w:p>
      <w:pPr>
        <w:spacing w:after="0" w:line="104" w:lineRule="exact"/>
        <w:rPr>
          <w:sz w:val="20"/>
          <w:szCs w:val="20"/>
          <w:color w:val="auto"/>
        </w:rPr>
      </w:pPr>
    </w:p>
    <w:p>
      <w:pPr>
        <w:ind w:left="1020" w:hanging="503"/>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localizing our products and services and user data, including offering our users and merchants the ability to transact business in the local currency and language, and adapting our platform to local preferences;</w:t>
      </w:r>
    </w:p>
    <w:p>
      <w:pPr>
        <w:spacing w:after="0" w:line="51"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enforceability in some foreign jurisdictions of so-called “clickwrap” contracts with our customers, merchants and Wish Local retailers;</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simultaneously managing a large number of varying foreign operations as a result of distance, language, and cultural differences;</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credit risk and higher levels of payment fraud;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laws or regulations related to the import or export of goods alleged to violate third-party intellectual property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geopolitical events, including natural disasters, public health issues, acts of war, and terrorism;</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such as the Foreign Corrupt Practices Act and foreign laws prohibiting corruption, U.S. and foreign economic and trade sanctions laws, and U.S. and foreign laws designed to combat money laundering and the financing of terrorist activities;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potentially adverse tax developments and consequences;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uncertainties related to sovereign debt and other debt;</w:t>
      </w:r>
    </w:p>
    <w:p>
      <w:pPr>
        <w:spacing w:after="0" w:line="116"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uncertain, or more stringent user protection, data protection, data collection, privacy, payments, advertising, pricing, and other laws;</w:t>
      </w:r>
    </w:p>
    <w:p>
      <w:pPr>
        <w:spacing w:after="0" w:line="37" w:lineRule="exact"/>
        <w:rPr>
          <w:rFonts w:ascii="Times New Roman" w:cs="Times New Roman" w:eastAsia="Times New Roman" w:hAnsi="Times New Roman"/>
          <w:sz w:val="18"/>
          <w:szCs w:val="18"/>
          <w:color w:val="auto"/>
        </w:rPr>
      </w:pPr>
    </w:p>
    <w:p>
      <w:pPr>
        <w:ind w:left="1020" w:right="20" w:hanging="503"/>
        <w:spacing w:after="0" w:line="291"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by governmental authorities on transmission of privacy information and other data between countries, whether from the United States or other jurisdictions;</w:t>
      </w:r>
    </w:p>
    <w:p>
      <w:pPr>
        <w:spacing w:after="0" w:line="23"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services, content, including uncertainty as a result of less internet-friendly legal systems, local laws, lack of legal precedent, and varying rules, regulations, and practices;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other government regulation or required compliance with local laws;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w:t>
      </w:r>
    </w:p>
    <w:p>
      <w:pPr>
        <w:spacing w:after="0" w:line="170" w:lineRule="exact"/>
        <w:rPr>
          <w:sz w:val="20"/>
          <w:szCs w:val="20"/>
          <w:color w:val="auto"/>
        </w:rPr>
      </w:pPr>
    </w:p>
    <w:p>
      <w:pPr>
        <w:ind w:right="120" w:firstLine="644"/>
        <w:spacing w:after="0" w:line="249" w:lineRule="auto"/>
        <w:rPr>
          <w:sz w:val="20"/>
          <w:szCs w:val="20"/>
          <w:color w:val="auto"/>
        </w:rPr>
      </w:pPr>
      <w:r>
        <w:rPr>
          <w:rFonts w:ascii="Arial" w:cs="Arial" w:eastAsia="Arial" w:hAnsi="Arial"/>
          <w:sz w:val="18"/>
          <w:szCs w:val="18"/>
          <w:color w:val="auto"/>
        </w:rPr>
        <w:t>Violations of the complex foreign and U.S. laws and regulations that apply to our international operations may result in litigation, fines, criminal actions, or sanctions against us, our officers, or our employees; restrictions on the operations of our business; and damage to our reputation. Although we have implemented policies and procedures designed to promote compliance with these laws, there can be no assurance that our employees, contractors, or agents will not violate our policies. These risks inherent in our international operations and expansion increase our costs of doing business internationally and could harm our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7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Our user pricing and payments are denominated in the local currencies of the users, primarily in U.S. dollars and Euros, and we make a majority of our payments in Renminbi (“RMB”) to the merchants in China for products sold on the Wish platform, which creates exposure to currency rate fluctuations. Additionally, our operating expenses are denominated in the currencies of the countries in which our operations are located, and may be subject to fluctuations due to changes in foreign currency exchange rates, particularly changes in RMB. As part of our currency hedging strategy, we use financial instruments such as forward contracts to hedge our foreign currency exposure in order to reduce the frequency that we need to adjust local currency pricing as well as reduce the short-term impact of foreign currency rate fluctuations on our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factors that reduce cross-border trade or make such trade more difficult could harm our business.</w:t>
      </w:r>
    </w:p>
    <w:p>
      <w:pPr>
        <w:spacing w:after="0" w:line="158"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Cross-border trade is an important source of revenue for us. The shipping of goods across national borders is often more expensive and complicated than domestic shipping.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trade or restrict, delay, or make cross-border trade more difficult or impractical, including any delays or other factors caused by the current conflict between Russia and Ukraine arising from the invasion of Ukraine by Russia, would lower our revenue and profits and could harm our business.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Most of our merchants, and some of our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and growth rate.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Uncertainties with respect to the People’s Republic of China’s (“PRC”) legal system and changes in laws and regulations in China could adversely affect us.</w:t>
      </w:r>
    </w:p>
    <w:p>
      <w:pPr>
        <w:spacing w:after="0" w:line="89" w:lineRule="exact"/>
        <w:rPr>
          <w:sz w:val="20"/>
          <w:szCs w:val="20"/>
          <w:color w:val="auto"/>
        </w:rPr>
      </w:pPr>
    </w:p>
    <w:p>
      <w:pPr>
        <w:ind w:right="200" w:firstLine="644"/>
        <w:spacing w:after="0" w:line="249" w:lineRule="auto"/>
        <w:rPr>
          <w:sz w:val="20"/>
          <w:szCs w:val="20"/>
          <w:color w:val="auto"/>
        </w:rPr>
      </w:pPr>
      <w:r>
        <w:rPr>
          <w:rFonts w:ascii="Arial" w:cs="Arial" w:eastAsia="Arial" w:hAnsi="Arial"/>
          <w:sz w:val="18"/>
          <w:szCs w:val="18"/>
          <w:color w:val="auto"/>
        </w:rPr>
        <w:t>Our operations in China are governed by PRC laws and regulations. Our Chinese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spacing w:after="0" w:line="114"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1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0" w:name="page61"/>
    <w:bookmarkEnd w:id="60"/>
    <w:p>
      <w:pPr>
        <w:jc w:val="both"/>
        <w:spacing w:after="0" w:line="268"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spacing w:after="0" w:line="9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Chinese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26"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Because our business may be subject to governmental supervision and regulation by the relevant Chinese governmental authorities in many aspects of the operation of online retailing, we may be required to hold a number of licenses and permits in connection with our business operation. New laws and regulations may be adopted from time to time to require additional licenses and permits other than those we currently have. As a result, substantial uncertainties exist regarding the interpretation and implementation of current and any future PRC laws and regulations applicable to online retail businesses. If the Chinese government considers that we were operating without the proper approvals, licenses or permits, or promulgates new laws and regulations that require additional approvals or licenses or impose additional restrictions on the operation of any part of our business, it has the power, among other actions, to levy fines, confiscate our income, revoke our business licenses, or require us to discontinue our relevant business or impose restrictions on the affected portion of our business. Any of these or other regulatory actions by the Chinese governmental authorities, including issuance of official notices, change of policies, promulgation of regulations and imposition of sanctions, may adversely affect our business and have a material and adverse effect on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Network and Infrastructure</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Any significant disruption in service on our platform or in our computer systems, some of which are currently hosted by third-party providers, could damage our reputation and result in a loss of users, which would harm our business and results of operations.</w:t>
      </w:r>
    </w:p>
    <w:p>
      <w:pPr>
        <w:spacing w:after="0" w:line="90"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Our brand, reputation and ability to deliver a positive user experience depends upon the reliability of our infrastructure. We have experienced interruptions in these systems in the past, including server failures that temporarily slowed down or interfered with the performance of our websites and apps, or particular features of our websites and apps, and we may experience interruptions in the future. For example, in June 2020, we experienced a full platform outage for more than one hour due to the release of a software update that did not follow proper internal protocols. We have since updated our processes for following such protocols. Interruptions, whether due to system failures, human errors, computer viruses, physical or electronic break-ins, denial-of-service attacks, and capacity limitations, could prevent or inhibit the ability of merchants to access, or users from completing purchases on, our websites and apps. Volume of traffic and activity on our platform spikes on certain days, and any such interruption would be particularly problematic if it were to occur at such a high-volume time. Problems with the reliability of our systems could prevent us from earning revenue and could harm our reputation. Damage to our reputation, any resulting loss of user confidence and the cost of remedying these problems could negatively affect our business, results of operations, financial condition,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1" w:name="page62"/>
    <w:bookmarkEnd w:id="61"/>
    <w:p>
      <w:pPr>
        <w:jc w:val="both"/>
        <w:ind w:firstLine="644"/>
        <w:spacing w:after="0" w:line="242" w:lineRule="auto"/>
        <w:rPr>
          <w:sz w:val="20"/>
          <w:szCs w:val="20"/>
          <w:color w:val="auto"/>
        </w:rPr>
      </w:pPr>
      <w:r>
        <w:rPr>
          <w:rFonts w:ascii="Arial" w:cs="Arial" w:eastAsia="Arial" w:hAnsi="Arial"/>
          <w:sz w:val="18"/>
          <w:szCs w:val="18"/>
          <w:color w:val="auto"/>
        </w:rPr>
        <w:t>We either lease or own our servers and have service agreements with data center providers. Our systems and operations are vulnerable to damage or interruption from fire, flood, power loss, telecommunications failure, terrorist attacks, acts of war, electronic and physical break-ins, computer viruses, earthquakes, and similar events. The occurrence of any of the foregoing events could result in damage to our systems and hardware or could cause them to fail completely, and our insurance may not cover such events or may be insufficient to compensate us for losses that may occur. Our systems are not completely redundant, so a system failure at one site could result in reduced platform functionality for our users, and a total failure of our systems could cause our websites or apps to be inaccessible by some or all of our users. A significant portion of our data storage, data processing and other computing services and systems is hosted by Amazon Web Services (“AWS”). AWS provides us with computing and storage capacity pursuant to an agreement that continues until terminated by either party. Problems with our third-party service providers, including AWS, or with their network providers or with the systems allocating capacity among their users, including us, could adversely affect our users’ experience.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In the event that our agreement with AWS, or other third-party service providers, is terminated, or we add additional cloud infrastructure service providers, we may experience significant costs or downtime in connection with the transfer to, or the addition of, new cloud infrastructure service providers. Any of the above circumstances or events may harm our reputation and brand, reduce the availability or usage of our platform, lead to a significant short-term loss of revenue, increase our costs, and impair our ability to attract new users or merchants, any of which could adversely affect our business, financial condition, and results of operations.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90" w:lineRule="exact"/>
        <w:rPr>
          <w:sz w:val="20"/>
          <w:szCs w:val="20"/>
          <w:color w:val="auto"/>
        </w:rPr>
      </w:pPr>
    </w:p>
    <w:p>
      <w:pPr>
        <w:jc w:val="both"/>
        <w:ind w:firstLine="644"/>
        <w:spacing w:after="0" w:line="276" w:lineRule="auto"/>
        <w:rPr>
          <w:sz w:val="20"/>
          <w:szCs w:val="20"/>
          <w:color w:val="auto"/>
        </w:rPr>
      </w:pPr>
      <w:r>
        <w:rPr>
          <w:rFonts w:ascii="Arial" w:cs="Arial" w:eastAsia="Arial" w:hAnsi="Arial"/>
          <w:sz w:val="18"/>
          <w:szCs w:val="18"/>
          <w:color w:val="auto"/>
        </w:rPr>
        <w:t>We collect, maintain, transmit, and store data about our users, merchants and others, including personally identifiable information and personal data, as well as other confidential information.</w:t>
      </w:r>
    </w:p>
    <w:p>
      <w:pPr>
        <w:spacing w:after="0" w:line="104"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We also engage third parties that store, process, and transmit these types of information on our behalf. We rely 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credential stuffing, and password spraying. Our security measures, and those of our third-party service providers, may not detect or prevent all attempts to breach our systems, viruses, malicious software, break-ins, phishing attacks, accidental actions or omissions to act that create vulnerabilities,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be able to anticipate or prevent all types of attacks, and we may not detect such attacks until after they have already been launched. Further,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actions by our employees or by third parties. These risks may increase over time as the complexity and number of technical systems and applications we use also increases.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2" w:name="page63"/>
    <w:bookmarkEnd w:id="62"/>
    <w:p>
      <w:pPr>
        <w:jc w:val="both"/>
        <w:ind w:firstLine="644"/>
        <w:spacing w:after="0" w:line="242" w:lineRule="auto"/>
        <w:rPr>
          <w:sz w:val="20"/>
          <w:szCs w:val="20"/>
          <w:color w:val="auto"/>
        </w:rPr>
      </w:pPr>
      <w:r>
        <w:rPr>
          <w:rFonts w:ascii="Arial" w:cs="Arial" w:eastAsia="Arial" w:hAnsi="Arial"/>
          <w:sz w:val="18"/>
          <w:szCs w:val="18"/>
          <w:color w:val="auto"/>
        </w:rPr>
        <w:t>Cyber security incidents or breaches of our security measures or those of our third-party service providers or cyber security incidents could result in unauthorized access to our websites, networks and systems; unauthorized access to and misappropriation of our data, including user information, personally identifiable information, or other confidential or proprietary information of ours or of third parties; viruses, worms, spyware, or other malware being served from our websites,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Further, due to the political uncertainty involving Russia and Ukraine, there is an increased likelihood that escalation of tensions could result in cyber attacks that could either directly or indirectly impact our operations. Social engineering, phishing, malware, and similar attacks and threats of denial-of-service attacks could have a material adverse effect on our operations. Additionally, from time to time, our merchants’ and users’ accounts have been subject to unauthorized access by third parties, including through illicit purchase of usernames and passwords by bad actors.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 or merchant password could access the user or merchant’s transaction data or personal information, resulting in the perception that our systems are insecure.</w:t>
      </w:r>
    </w:p>
    <w:p>
      <w:pPr>
        <w:spacing w:after="0" w:line="13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(including costs for technical teams to investigate and remediate such incidents), adverse publicity and a loss of confidence in our security measures, which could have a material adverse effect on our business, results of operations, financial condition, and prospects. We devote significant resources to protect against security breaches and we may need to devote more resources in the future to address problems caused by breaches, including notifying affected users and responding to any resulting litigation, which in turn, diverts resources from the growth and expansion of our business.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information security, and consumer protection. If we are unable to comply with these, we may be subject to governmental enforcement actions, litigation, fines and penalties, or adverse publicity.</w:t>
      </w:r>
    </w:p>
    <w:p>
      <w:pPr>
        <w:spacing w:after="0" w:line="90"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We collect personally identifiable information and other data from users and prospective users. We use this information to provide services and relevant products to our users, to support, expand and improve our business, and to tailor our marketing and advertising efforts. We may also share users’ personal data with certain third parties as authorized by the user or as described in our privacy policy.</w:t>
      </w:r>
    </w:p>
    <w:p>
      <w:pPr>
        <w:spacing w:after="0" w:line="10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As a result, we are subject to governmental regulation and other legal obligations related to the protection of confidential and sensitive data (including personally identifiable information and personal data), privacy, information security and consumer protection in certain countries where we do business and there has been and will continue to be a significant increase globally in such laws that restrict or control the use of personal data.</w:t>
      </w:r>
    </w:p>
    <w:p>
      <w:pPr>
        <w:spacing w:after="0" w:line="113"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In Europe, where the data privacy and information security regime underwent a significant change in 2018, the legal environment related to personal data continues to evolve and companies like us that process personal data from large numbers of individuals are subject to increasing regulatory scrutiny. The General Data Protection Regulation (“GDPR”) implemented more stringent operational requirements for our use of personal data. These more stringent requirements include expanded disclosures to tell our users about how we may use their personal data, increased controls on profiling users and increased rights for users to access, control and delete their personal data. In addition, there are mandatory data breach notification requirements and significantly increased penalties of the greater of €20 million or 4% of global turnover for the preceding financial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3" w:name="page64"/>
    <w:bookmarkEnd w:id="63"/>
    <w:p>
      <w:pPr>
        <w:jc w:val="both"/>
        <w:ind w:firstLine="644"/>
        <w:spacing w:after="0" w:line="242" w:lineRule="auto"/>
        <w:rPr>
          <w:sz w:val="20"/>
          <w:szCs w:val="20"/>
          <w:color w:val="auto"/>
        </w:rPr>
      </w:pPr>
      <w:r>
        <w:rPr>
          <w:rFonts w:ascii="Arial" w:cs="Arial" w:eastAsia="Arial" w:hAnsi="Arial"/>
          <w:sz w:val="18"/>
          <w:szCs w:val="18"/>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(“Schrems II” decision). To the extent that we or our service providers were to rely on the EU-U.S. Privacy Shield Framework, we may not be able to do so in the future, which could increase our costs and limit our ability to process personal data from the European Union. The Schrems II decision also cast doubt on the ability to use one of the primary alternatives to the Privacy Shield, namely, the European Commission’s Standard Contractual Clauses, to lawfully transfer personal data from Europe to the United States and most other countries. In November 2020, the European Commission released a draft of revised Standard Contractual Clauses, and, in January 2021, the European Data Protection Board and the European Data Protection Supervisor issued a joint opinion regarding these revised Standard Contractual Clauses. These revised Standard Contractual Clauses and related developments, opinions, and guidance from European regulators may significantly increase our liability under, and compliance costs related to, cross-border data transfers and the GDPR, and may impact our ability to operate and deliver services in the European Economic Area.</w:t>
      </w:r>
    </w:p>
    <w:p>
      <w:pPr>
        <w:spacing w:after="0" w:line="130"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Following its exit from the European Union in January 2020, the United Kingdom implemented legislation referred to as the “UK-GDPR” which substantially aligns with requirements and penalties under the EU GDPR. We may face similar costs, risks, and operational impacts in complying with the UK-GDPR as we face in complying with the EU GDPR.</w:t>
      </w:r>
    </w:p>
    <w:p>
      <w:pPr>
        <w:spacing w:after="0" w:line="103"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and laws in this area are also under reform. In the European Union, current national laws that implement the ePrivacy Directive will be replaced by an EU regulation known as the ePrivacy Regulation. The draft ePrivacy Regulation retains existing informed consent conditions and also imposes the strict opt-in marketing rules on direct marketing that is “presented” on a web page rather than sent by email, alters rules on third-party cookies and similar technology and significantly increases penalties for breach of the rules. Regulation of cookies and similar technologies may lead to broader restrictions on our marketing and personalization activities and may negatively impact the effectiveness of our marketing. Such regulations may also increase regulatory scrutiny and increase potential civil liability under data protection or consumer protection laws. The ePrivacy Regulations draft also advocates the development of browsers that block cookies by default. These developments could impair our ability to collect user information, including personal data and usage information, that helps us provide more targeted advertising to our current and prospective users, which could adversely affect our business, given our use of cookies and similar technologies to target our marketing and personalize the user experience. We may incur liabilities, expenses, costs, and other operational losses under GDPR and applicable EU Member States and the U.K. privacy laws in connection with any measures we take to comply with them.</w:t>
      </w:r>
    </w:p>
    <w:p>
      <w:pPr>
        <w:spacing w:after="0" w:line="124"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As interpretation of both the ePrivacy Regulation and GDPR develop, we could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4" w:name="page65"/>
    <w:bookmarkEnd w:id="64"/>
    <w:p>
      <w:pPr>
        <w:jc w:val="both"/>
        <w:ind w:firstLine="644"/>
        <w:spacing w:after="0" w:line="244" w:lineRule="auto"/>
        <w:rPr>
          <w:sz w:val="20"/>
          <w:szCs w:val="20"/>
          <w:color w:val="auto"/>
        </w:rPr>
      </w:pPr>
      <w:r>
        <w:rPr>
          <w:rFonts w:ascii="Arial" w:cs="Arial" w:eastAsia="Arial" w:hAnsi="Arial"/>
          <w:sz w:val="18"/>
          <w:szCs w:val="18"/>
          <w:color w:val="auto"/>
        </w:rPr>
        <w:t>In the United States, federal and various state governments have adopted or are considering, laws, guidelines or rules for the collection, distribution, use and storage of information collected from or about users or their devices. For example, California passed the California Consumer Privacy Act (the “CCPA”), which became effective on January 1, 2020 and introduced substantial changes to privacy law for businesses that collect personal information from California residents.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And on November 3, 2020, California passed the California Privacy Rights Act (the “CPRA”). The CPRA, which will not be fully in effect until January 1, 2023, amends and expands the CCPA, including the introduction of sensitive personal information as a new regulated dataset in California that is subject to new disclosure and purpose limitation requirements. Other states may decide to adopt similar laws in the future. Additionally, the U.S. Federal Trade Commission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21"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In September 2021 and November 2021, the People’s Republic of China made effective its new Data Security Law and Personal Information Protection Law, respectively. While there are many aspects of these laws that are still yet-to-be-defined, they impose complex and far-reaching requirements related to cybersecurity and the processing of personal data, both within China and extraterritorially. Potential penalties under the Personal Information Protection Law are severe, at up to the greater of 5% of global revenue or $7.7 million. The precise scope and impact of these laws is still unclear but they could significantly increase our compliance costs, cause us to suffer monetary penalties, or otherwise adversely impact our business and operations.</w:t>
      </w:r>
    </w:p>
    <w:p>
      <w:pPr>
        <w:spacing w:after="0" w:line="116"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Many data protection regimes apply based on where a user is located, and as we expand our platform and new laws are enacted or existing laws change, we may be subject to new laws, regulations or standards or new interpretations of existing laws, regulations or standards, including those in the areas of data security, data privacy and regulation of email providers and those that require localization of certain data, which could require us to incur additional costs and restrict our business operations. Any failure or perceived failure by us to comply with rapidly evolving privacy or security laws policies (including our own stated privacy policies), legal obligations or industry standards or any security incident that results in the unauthorized release or transfer of personally identifiable information or other user data may result in governmental enforcement actions, litigation (including user class actions), fines and penalties or adverse publicity and could cause our users to lose trust in us, which could have a material adverse effect on our business, results of operations, financial condition, and prospects.</w:t>
      </w:r>
    </w:p>
    <w:p>
      <w:pPr>
        <w:spacing w:after="0" w:line="13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75"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ecommerce, internet advertising and price display, consumer protection, anti-corruption, economic and trade sanctions, tax, payments,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services, limit marketing methods and capabilities, affect our margins, increase costs or subject us to additional liabilities. For example, as a result of the initial outbreak of COVID-19, consumer protection authorities demanded rapid and decisive changes in the way that Wish screens and handles product listings that potentially violate various laws, including emergency price caps on certain items. We believe we have legal grounds to satisfy current requests or prevail against associated fines and penalties, and we intend to vigorously defend such fines and penalties.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5" w:name="page66"/>
    <w:bookmarkEnd w:id="65"/>
    <w:p>
      <w:pPr>
        <w:jc w:val="both"/>
        <w:ind w:firstLine="644"/>
        <w:spacing w:after="0" w:line="242" w:lineRule="auto"/>
        <w:rPr>
          <w:sz w:val="20"/>
          <w:szCs w:val="20"/>
          <w:color w:val="auto"/>
        </w:rPr>
      </w:pPr>
      <w:r>
        <w:rPr>
          <w:rFonts w:ascii="Arial" w:cs="Arial" w:eastAsia="Arial" w:hAnsi="Arial"/>
          <w:sz w:val="18"/>
          <w:szCs w:val="18"/>
          <w:color w:val="auto"/>
        </w:rPr>
        <w:t>Additionally, there are, and will likely continue to be, an increasing number of laws and regulations pertaining to the internet and ecommerce that may relate to liability for information retrieved from or transmitted over the internet, display of certain taxes and fees, online editorial and user-generated content, user privacy, data security, network and information systems security, behavioral targeting and online advertising, taxation, liability for third-party activities, quality of services and consumer protection. For example, the European Digital Services Act (DSA) which is expected to take effect in or about early 2024, intends to impose new legal obligations on online marketplaces operating in Europe in terms of both verifying and ensuring the accuracy of the information, safety, and authenticity of products posted by third-party merchants. The DSA also updates the responsibilities and liabilities of digital online services, such as the rules on illegal content, notice-and-takedown, and online targeted advertising, bringing new powers to fine in-scope eligible companies up to 6% of their global annual turnover. Some open questions in the industry still remain as to what impact the pending DSA's proactive monitoring and content moderation obligations will have on online marketplace platforms' existing liability safe harbor protections available currently under the European Union's already-in-existence eCommerce Directive (ECD). In addition, the European Union’s Market Surveillance Regulation, which took effect in July 2021, placed new obligations on online marketplaces that perform certain “fulfilment service provider” activities in Europe and was designed to reduce the availability of non-compliant products in Europe when offered by sellers outside of the region that either had or did not have an appointed authorized product compliance representative in Europe. Denmark has passed a law placing new burdens on marketplaces and giving its regulators the right to request fines and shutdowns where marketplaces are consistently unsuccessful in screening products that are unsafe or unlawful. Furthermore, the growth and development of ecommerce may prompt calls for more stringent consumer protection laws and more aggressive enforcement efforts, which may impose additional burdens on online businesses generally.</w:t>
      </w:r>
    </w:p>
    <w:p>
      <w:pPr>
        <w:spacing w:after="0" w:line="137"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Likewise, the Securities and Exchange Commission (the “SEC”), the U.S. Department of Justice, the U.S. Treasury Department’s Office of Foreign Assets Controls, the U.S. Department of State, as well as other foreign regulatory authorities continue to enforce economic and trade regulations and anti-corruption laws, across industries. U.S. trade sanctions relate to transactions with designated foreign countries and territories, including Cuba, Iran, North Korea, Syria and the Crimea region of Ukraine, as well as specifically targeted individuals and entities that are identified on United States’ and other blacklists, and those owned by them or those acting on their behalf. Further, In February 2022, following Russia’s invasion of Ukraine, the U.S. and other countries announced sanctions against Russia. The U.S. and other countries could impose wider sanctions and take other actions should the conflict further escalate. While it is difficult to anticipate the impact the sanctions announced to date may have on the Company, any further sanctions imposed or actions taken by the U.S. or other countries, and any retaliatory measures by Russia in response, could have an adverse effect on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6" w:name="page67"/>
    <w:bookmarkEnd w:id="66"/>
    <w:p>
      <w:pPr>
        <w:jc w:val="both"/>
        <w:ind w:firstLine="644"/>
        <w:spacing w:after="0" w:line="246" w:lineRule="auto"/>
        <w:rPr>
          <w:sz w:val="20"/>
          <w:szCs w:val="20"/>
          <w:color w:val="auto"/>
        </w:rPr>
      </w:pPr>
      <w:r>
        <w:rPr>
          <w:rFonts w:ascii="Arial" w:cs="Arial" w:eastAsia="Arial" w:hAnsi="Arial"/>
          <w:sz w:val="18"/>
          <w:szCs w:val="18"/>
          <w:color w:val="auto"/>
        </w:rPr>
        <w:t>Anti-corruption laws, including the U.S. Foreign Corrupt Practices Act and the U.K. Bribery Act, generally prohibit direct or indirect corrupt payments to government officials and, under certain laws, to private persons to obtain or retain business or an improper business advantage. Although we have policies and procedures in place designed to promote compliance with these laws and regulations, our employees, partners, or agents could take actions in contravention of our policies and procedures or violate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35"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Additionally, the law relating to liability of online service providers is currently unsettled. Lawmakers and governmental agencies have in the past and could in the future require changes in the way our business is conducted, including with explicit obligations to inspect and screen content and products or implicit obligations that might stem from increased legal liability for online service providers.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increase our cost of doing business, require us to change our business practices in a manner materially adverse to our business, damage our reputation, impede our growth, or otherwise have a material effect on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adequately.</w:t>
      </w:r>
    </w:p>
    <w:p>
      <w:pPr>
        <w:spacing w:after="0" w:line="171"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Our intellectual property is an essential asset of our business, and our success is dependent, in part, upon protecting our intellectual property. To establish and protect our intellectual property rights, we rely on a combination of trade secret, copyright, trademark and, to a lesser extent, patent laws, as well as confidentiality protection procedures and contractual provisions. The efforts we have taken to protect our intellectual property may not be sufficient or effective. We generally do not elect to register our copyrights, relying instead on the laws protecting unregistered intellectual property, which may not be sufficient. We rely on both registered and unregistered trademarks, which may not always be comprehensive in scope. In addition, our copyrights and trademarks, whether or not registered, and patents may be held invalid or unenforceable if challenged and may be of limited territorial reach.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and any changes in the law could make it harder for us to enforce our rights. While we have obtained or applied for patent protection with respect to some of our intellectual property, we generally do not rely on patents as a principal means of protecting intellectual property. We make business decisions about when to seek patent protection for a particular technology and when to rely upon trade secret protection, and the approach we select may ultimately prove to be inadequate. To the extent we do seek patent protection, any U.S. or other patents issued to us may not be sufficiently broad to protect our proprietary technologies.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items listed on our platform are counterfeit, infringing or illegal, which may harm our business.</w:t>
      </w:r>
    </w:p>
    <w:p>
      <w:pPr>
        <w:spacing w:after="0" w:line="158"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frequently receive communications alleging that items listed on our platform infringe third-party copyrights, trademarks, or other intellectual property rights. We have intellectual property complaint and take-down procedures in place to address these communications, and we believe such procedures are important to promote confidence in our platform and provide users reassurance in the products they are purchasing. We follow these procedures to review complaints and relevant facts to determine the appropriate action, which may include removal of the item from our platform and, in certain cases, prohibiting merchants from participating in our platform who repeatedly violate our policies.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7" w:name="page68"/>
    <w:bookmarkEnd w:id="67"/>
    <w:p>
      <w:pPr>
        <w:jc w:val="both"/>
        <w:ind w:firstLine="644"/>
        <w:spacing w:after="0" w:line="246" w:lineRule="auto"/>
        <w:rPr>
          <w:sz w:val="20"/>
          <w:szCs w:val="20"/>
          <w:color w:val="auto"/>
        </w:rPr>
      </w:pPr>
      <w:r>
        <w:rPr>
          <w:rFonts w:ascii="Arial" w:cs="Arial" w:eastAsia="Arial" w:hAnsi="Arial"/>
          <w:sz w:val="18"/>
          <w:szCs w:val="18"/>
          <w:color w:val="auto"/>
        </w:rPr>
        <w:t>Our procedures may not effectively reduce or eliminate our liability. In particular, we may be subject to civil or criminal liability for activities carried out by merchants on our platform, especially outside the United States where laws may offer less protection for intermediaries and platforms than the United States. Under current U.S. copyright law, we may benefit from statutory safe harbor provisions that protect us from copyright liability for content posted on our platform by our merchants and users. However, trademark and patent laws do not include similar statutory provisions, and liability for these forms of intellectual property is often determined by court decisions. These safe harbors and court rulings may change unfavorably. In that event, we may be held secondarily liable for the intellectual property infringement of merchants on our platform. We may also be directly liable for the inventory we purchase ourselves that we sell on our platform.</w:t>
      </w:r>
    </w:p>
    <w:p>
      <w:pPr>
        <w:spacing w:after="0" w:line="135"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addition, allegations of infringement of intellectual property rights, including but not limited to counterfeit items, have resulted in actual litigation from time to time by rights owners against merchants. These and similar suits have resulted in the freezing of merchant accounts or the shutdown of merchant storefronts on our platform, which can adversely impact revenue in the short-term, and may require us to spend substantial resources to comply with court orders. We may also incur costs responding to subpoenas from governmental authorities regarding illegal or counterfeit products listed for sale on our platform. In addition, we may receive media attention relating to the listing or sale of illegal or counterfeit goods, which could damage our reputation, diminish the value of our brand, and make users and merchants reluctant to use our platform.</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Regardless of the validity of any claims made against us, we may incur significant costs and efforts to defend against or settle them.</w:t>
      </w:r>
    </w:p>
    <w:p>
      <w:pPr>
        <w:spacing w:after="0" w:line="158" w:lineRule="exact"/>
        <w:rPr>
          <w:sz w:val="20"/>
          <w:szCs w:val="20"/>
          <w:color w:val="auto"/>
        </w:rPr>
      </w:pPr>
    </w:p>
    <w:p>
      <w:pPr>
        <w:jc w:val="both"/>
        <w:ind w:right="20" w:firstLine="644"/>
        <w:spacing w:after="0" w:line="263" w:lineRule="auto"/>
        <w:rPr>
          <w:sz w:val="20"/>
          <w:szCs w:val="20"/>
          <w:color w:val="auto"/>
        </w:rPr>
      </w:pPr>
      <w:r>
        <w:rPr>
          <w:rFonts w:ascii="Arial" w:cs="Arial" w:eastAsia="Arial" w:hAnsi="Arial"/>
          <w:sz w:val="18"/>
          <w:szCs w:val="18"/>
          <w:color w:val="auto"/>
        </w:rPr>
        <w:t>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to protect our rights.</w:t>
      </w:r>
    </w:p>
    <w:p>
      <w:pPr>
        <w:spacing w:after="0" w:line="10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may be subject to intellectual property claims, which are extremely costly to defend, could require us to pay significant damages and could limit our ability to use certain technologies in the future.</w:t>
      </w:r>
    </w:p>
    <w:p>
      <w:pPr>
        <w:spacing w:after="0" w:line="8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Companies in the internet and technology industries are frequently subject to litigation based on allegations of infringement or other violations of intellectual property rights. We periodically receive communications that claim we have infringed, misappropriated or misused others’ intellectual property rights. To the extent we gain greater public recognition, we may face a higher risk of being the subject of intellectual property claims. Third parties may have intellectual property rights that cover significant aspects of our technologies or business methods and prevent us from expanding our offerings. Any intellectual property claim against us, with or without merit, could be time consuming and expensive to settle or litigate and could divert the attention of our management. Litigation regarding intellectual property rights is inherently uncertain due to the complex issues involved, and we may not be successful in defending ourselves in such matters.</w:t>
      </w:r>
    </w:p>
    <w:p>
      <w:pPr>
        <w:spacing w:after="0" w:line="133"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addition, some of our competitors have extensive portfolios of issued patents.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of our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8" w:name="page69"/>
    <w:bookmarkEnd w:id="68"/>
    <w:p>
      <w:pPr>
        <w:jc w:val="both"/>
        <w:ind w:firstLine="644"/>
        <w:spacing w:after="0" w:line="244" w:lineRule="auto"/>
        <w:rPr>
          <w:sz w:val="20"/>
          <w:szCs w:val="20"/>
          <w:color w:val="auto"/>
        </w:rPr>
      </w:pPr>
      <w:r>
        <w:rPr>
          <w:rFonts w:ascii="Arial" w:cs="Arial" w:eastAsia="Arial" w:hAnsi="Arial"/>
          <w:sz w:val="18"/>
          <w:szCs w:val="18"/>
          <w:color w:val="auto"/>
        </w:rPr>
        <w:t>Many potential litigants, including some of our competitors and patent holding companies, have the ability to dedicate substantial resources to enforcing their intellectual property rights. Moreover, our patents may provide little or no deterrence in litigation involving patent holding companies or other adverse patent owners that have no relevant product revenue. Any claims successfully brought against us could subject us to significant liability for damages and we may be required to stop using technology or other intellectual property alleged to be in violation of a third-party’s rights in jurisdictions where we do business. We also might be required to enter into costly settlement agreements or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highly complex and may contain undetected errors.</w:t>
      </w:r>
    </w:p>
    <w:p>
      <w:pPr>
        <w:spacing w:after="0" w:line="17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The software and code underlying our platform is highly interconnected and complex and may contain undetected errors or vulnerabilities, some of which may only be discovered after the code has been released. We typically release software code daily and this practice may result in the more frequent introduction of errors or vulnerabilities into the software underlying our platform, which can impact the user and merchant experience on our platform. Additionally, due to the interconnected nature of the software underlying our platform, updates to certain parts of our code, including changes to our website or mobile app or third-party APIs on which our website and mobile app rely, could have an unintended impact on other sections of our code, which may result in errors or vulnerabilities to our platform. Any errors or vulnerabilities discovered in our code after release could result in damage to our reputation, loss of our merchants or users, loss of revenue, or liability for damages, any of which could adversely affect our growth prospects and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71"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We use open source software in our proprietary software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or remove, the implicated open source software. Our use of open source software may also present additional security risks because the source code for open source software is publicly available, which may make it easier for hackers and other third parties to determine how to breach our website and systems that rely on open source software. Any of these risks could be difficult to eliminate or manage, and, if not addressed, could have a material adverse effect on our business, results of operations, financial condition,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Taxes and Financial Position</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business and our merchants and users may be subject to sales and other taxes and these taxes may negatively impact our revenue and growth.</w:t>
      </w:r>
    </w:p>
    <w:p>
      <w:pPr>
        <w:spacing w:after="0" w:line="7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application of indirect taxes, such as sales and use tax, value-added tax, provincial taxes, goods and services tax, business tax and gross receipt tax to our business and to our merchants is a complex and evolving issue. In addition, governments are increasingly looking for ways to increase revenue, which has resulted in discussions about new legislative action to increase tax revenue, including through indirect taxes.</w:t>
      </w:r>
    </w:p>
    <w:p>
      <w:pPr>
        <w:spacing w:after="0" w:line="126"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Significant judgment and expertise is required to evaluate applicable tax obligations. As a result, amounts recognized may be subject to adjustments by the relevant tax authorities. In many cases, the ultimate tax determination is uncertain because it is not clear how new and existing statutes might apply to our business or to the businesses of our merchants. One or more states, the federal government or other countries may seek to impose additional reporting, recordkeeping or indirect tax collection obligations on businesses like ours that facilitate ecommerce.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9" w:name="page70"/>
    <w:bookmarkEnd w:id="69"/>
    <w:p>
      <w:pPr>
        <w:jc w:val="both"/>
        <w:ind w:firstLine="644"/>
        <w:spacing w:after="0" w:line="249" w:lineRule="auto"/>
        <w:rPr>
          <w:sz w:val="20"/>
          <w:szCs w:val="20"/>
          <w:color w:val="auto"/>
        </w:rPr>
      </w:pPr>
      <w:r>
        <w:rPr>
          <w:rFonts w:ascii="Arial" w:cs="Arial" w:eastAsia="Arial" w:hAnsi="Arial"/>
          <w:sz w:val="18"/>
          <w:szCs w:val="18"/>
          <w:color w:val="auto"/>
        </w:rPr>
        <w:t>State and local taxing authorities in the United States have identified ecommerce platforms as a means to calculate, collect and remit indirect taxes for transactions taking place over the internet. U.S. states began enacting related legislation with effective dates in early 2018 and in June 2018, the U.S. Supreme Court held in South Dakota v. Wayfair that a U.S. state may require an ecommerce platform to collect sales taxes imposed by the state in which the buyer is located, even if the retailer has no physical presence in that state, thus permitting a wider enforcement of such sales tax collection requirements. All U.S. states have since followed suit in enacting similar legislation and proposed legislation is in process in the few remaining states.</w:t>
      </w:r>
    </w:p>
    <w:p>
      <w:pPr>
        <w:spacing w:after="0" w:line="11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Outside of the United States, the application of value added tax or other indirect taxes on ecommerce providers continues to evolve. An increasing number of jurisdictions are legislating or have adopted laws that impose new taxes, including revenue-based taxes that target ecommerce and the remote selling of goods. These laws include new obligations to collect sales, consumption, value added, or similar taxes on ecommerce platform and remote sellers, or other requirements that may result in liability for third-party obligations. As a result of Brexit, the U.K. began imposing value added tax on ecommerce platform effective January 2021, and the European Union abolished its low value goods exemption effective July 2021 and require online marketplace facilitators to collect and remit value added tax. Our business could be adversely affected by additional taxes that focus on marketplace service revenue.</w:t>
      </w:r>
    </w:p>
    <w:p>
      <w:pPr>
        <w:spacing w:after="0" w:line="12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Additionally, existing and new tax laws and legislation could require us or our merchants to incur substantial costs in order to comply, including costs associated with legal advice, tax calculation, collection, remittance and audit requirements, which could make selling in such markets less attractive and could adversely affect our business. Further, these laws can be applied prospectively or retroactively. Noncompliance with new laws may result in fines or penalties. It is possible we may not have sufficient notice to create and adopt processes to properly comply with new reporting or collection obligations by the effective date.</w:t>
      </w:r>
    </w:p>
    <w:p>
      <w:pPr>
        <w:spacing w:after="0" w:line="111"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Our results of operations and cash flows could be adversely affected by additional taxes or increasing taxes of this nature imposed on us prospectively or retroactively, or additional taxes or penalties resulting from the failure to comply with any collection obligations or failure to provide information about our users, merchants or other third parties for tax reporting purposes to various government agencies.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various tax related obligations.</w:t>
      </w:r>
    </w:p>
    <w:p>
      <w:pPr>
        <w:spacing w:after="0" w:line="158"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We are subject to various taxes in the United States and in many other jurisdictions. We record these taxes based on current tax payment calculations and estimates of tax liabilities, which may include estimates of probable settlements of tax audits. The determination of these liabilities requires estimation and significant judgment and the ultimate determination is uncertain. At any time, multiple tax years could be subject to audit by various taxing jurisdictions. As a result, we could be subject to higher than anticipated tax liabilities as well as ongoing variability in our quarterly tax rates related to potential audits and as exposures are re-evaluated. While we have estimated accruals that we believe are reasonable to cover potential exposures, the reserves may ultimately not be sufficient and additional cash outflows may result. Fluctuations in our tax obligations could adversely affect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0" w:name="page71"/>
    <w:bookmarkEnd w:id="70"/>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carryforwards, and other tax attributes, which could adversely affect our profitability.</w:t>
      </w:r>
    </w:p>
    <w:p>
      <w:pPr>
        <w:spacing w:after="0" w:line="61"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As of December 31, 2021, we had federal net operating loss carryforwards (“NOLs”) available to reduce future taxable income, if any, of $886 million that begin to expire in 2030 and continue to expire through 2037 and $ 1.3 billion that have an unlimited carryover period. As of December 31, 2021, we had state NOLs available to reduce future taxable income, if any, of $4.3 billion that begin to expire in 2026 and continue to expire through 2041 and $1.3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2021, is limited to 80% of taxable income. It is uncertain if and to what extent various states will conform to the Tax Act or the CARES Act. In addition, the utilization of NOLs and other tax attributes to offset future taxable income or taxes may be subject to limitations under Sections 382 and 383 of the Internal Revenue Code of 1986, as amended (the “Code”), and similar state statutes as a result of ownership changes that have occurred or could occur in the future. Additionally, portions of these NOLs could expire unused and be unavailable to offset future income tax liabilities. In addition, at the state level, there may be periods during which the use of net operating losses is suspended or otherwise limited. For example, California recently imposed limits on the usability of California state NOLs to offset taxable income in tax years beginning after 2019 and before 2023. As a result, even if we attain profitability, we may be unable to use a material portion of our NOLs and other tax attributes, which could adversely affect our future cash flows, which could adversely affect our profitability.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which may not be available to us on acceptable terms or at all.</w:t>
      </w:r>
    </w:p>
    <w:p>
      <w:pPr>
        <w:spacing w:after="0" w:line="158"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believe that our existing cash, cash equivalents and marketable securities, together with cash generated from our operations, will be enough to meet our anticipated cash needs for at least the next 12 months. However, we may require additional cash resources due to changes in business conditions or other developments, such as acquisitions or investments we may decide to pursue. Any debt financing that we may secure in the future could result in additional operating and financial covenants that would limit or restrict our ability to take certain actions, such as incurring additional debt, making capital expenditures or declaring dividends. It is also possible that financing may not be available to us in amounts or on terms acceptable to us, if at all.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Class A Common Stock</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The price of our Class A common stock has been and continues to be volatile. Declines in the price of our Class A common stock has resulted in and could subject us to future litigation.</w:t>
      </w:r>
    </w:p>
    <w:p>
      <w:pPr>
        <w:spacing w:after="0" w:line="89"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Prior to our IPO in December 2020, there was no public market for our Class A common stock. If trading in our Class A common stock is not active, investors and other stockholders may not be able to sell their shares quickly, at the market price or at all. In addition, the market price of our Class A common stock has fluctuated and declined and may continue to fluctuate or decline substantially. Further, the trading prices of the securities of technology companies have historically been highly volatile. Accordingly, the price of our Class A common stock has been subject to wide fluctuations and could continue to be subject to wide fluctuations for many reasons, many of which are beyond our control, including those described in this “Risk Factors” section and others such as:</w:t>
      </w:r>
    </w:p>
    <w:p>
      <w:pPr>
        <w:spacing w:after="0" w:line="77" w:lineRule="exact"/>
        <w:rPr>
          <w:sz w:val="20"/>
          <w:szCs w:val="20"/>
          <w:color w:val="auto"/>
        </w:rPr>
      </w:pPr>
    </w:p>
    <w:p>
      <w:pPr>
        <w:ind w:left="1020" w:hanging="503"/>
        <w:spacing w:after="0" w:line="27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operating results and other financial and operational metrics, including the key financial and operating metrics disclosed in this report, as well as how those results and metrics compare to analyst and investor expectations;</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about our operating results in the absence of our own financial projections;</w:t>
      </w:r>
    </w:p>
    <w:p>
      <w:pPr>
        <w:spacing w:after="0" w:line="116"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analysts to initiate or maintain coverage of our company, changes in their estimates of our operating results or changes in recommendations by analysts that follow our Class A common stock;</w:t>
      </w:r>
    </w:p>
    <w:p>
      <w:pPr>
        <w:spacing w:after="0" w:line="37" w:lineRule="exact"/>
        <w:rPr>
          <w:rFonts w:ascii="Times New Roman" w:cs="Times New Roman" w:eastAsia="Times New Roman" w:hAnsi="Times New Roman"/>
          <w:sz w:val="18"/>
          <w:szCs w:val="18"/>
          <w:color w:val="auto"/>
        </w:rPr>
      </w:pPr>
    </w:p>
    <w:p>
      <w:pPr>
        <w:ind w:left="1020" w:hanging="503"/>
        <w:spacing w:after="0" w:line="291"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new services or enhancements, strategic alliances or significant agreements or other developments by us or our competitors;</w:t>
      </w:r>
    </w:p>
    <w:p>
      <w:pPr>
        <w:spacing w:after="0" w:line="23"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mergers or acquisitions or rumors of such transactions involving us or our competitors;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1" w:name="page72"/>
    <w:bookmarkEnd w:id="71"/>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senior management or other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in our platform due to hardware, software or network problems, security breaches or other issues;</w:t>
      </w:r>
    </w:p>
    <w:p>
      <w:pPr>
        <w:spacing w:after="0" w:line="102"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the global economy or the economy in the jurisdictions in which we operate, and market conditions in our industry and those affecting our merchants and users;</w:t>
      </w:r>
    </w:p>
    <w:p>
      <w:pPr>
        <w:spacing w:after="0" w:line="51" w:lineRule="exact"/>
        <w:rPr>
          <w:rFonts w:ascii="Times New Roman" w:cs="Times New Roman" w:eastAsia="Times New Roman" w:hAnsi="Times New Roman"/>
          <w:sz w:val="18"/>
          <w:szCs w:val="18"/>
          <w:color w:val="auto"/>
        </w:rPr>
      </w:pPr>
    </w:p>
    <w:p>
      <w:pPr>
        <w:ind w:left="1020" w:right="20" w:hanging="503"/>
        <w:spacing w:after="0" w:line="27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our principal stockholders and other market participants, in whom ownership of our Class A common stock may be concentrated following our IPO;</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legal or regulatory requirements relating to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against us;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conversion and subsequent sale of Class B common stock held by our founder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our Class A common stock that are available for public trading;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report.</w:t>
      </w:r>
    </w:p>
    <w:p>
      <w:pPr>
        <w:spacing w:after="0" w:line="170"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price of our Class A common stock could decline for reasons unrelated to our business, results of operations or financial condition. The price of our Class A common stock might also decline in reaction to events that affect other companies, even if those events do not directly affect us. We have been named in lawsuits and may be subject to both ongoing litigation and other requests related to our stock price/performance and/or Board performance and independence. This could result in securities litigation. If we are the subject of additional securities class actions, it could result in substantial costs and could divert our management’s attention and resources, which could adversely affect our business. Additionally, the price of our Class A common stock may be volatile and may decline regardless of our operating performance and you may lose all or part of your investment.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outlook.</w:t>
      </w:r>
    </w:p>
    <w:p>
      <w:pPr>
        <w:spacing w:after="0" w:line="17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From time to time, we release outlook (or guidance) in our quarterly earnings conference calls, quarterly earnings releases, or otherwise, regarding our future financial performance that represents our management’s estimates as of the date of release. This outlook, which includes forward-looking statements, is based on projections prepared by our management. This outlook is not prepared with a view toward compliance with published guidelines of the American Institute of Certified Public Accountants (AICPA) regarding projections or the SEC regarding forward-looking statements, and neither our independent registered public accounting firm nor any other independent expert or outside party compiles or examines the projections. Accordingly, no such person will express any opinion or any other form of assurance with respect to the projections.</w:t>
      </w:r>
    </w:p>
    <w:p>
      <w:pPr>
        <w:spacing w:after="0" w:line="133"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industry, economic and competitive uncertainties and contingencies, many of which are beyond our control and are based upon specific assumptions with respect to future business decisions, some of which will change. The principal reason that we release outlook is to provide a basis for our management to discuss our business expectations with analysts and investors. We do not accept any responsibility for any projections or reports published by any such third parties.</w:t>
      </w:r>
    </w:p>
    <w:p>
      <w:pPr>
        <w:spacing w:after="0" w:line="114"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Outlook is necessarily speculative in nature, and it can be expected that some or all of the assumptions underlying the outlook furnished by us will not materialize or will vary significantly from actual results. Accordingly, our outlook is only an estimate of what management believes is realizable as of the date of release. Actual results may vary and the variations may be material. We expressly disclaim any obligations to update or revise any outlook, whether as a result of new information, future events or otherwise, except as required by law. In light of the foregoing, investors are urged to put the outlook in context and not place undue reliance on it.</w:t>
      </w:r>
    </w:p>
    <w:p>
      <w:pPr>
        <w:spacing w:after="0" w:line="111"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Form 10-K could result in the actual operating results being different from our outlook, and the differences may be adverse and material.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72" w:name="page73"/>
    <w:bookmarkEnd w:id="72"/>
    <w:p>
      <w:pPr>
        <w:ind w:right="80"/>
        <w:spacing w:after="0" w:line="301"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beneficially own a substantial percentage of our stock and will be able to exert significant control over matters subject to stockholder approval.</w:t>
      </w:r>
    </w:p>
    <w:p>
      <w:pPr>
        <w:spacing w:after="0" w:line="61"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Following the conversion as noted in Note 13 of Part I, Item 1 of this Quarterly Report on Form 10-Q, our directors, executive officers, greater than 5% stockholders and their respective affiliates held in the aggregate approximately 32% of the voting power of our outstanding capital stock as of August 9, 2022. Therefore, these stockholders will continue to have the ability to influence us through their ownership position, which may prevent or discourage unsolicited acquisition proposals or offers for our capital stock that other stockholders may feel are in their best interests.*</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Class A common stock could result in additional dilution to our stockholders and could cause the price of our Class A common stock to decline.</w:t>
      </w:r>
    </w:p>
    <w:p>
      <w:pPr>
        <w:spacing w:after="0" w:line="7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may issue additional Class A common stock, convertible securities or other equity. We also expect to issue Class A common stock to our employees, directors and other service providers pursuant to our equity incentive plans. Such issuances could be dilutive to investors and could cause the price of our Class A common stock to decline. New investors in such issuances could also receive rights senior to those of holders of our Class A common stock.</w:t>
      </w:r>
    </w:p>
    <w:p>
      <w:pPr>
        <w:spacing w:after="0" w:line="113"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The price of our Class A common stock could decline if there are substantial sales of our Class A common stock, particularly sales by our directors, executive officers, employees, and significant stockholders, or when there is a large number of shares of our Class A common stock available for sale.</w:t>
      </w:r>
    </w:p>
    <w:p>
      <w:pPr>
        <w:spacing w:after="0" w:line="103" w:lineRule="exact"/>
        <w:rPr>
          <w:sz w:val="20"/>
          <w:szCs w:val="20"/>
          <w:color w:val="auto"/>
        </w:rPr>
      </w:pPr>
    </w:p>
    <w:p>
      <w:pPr>
        <w:jc w:val="both"/>
        <w:ind w:firstLine="644"/>
        <w:spacing w:after="0" w:line="263" w:lineRule="auto"/>
        <w:rPr>
          <w:sz w:val="20"/>
          <w:szCs w:val="20"/>
          <w:color w:val="auto"/>
        </w:rPr>
      </w:pPr>
      <w:r>
        <w:rPr>
          <w:rFonts w:ascii="Arial" w:cs="Arial" w:eastAsia="Arial" w:hAnsi="Arial"/>
          <w:sz w:val="18"/>
          <w:szCs w:val="18"/>
          <w:color w:val="auto"/>
        </w:rPr>
        <w:t>The market price of the shares of our Class A common stock could decline as a result of the sale of a substantial number of our shares of common stock in the public market or the perception in the market that the holders of a large number of shares intend to sell their shares.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could limit attempts to make changes in our management and could depress the price of our Class A common stock.*</w:t>
      </w:r>
    </w:p>
    <w:p>
      <w:pPr>
        <w:spacing w:after="0" w:line="6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in control of our company or limiting changes in our management. In August 2022, Piotr Szulczewski, our founder and member of our Board of Directors until his resignation in August 2022, converted all shares of Class B common stock he held into the same number of shares of Class A common stock. Immediately following such conversion, Mr. Szulczewski’s voting power decreased to approximately 8% of the voting power of our outstanding common stock (not including outstanding options that are immediately exercisable). Additionally, following such conversion the outstanding shares of our Class B common stock constituted less than 1% of our outstanding shares of our common stock. This resulted in all other shares of Class B common stock converting automatically into the same number of shares of Class A common stock. Among other things, the provisions in our certificate of incorporation and bylaws provide:</w:t>
      </w:r>
    </w:p>
    <w:p>
      <w:pPr>
        <w:spacing w:after="0" w:line="65" w:lineRule="exact"/>
        <w:rPr>
          <w:sz w:val="20"/>
          <w:szCs w:val="20"/>
          <w:color w:val="auto"/>
        </w:rPr>
      </w:pPr>
    </w:p>
    <w:p>
      <w:pPr>
        <w:ind w:left="1020" w:right="420" w:hanging="503"/>
        <w:spacing w:after="0" w:line="291"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conversion noted above, our Board of Directors became classified into three classes of directors with staggered three-year terms;</w:t>
      </w:r>
    </w:p>
    <w:p>
      <w:pPr>
        <w:spacing w:after="0" w:line="23" w:lineRule="exact"/>
        <w:rPr>
          <w:rFonts w:ascii="Times New Roman" w:cs="Times New Roman" w:eastAsia="Times New Roman" w:hAnsi="Times New Roman"/>
          <w:sz w:val="18"/>
          <w:szCs w:val="18"/>
          <w:color w:val="auto"/>
        </w:rPr>
      </w:pPr>
    </w:p>
    <w:p>
      <w:pPr>
        <w:ind w:left="1020" w:right="80" w:hanging="503"/>
        <w:spacing w:after="0" w:line="26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conversion noted above, directors are now able to be removed only for cause and only by the affirmative vote of the holders of at least two-thirds of the voting power of our common stock. Vacancies on our Board of Directors will be able to be filled only by our Board of Directors and not by stockholders;</w:t>
      </w:r>
    </w:p>
    <w:p>
      <w:pPr>
        <w:spacing w:after="0" w:line="50" w:lineRule="exact"/>
        <w:rPr>
          <w:rFonts w:ascii="Times New Roman" w:cs="Times New Roman" w:eastAsia="Times New Roman" w:hAnsi="Times New Roman"/>
          <w:sz w:val="18"/>
          <w:szCs w:val="18"/>
          <w:color w:val="auto"/>
        </w:rPr>
      </w:pPr>
    </w:p>
    <w:p>
      <w:pPr>
        <w:ind w:left="1020" w:right="140" w:hanging="503"/>
        <w:spacing w:after="0" w:line="27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certain amendments to our restated certificate of incorporation or bylaws will require the approval of two-thirds of the combined vote of our then-outstanding shares of Class A and Class B common stock;</w:t>
      </w:r>
    </w:p>
    <w:p>
      <w:pPr>
        <w:spacing w:after="0" w:line="51" w:lineRule="exact"/>
        <w:rPr>
          <w:rFonts w:ascii="Times New Roman" w:cs="Times New Roman" w:eastAsia="Times New Roman" w:hAnsi="Times New Roman"/>
          <w:sz w:val="18"/>
          <w:szCs w:val="18"/>
          <w:color w:val="auto"/>
        </w:rPr>
      </w:pPr>
    </w:p>
    <w:p>
      <w:pPr>
        <w:ind w:left="1020" w:right="180" w:hanging="503"/>
        <w:spacing w:after="0" w:line="27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37" w:lineRule="exact"/>
        <w:rPr>
          <w:rFonts w:ascii="Times New Roman" w:cs="Times New Roman" w:eastAsia="Times New Roman" w:hAnsi="Times New Roman"/>
          <w:sz w:val="18"/>
          <w:szCs w:val="18"/>
          <w:color w:val="auto"/>
        </w:rPr>
      </w:pPr>
    </w:p>
    <w:p>
      <w:pPr>
        <w:ind w:left="1020" w:right="220" w:hanging="503"/>
        <w:spacing w:after="0" w:line="291"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 connection with the conversion noted above, our stockholders are now only able to take action at a meeting of stockholders and not by written consent;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3" w:name="page74"/>
    <w:bookmarkEnd w:id="73"/>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may not call special meetings of the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expressly authorized to amend or repeal any provision of our bylaws;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that the forum for certain litigation against us must be Delaware or the U.S. federal district courts; and</w:t>
      </w:r>
    </w:p>
    <w:p>
      <w:pPr>
        <w:spacing w:after="0" w:line="102" w:lineRule="exact"/>
        <w:rPr>
          <w:rFonts w:ascii="Times New Roman" w:cs="Times New Roman" w:eastAsia="Times New Roman" w:hAnsi="Times New Roman"/>
          <w:sz w:val="18"/>
          <w:szCs w:val="18"/>
          <w:color w:val="auto"/>
        </w:rPr>
      </w:pPr>
    </w:p>
    <w:p>
      <w:pPr>
        <w:ind w:left="1020" w:right="300" w:hanging="503"/>
        <w:spacing w:after="0" w:line="291"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78"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These provisions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10"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p>
    <w:p>
      <w:pPr>
        <w:spacing w:after="0" w:line="11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2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74" w:name="page75"/>
    <w:bookmarkEnd w:id="74"/>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increases in the value of our Class A common stock.</w:t>
      </w:r>
    </w:p>
    <w:p>
      <w:pPr>
        <w:spacing w:after="0" w:line="61"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the terms of our Revolving Credit Facility contain, and any future credit facility or financing we obtain may contain, terms prohibiting or limiting the amount of dividends that may be declared or paid on our common stock. Any return to stockholders will therefore be limited to increases in the price of our Class A common stock, if 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operating results may fluctuate, which could cause our stock price to decline.</w:t>
      </w:r>
    </w:p>
    <w:p>
      <w:pPr>
        <w:spacing w:after="0" w:line="158" w:lineRule="exact"/>
        <w:rPr>
          <w:sz w:val="20"/>
          <w:szCs w:val="20"/>
          <w:color w:val="auto"/>
        </w:rPr>
      </w:pPr>
    </w:p>
    <w:p>
      <w:pPr>
        <w:jc w:val="both"/>
        <w:ind w:firstLine="644"/>
        <w:spacing w:after="0" w:line="276" w:lineRule="auto"/>
        <w:rPr>
          <w:sz w:val="20"/>
          <w:szCs w:val="20"/>
          <w:color w:val="auto"/>
        </w:rPr>
      </w:pPr>
      <w:r>
        <w:rPr>
          <w:rFonts w:ascii="Arial" w:cs="Arial" w:eastAsia="Arial" w:hAnsi="Arial"/>
          <w:sz w:val="18"/>
          <w:szCs w:val="18"/>
          <w:color w:val="auto"/>
        </w:rPr>
        <w:t>Our quarterly and annual operating results may fluctuate for a variety of reasons, many of which are beyond our control. These reasons include those described in this “Risk Factors” section as well as the following:</w:t>
      </w:r>
    </w:p>
    <w:p>
      <w:pPr>
        <w:spacing w:after="0" w:line="50"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our sales and marketing costs;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user acquisition strategies;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traffic on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selling prices on our platform and the percentage of revenue we retain from the sale of products;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mix of products listed on our platform;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fraud, including the sale of counterfeit goods, and refunds, including our response to these areas;</w:t>
      </w:r>
    </w:p>
    <w:p>
      <w:pPr>
        <w:spacing w:after="0" w:line="116"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impact from COVID-19, including the effects of phasing out of governmental measures, decreased online activity, and phasing out of government stimulus programs;</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merchant advertising on our platform;</w:t>
      </w:r>
    </w:p>
    <w:p>
      <w:pPr>
        <w:spacing w:after="0" w:line="116" w:lineRule="exact"/>
        <w:rPr>
          <w:rFonts w:ascii="Times New Roman" w:cs="Times New Roman" w:eastAsia="Times New Roman" w:hAnsi="Times New Roman"/>
          <w:sz w:val="18"/>
          <w:szCs w:val="18"/>
          <w:color w:val="auto"/>
        </w:rPr>
      </w:pPr>
    </w:p>
    <w:p>
      <w:pPr>
        <w:ind w:left="1020" w:hanging="503"/>
        <w:spacing w:after="0" w:line="275"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in supply or shipment of products listed on our platform, especially from China where most of our merchants are currently located;</w:t>
      </w:r>
    </w:p>
    <w:p>
      <w:pPr>
        <w:spacing w:after="0" w:line="3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app stores and advertising platforms such as Facebook and Google;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seasonality;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exchange rates;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our other operating expenses;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expiration of expiration of contractual lock-up agreements and market standoff agreements;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competitive developments and our response to those developments;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carrier policies and pricing and resulting higher logistics costs;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perceived disruptions or defects in our platform, such as data security breaches or outages;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and regulations that impact our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in the jurisdictions in which we operate;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general political, economic, and market conditions, particularly those affecting our industry.</w:t>
      </w:r>
    </w:p>
    <w:p>
      <w:pPr>
        <w:spacing w:after="0" w:line="17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Fluctuations in our quarterly and annual operating results may cause those results to fall below the expectations of analysts or investors, which could cause the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5" w:name="page76"/>
    <w:bookmarkEnd w:id="75"/>
    <w:p>
      <w:pPr>
        <w:jc w:val="both"/>
        <w:ind w:firstLine="644"/>
        <w:spacing w:after="0" w:line="253" w:lineRule="auto"/>
        <w:rPr>
          <w:sz w:val="20"/>
          <w:szCs w:val="20"/>
          <w:color w:val="auto"/>
        </w:rPr>
      </w:pPr>
      <w:r>
        <w:rPr>
          <w:rFonts w:ascii="Arial" w:cs="Arial" w:eastAsia="Arial" w:hAnsi="Arial"/>
          <w:sz w:val="18"/>
          <w:szCs w:val="18"/>
          <w:color w:val="auto"/>
        </w:rPr>
        <w:t>In addition, we believe that our quarterly and annual operating results may vary in the future and that period -to-period comparisons of our operating results may not be meaningful. For example, our historical growth may have overshadowed the seasonal effects on our historical operating results. These seasonal effects may become more pronounced over time, which could also cause our operating results to fluctuate. You should not rely on the results of one quarter or one year as an indication of future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58"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Our operating results are seasonal in nature because our transaction volume is affected by traditional retail selling periods that impact sales on our platform. Our historical growth may have reduced or outweighed seasonal effects on our past financial results. However, seasonal effects may become more pronounced over time, which could cause fluctuations in our financial results. For example, sales on our platform have historically peaked in the fall and user activity begins to slow down in December as it may be too late to place orders for holiday delivery. Additionally, we have historically experienced some slowdown in merchant activity in late January or early February due to our China-based merchants celebrating the Chinese New Year holiday.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58"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harm our business. In the event of a major earthquake, hurricane or catastrophic event such as fire, power loss, telecommunications failure, cyber-attack, war, or terrorist attack, pandemic or epidemic, we may be unable to continue our operations and may endure reputational harm, delays in developing our platform and solutions breaches of data security and loss of critical data, all of which could harm our business, results of operations, and financial condition.</w:t>
      </w:r>
    </w:p>
    <w:p>
      <w:pPr>
        <w:spacing w:after="0" w:line="128"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marketing activities. If these systems were to fail or be negatively impacted as a result of a natural disaster or other event, our ability to deliver a positive user and merchant experience would be impaired.</w:t>
      </w:r>
    </w:p>
    <w:p>
      <w:pPr>
        <w:spacing w:after="0" w:line="123"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related controversies.</w:t>
      </w:r>
    </w:p>
    <w:p>
      <w:pPr>
        <w:spacing w:after="0" w:line="158"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We may also be subject to tax controversies in the United States and in foreign jurisdictions that can result in tax assessments against us. Developments in an audit, investigation, or other tax controversy can have a material effect on our operating results or cash flows. We regularly assess the likelihood of an adverse outcome resulting from these proceedings to determine the adequacy of our tax accruals and while we believe our tax estimates are reasonable, the final outcome of audits, investigations, and any other tax controversies could be materially different from our historical tax accruals.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w:t>
      </w:r>
    </w:p>
    <w:p>
      <w:pPr>
        <w:spacing w:after="0" w:line="116"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As a public company, we incur substantial legal, accounting, and other expenses that we did not incur as a private company. For example, we are subject to the reporting requirements of the Securities Exchange Act of 1934 as amended (the “Exchange Act”), the applicable requirements of the Sarbanes-Oxley Act of 2002 (the “Sarbanes-Oxley Act”), the Dodd-Frank Wall Street Reform and Consumer Protection Act and the rules and regulations of the SEC. The rules and regulations of Nasdaq also apply to us. As part of the new requirements, we need to establish and maintain effective disclosure and financial controls and we have made changes to our corporate governance practices. We expect that compliance with these requirements will increase our legal and financial compliance costs and will make some activities more time-consuming or costly and increase demand on our systems and resources.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6" w:name="page77"/>
    <w:bookmarkEnd w:id="76"/>
    <w:p>
      <w:pPr>
        <w:jc w:val="both"/>
        <w:ind w:firstLine="644"/>
        <w:spacing w:after="0" w:line="253" w:lineRule="auto"/>
        <w:rPr>
          <w:sz w:val="20"/>
          <w:szCs w:val="20"/>
          <w:color w:val="auto"/>
        </w:rPr>
      </w:pPr>
      <w:r>
        <w:rPr>
          <w:rFonts w:ascii="Arial" w:cs="Arial" w:eastAsia="Arial" w:hAnsi="Arial"/>
          <w:sz w:val="18"/>
          <w:szCs w:val="18"/>
          <w:color w:val="auto"/>
        </w:rPr>
        <w:t>Many members of our management and other key personnel have little experience managing a public company and preparing public filings. 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will need to continue to hire additional accounting and financial staff with appropriate public company experience and technical accounting knowledge.</w:t>
      </w:r>
    </w:p>
    <w:p>
      <w:pPr>
        <w:spacing w:after="0" w:line="111"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8"/>
          <w:szCs w:val="18"/>
          <w:color w:val="auto"/>
        </w:rPr>
        <w:t>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14" w:lineRule="exact"/>
        <w:rPr>
          <w:sz w:val="20"/>
          <w:szCs w:val="20"/>
          <w:color w:val="auto"/>
        </w:rPr>
      </w:pPr>
    </w:p>
    <w:p>
      <w:pPr>
        <w:jc w:val="both"/>
        <w:ind w:firstLine="644"/>
        <w:spacing w:after="0" w:line="292" w:lineRule="auto"/>
        <w:rPr>
          <w:sz w:val="20"/>
          <w:szCs w:val="20"/>
          <w:color w:val="auto"/>
        </w:rPr>
      </w:pPr>
      <w:r>
        <w:rPr>
          <w:rFonts w:ascii="Arial" w:cs="Arial" w:eastAsia="Arial" w:hAnsi="Arial"/>
          <w:sz w:val="18"/>
          <w:szCs w:val="18"/>
          <w:color w:val="auto"/>
        </w:rPr>
        <w:t>In addition, as a result of our disclosure obligations as a public company, we have reduced flexibility and are under pressure to focus on short-term results, which may adversely affect our ability to achieve long-term profitability.</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89"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the fair value of financial instruments, useful lives of long-lived assets, fair value of common stock prior to IPO, fair value of derivative instruments, fair value of redeemable convertible preferred stock and related redeemable convertible preferred stock warrant and equity awards and other equity issuances prior to IPO, incremental borrowing rate applied to lease accounting, contingent liabilities, allowances for refunds and chargebacks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Class A common stock.</w:t>
      </w:r>
    </w:p>
    <w:p>
      <w:pPr>
        <w:spacing w:after="0" w:line="13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75"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analysts publish about our business. We do not have any control over these analysts. If one or more of the analysts who cover us downgrade our Class A common stock or publish inaccurate or unfavorable research about our business, the price of our Class A common stock would likely decline. If few analysts cover us,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620" w:type="dxa"/>
            <w:vAlign w:val="bottom"/>
            <w:gridSpan w:val="7"/>
            <w:vMerge w:val="restart"/>
          </w:tcPr>
          <w:p>
            <w:pPr>
              <w:ind w:left="2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1934, as Adopted Pursuant to Section 302 of the Sarbanes-Oxley Act of 2002.</w:t>
            </w:r>
          </w:p>
        </w:tc>
        <w:tc>
          <w:tcPr>
            <w:tcW w:w="20" w:type="dxa"/>
            <w:vAlign w:val="bottom"/>
            <w:tcBorders>
              <w:top w:val="single" w:sz="8" w:color="0000FF"/>
              <w:bottom w:val="single" w:sz="8" w:color="0000EE"/>
            </w:tcBorders>
          </w:tcPr>
          <w:p>
            <w:pPr>
              <w:spacing w:after="0"/>
              <w:rPr>
                <w:sz w:val="12"/>
                <w:szCs w:val="12"/>
                <w:color w:val="auto"/>
              </w:rPr>
            </w:pPr>
          </w:p>
        </w:tc>
        <w:tc>
          <w:tcPr>
            <w:tcW w:w="3600" w:type="dxa"/>
            <w:vAlign w:val="bottom"/>
            <w:tcBorders>
              <w:top w:val="single" w:sz="8" w:color="0000FF"/>
            </w:tcBorders>
            <w:gridSpan w:val="4"/>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1934, as Adopted Pursuant to Section 302 of the Sarbanes-Oxley Act of 2002.</w:t>
            </w:r>
          </w:p>
        </w:tc>
        <w:tc>
          <w:tcPr>
            <w:tcW w:w="20" w:type="dxa"/>
            <w:vAlign w:val="bottom"/>
            <w:tcBorders>
              <w:top w:val="single" w:sz="8" w:color="0000FF"/>
              <w:bottom w:val="single" w:sz="8" w:color="0000EE"/>
            </w:tcBorders>
          </w:tcPr>
          <w:p>
            <w:pPr>
              <w:spacing w:after="0"/>
              <w:rPr>
                <w:sz w:val="12"/>
                <w:szCs w:val="12"/>
                <w:color w:val="auto"/>
              </w:rPr>
            </w:pPr>
          </w:p>
        </w:tc>
        <w:tc>
          <w:tcPr>
            <w:tcW w:w="3540" w:type="dxa"/>
            <w:vAlign w:val="bottom"/>
            <w:tcBorders>
              <w:top w:val="single" w:sz="8" w:color="0000FF"/>
            </w:tcBorders>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4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8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16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4"/>
                <w:szCs w:val="14"/>
                <w:color w:val="auto"/>
              </w:rPr>
            </w:pPr>
          </w:p>
        </w:tc>
        <w:tc>
          <w:tcPr>
            <w:tcW w:w="9940" w:type="dxa"/>
            <w:vAlign w:val="bottom"/>
            <w:gridSpan w:val="8"/>
          </w:tcPr>
          <w:p>
            <w:pPr>
              <w:spacing w:after="0" w:line="166" w:lineRule="exact"/>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189"/>
        </w:trPr>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994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994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994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994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512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509"/>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ContextLogic Inc.</w:t>
      </w:r>
    </w:p>
    <w:p>
      <w:pPr>
        <w:spacing w:after="0" w:line="198" w:lineRule="exact"/>
        <w:rPr>
          <w:sz w:val="20"/>
          <w:szCs w:val="20"/>
          <w:color w:val="auto"/>
        </w:rPr>
      </w:pPr>
    </w:p>
    <w:p>
      <w:pPr>
        <w:ind w:left="20"/>
        <w:spacing w:after="0"/>
        <w:tabs>
          <w:tab w:leader="none" w:pos="5640" w:val="left"/>
          <w:tab w:leader="none" w:pos="798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(Principal Executive Officer)</w:t>
      </w:r>
    </w:p>
    <w:p>
      <w:pPr>
        <w:spacing w:after="0" w:line="163" w:lineRule="exact"/>
        <w:rPr>
          <w:sz w:val="20"/>
          <w:szCs w:val="20"/>
          <w:color w:val="auto"/>
        </w:rPr>
      </w:pPr>
    </w:p>
    <w:p>
      <w:pPr>
        <w:ind w:left="566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Vivian Liu</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Vijay Talwar,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63"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020" w:right="280" w:hanging="503"/>
        <w:spacing w:after="0" w:line="255"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020" w:right="280" w:hanging="503"/>
        <w:spacing w:after="0" w:line="255"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020" w:right="220" w:hanging="503"/>
        <w:spacing w:after="0" w:line="255"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020" w:right="20" w:hanging="503"/>
        <w:spacing w:after="0" w:line="255"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520" w:right="480" w:hanging="512"/>
        <w:spacing w:after="0" w:line="263"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1020" w:right="200" w:hanging="503"/>
        <w:spacing w:after="0" w:line="263"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1020" w:right="120" w:hanging="503"/>
        <w:spacing w:after="0" w:line="292"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5500" w:val="left"/>
          <w:tab w:leader="none" w:pos="798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20320</wp:posOffset>
            </wp:positionV>
            <wp:extent cx="33432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Vijay Talwar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020" w:right="280" w:hanging="503"/>
        <w:spacing w:after="0" w:line="255"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020" w:right="280" w:hanging="503"/>
        <w:spacing w:after="0" w:line="255"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020" w:right="220" w:hanging="503"/>
        <w:spacing w:after="0" w:line="255"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020" w:right="20" w:hanging="503"/>
        <w:spacing w:after="0" w:line="255"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520" w:right="48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1020" w:right="20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1020" w:right="120" w:hanging="503"/>
        <w:spacing w:after="0" w:line="292"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5500" w:val="left"/>
          <w:tab w:leader="none" w:pos="808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20320</wp:posOffset>
            </wp:positionV>
            <wp:extent cx="33432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Vivian Liu</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340" w:right="2580"/>
        <w:spacing w:after="0" w:line="261"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4" w:lineRule="exact"/>
        <w:rPr>
          <w:sz w:val="20"/>
          <w:szCs w:val="20"/>
          <w:color w:val="auto"/>
        </w:rPr>
      </w:pPr>
    </w:p>
    <w:p>
      <w:pPr>
        <w:jc w:val="both"/>
        <w:ind w:right="340" w:firstLine="509"/>
        <w:spacing w:after="0" w:line="255"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right="160" w:hanging="503"/>
        <w:spacing w:after="0" w:line="27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4" w:lineRule="exact"/>
        <w:rPr>
          <w:rFonts w:ascii="Arial" w:cs="Arial" w:eastAsia="Arial" w:hAnsi="Arial"/>
          <w:sz w:val="18"/>
          <w:szCs w:val="18"/>
          <w:color w:val="auto"/>
        </w:rPr>
      </w:pPr>
    </w:p>
    <w:p>
      <w:pPr>
        <w:ind w:left="1020" w:right="40" w:hanging="503"/>
        <w:spacing w:after="0" w:line="27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31" w:lineRule="exact"/>
        <w:rPr>
          <w:sz w:val="20"/>
          <w:szCs w:val="20"/>
          <w:color w:val="auto"/>
        </w:rPr>
      </w:pPr>
    </w:p>
    <w:p>
      <w:pPr>
        <w:ind w:left="20"/>
        <w:spacing w:after="0"/>
        <w:tabs>
          <w:tab w:leader="none" w:pos="5300" w:val="left"/>
          <w:tab w:leader="none" w:pos="792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34201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840"/>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340" w:right="2580"/>
        <w:spacing w:after="0" w:line="261"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4" w:lineRule="exact"/>
        <w:rPr>
          <w:sz w:val="20"/>
          <w:szCs w:val="20"/>
          <w:color w:val="auto"/>
        </w:rPr>
      </w:pPr>
    </w:p>
    <w:p>
      <w:pPr>
        <w:jc w:val="both"/>
        <w:ind w:right="340" w:firstLine="509"/>
        <w:spacing w:after="0" w:line="255"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right="160" w:hanging="503"/>
        <w:spacing w:after="0" w:line="27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4" w:lineRule="exact"/>
        <w:rPr>
          <w:rFonts w:ascii="Arial" w:cs="Arial" w:eastAsia="Arial" w:hAnsi="Arial"/>
          <w:sz w:val="18"/>
          <w:szCs w:val="18"/>
          <w:color w:val="auto"/>
        </w:rPr>
      </w:pPr>
    </w:p>
    <w:p>
      <w:pPr>
        <w:ind w:left="1020" w:right="40" w:hanging="503"/>
        <w:spacing w:after="0" w:line="27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31" w:lineRule="exact"/>
        <w:rPr>
          <w:sz w:val="20"/>
          <w:szCs w:val="20"/>
          <w:color w:val="auto"/>
        </w:rPr>
      </w:pPr>
    </w:p>
    <w:p>
      <w:pPr>
        <w:ind w:left="20"/>
        <w:spacing w:after="0"/>
        <w:tabs>
          <w:tab w:leader="none" w:pos="5300" w:val="left"/>
          <w:tab w:leader="none" w:pos="8020" w:val="left"/>
        </w:tabs>
        <w:rPr>
          <w:sz w:val="20"/>
          <w:szCs w:val="20"/>
          <w:color w:val="auto"/>
        </w:rPr>
      </w:pPr>
      <w:r>
        <w:rPr>
          <w:rFonts w:ascii="Arial" w:cs="Arial" w:eastAsia="Arial" w:hAnsi="Arial"/>
          <w:sz w:val="18"/>
          <w:szCs w:val="18"/>
          <w:color w:val="auto"/>
        </w:rPr>
        <w:t>Date: August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342011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8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2022-08-09T17:41:29Z</dcterms:created>
  <dcterms:modified xsi:type="dcterms:W3CDTF">2022-08-09T17:41:29Z</dcterms:modified>
</cp:coreProperties>
</file>