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both"/>
        <w:rPr/>
      </w:pPr>
      <w:bookmarkStart w:id="0" w:name="wish-20240331.htm"/>
      <w:bookmarkStart w:id="1" w:name="kswish20240331"/>
      <w:bookmarkEnd w:id="0"/>
      <w:bookmarkEnd w:id="1"/>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center"/>
        <w:rPr/>
      </w:pPr>
      <w:r>
        <w:rPr/>
        <w:t> </w:t>
      </w:r>
    </w:p>
    <w:p>
      <w:pPr>
        <w:pStyle w:val="TextBody"/>
        <w:bidi w:val="0"/>
        <w:spacing w:before="80" w:after="283"/>
        <w:jc w:val="both"/>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both"/>
              <w:rPr>
                <w:color w:val="000000"/>
              </w:rPr>
            </w:pPr>
            <w:r>
              <w:rPr>
                <w:color w:val="000000"/>
              </w:rPr>
              <w:t>☒</w:t>
            </w:r>
          </w:p>
        </w:tc>
        <w:tc>
          <w:tcPr>
            <w:tcW w:w="9874" w:type="dxa"/>
            <w:tcBorders/>
            <w:vAlign w:val="center"/>
          </w:tcPr>
          <w:p>
            <w:pPr>
              <w:pStyle w:val="TableContents"/>
              <w:bidi w:val="0"/>
              <w:spacing w:before="0" w:after="283"/>
              <w:jc w:val="both"/>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quarterly period ended March 31, 2024</w:t>
      </w:r>
    </w:p>
    <w:p>
      <w:pPr>
        <w:pStyle w:val="TextBody"/>
        <w:bidi w:val="0"/>
        <w:spacing w:before="80" w:after="283"/>
        <w:jc w:val="center"/>
        <w:rPr>
          <w:rFonts w:ascii="Arial" w:hAnsi="Arial"/>
          <w:b/>
          <w:color w:val="000000"/>
          <w:sz w:val="20"/>
        </w:rPr>
      </w:pPr>
      <w:r>
        <w:rPr>
          <w:rFonts w:ascii="Arial" w:hAnsi="Arial"/>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both"/>
              <w:rPr>
                <w:color w:val="000000"/>
              </w:rPr>
            </w:pPr>
            <w:r>
              <w:rPr>
                <w:color w:val="000000"/>
              </w:rPr>
              <w:t>☐</w:t>
            </w:r>
          </w:p>
        </w:tc>
        <w:tc>
          <w:tcPr>
            <w:tcW w:w="9874" w:type="dxa"/>
            <w:tcBorders/>
            <w:vAlign w:val="center"/>
          </w:tcPr>
          <w:p>
            <w:pPr>
              <w:pStyle w:val="TableContents"/>
              <w:bidi w:val="0"/>
              <w:spacing w:before="0" w:after="283"/>
              <w:jc w:val="both"/>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center"/>
        <w:rPr>
          <w:rFonts w:ascii="Arial" w:hAnsi="Arial"/>
          <w:b/>
          <w:color w:val="000000"/>
          <w:sz w:val="20"/>
        </w:rPr>
      </w:pPr>
      <w:r>
        <w:rPr>
          <w:rFonts w:ascii="Arial" w:hAnsi="Arial"/>
          <w:b/>
          <w:color w:val="000000"/>
          <w:sz w:val="20"/>
        </w:rPr>
        <w:t>For the transition period from ____ to ______</w:t>
      </w:r>
    </w:p>
    <w:p>
      <w:pPr>
        <w:pStyle w:val="TextBody"/>
        <w:bidi w:val="0"/>
        <w:spacing w:before="80" w:after="283"/>
        <w:jc w:val="center"/>
        <w:rPr>
          <w:rFonts w:ascii="Times New Roman" w:hAnsi="Times New Roman"/>
          <w:sz w:val="20"/>
        </w:rPr>
      </w:pPr>
      <w:r>
        <w:rPr>
          <w:rFonts w:ascii="Arial" w:hAnsi="Arial"/>
          <w:b/>
          <w:color w:val="000000"/>
          <w:sz w:val="20"/>
        </w:rPr>
        <w:t xml:space="preserve">Commission File Number: </w:t>
      </w:r>
      <w:r>
        <w:rPr>
          <w:rFonts w:ascii="Arial" w:hAnsi="Arial"/>
          <w:b/>
          <w:color w:val="000000"/>
          <w:sz w:val="18"/>
        </w:rPr>
        <w:t>001-39775</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Arial" w:hAnsi="Arial"/>
          <w:b/>
          <w:color w:val="000000"/>
          <w:sz w:val="48"/>
        </w:rPr>
        <w:t>ContextLogic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802" w:type="dxa"/>
        <w:jc w:val="left"/>
        <w:tblInd w:w="0" w:type="dxa"/>
        <w:tblLayout w:type="fixed"/>
        <w:tblCellMar>
          <w:top w:w="28" w:type="dxa"/>
          <w:left w:w="28" w:type="dxa"/>
          <w:bottom w:w="28" w:type="dxa"/>
          <w:right w:w="28" w:type="dxa"/>
        </w:tblCellMar>
      </w:tblPr>
      <w:tblGrid>
        <w:gridCol w:w="3226"/>
        <w:gridCol w:w="1576"/>
      </w:tblGrid>
      <w:tr>
        <w:trPr/>
        <w:tc>
          <w:tcPr>
            <w:tcW w:w="322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57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27-2930953</w:t>
            </w:r>
          </w:p>
        </w:tc>
      </w:tr>
      <w:tr>
        <w:trPr/>
        <w:tc>
          <w:tcPr>
            <w:tcW w:w="3226" w:type="dxa"/>
            <w:tcBorders/>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57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(I.R.S. Employer</w:t>
              <w:br/>
              <w:t>Identification No.)</w:t>
            </w:r>
          </w:p>
        </w:tc>
      </w:tr>
      <w:tr>
        <w:trPr/>
        <w:tc>
          <w:tcPr>
            <w:tcW w:w="3226" w:type="dxa"/>
            <w:tcBorders/>
            <w:vAlign w:val="center"/>
          </w:tcPr>
          <w:p>
            <w:pPr>
              <w:pStyle w:val="TableContents"/>
              <w:bidi w:val="0"/>
              <w:spacing w:before="0" w:after="283"/>
              <w:jc w:val="center"/>
              <w:rPr/>
            </w:pPr>
            <w:r>
              <w:rPr/>
              <w:t> </w:t>
            </w:r>
          </w:p>
        </w:tc>
        <w:tc>
          <w:tcPr>
            <w:tcW w:w="1576" w:type="dxa"/>
            <w:tcBorders/>
            <w:vAlign w:val="center"/>
          </w:tcPr>
          <w:p>
            <w:pPr>
              <w:pStyle w:val="TableContents"/>
              <w:bidi w:val="0"/>
              <w:spacing w:before="0" w:after="283"/>
              <w:jc w:val="center"/>
              <w:rPr/>
            </w:pPr>
            <w:r>
              <w:rPr/>
              <w:t> </w:t>
            </w:r>
          </w:p>
        </w:tc>
      </w:tr>
      <w:tr>
        <w:trPr/>
        <w:tc>
          <w:tcPr>
            <w:tcW w:w="3226" w:type="dxa"/>
            <w:tcBorders/>
            <w:vAlign w:val="center"/>
          </w:tcPr>
          <w:p>
            <w:pPr>
              <w:pStyle w:val="TableContents"/>
              <w:bidi w:val="0"/>
              <w:jc w:val="center"/>
              <w:rPr>
                <w:rFonts w:ascii="Arial" w:hAnsi="Arial"/>
                <w:b/>
                <w:color w:val="000000"/>
                <w:sz w:val="18"/>
              </w:rPr>
            </w:pPr>
            <w:r>
              <w:rPr>
                <w:rFonts w:ascii="Arial" w:hAnsi="Arial"/>
                <w:b/>
                <w:color w:val="000000"/>
                <w:sz w:val="18"/>
              </w:rPr>
              <w:t>2648 International Blvd Ste 115</w:t>
            </w:r>
          </w:p>
          <w:p>
            <w:pPr>
              <w:pStyle w:val="TableContents"/>
              <w:bidi w:val="0"/>
              <w:spacing w:before="0" w:after="283"/>
              <w:jc w:val="center"/>
              <w:rPr>
                <w:rFonts w:ascii="Arial" w:hAnsi="Arial"/>
                <w:b/>
                <w:color w:val="000000"/>
                <w:sz w:val="18"/>
              </w:rPr>
            </w:pPr>
            <w:r>
              <w:rPr>
                <w:rFonts w:ascii="Arial" w:hAnsi="Arial"/>
                <w:b/>
                <w:color w:val="000000"/>
                <w:sz w:val="18"/>
              </w:rPr>
              <w:t>Oakland, CA</w:t>
            </w:r>
          </w:p>
        </w:tc>
        <w:tc>
          <w:tcPr>
            <w:tcW w:w="157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94601</w:t>
            </w:r>
          </w:p>
        </w:tc>
      </w:tr>
      <w:tr>
        <w:trPr/>
        <w:tc>
          <w:tcPr>
            <w:tcW w:w="322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(Address of principal executive offices)</w:t>
            </w:r>
          </w:p>
        </w:tc>
        <w:tc>
          <w:tcPr>
            <w:tcW w:w="157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(Zip Code)</w:t>
            </w:r>
          </w:p>
        </w:tc>
      </w:tr>
    </w:tbl>
    <w:p>
      <w:pPr>
        <w:pStyle w:val="TextBody"/>
        <w:bidi w:val="0"/>
        <w:spacing w:before="80" w:after="283"/>
        <w:jc w:val="center"/>
        <w:rPr>
          <w:rFonts w:ascii="Times New Roman" w:hAnsi="Times New Roman"/>
          <w:sz w:val="20"/>
        </w:rPr>
      </w:pPr>
      <w:r>
        <w:rPr>
          <w:rFonts w:ascii="Arial" w:hAnsi="Arial"/>
          <w:b/>
          <w:color w:val="000000"/>
          <w:sz w:val="20"/>
        </w:rPr>
        <w:t xml:space="preserve">Registrant’s telephone number, including area code: </w:t>
      </w:r>
      <w:r>
        <w:rPr>
          <w:rFonts w:ascii="Arial" w:hAnsi="Arial"/>
          <w:b/>
          <w:color w:val="000000"/>
          <w:sz w:val="18"/>
        </w:rPr>
        <w:t>(415) 965-8476</w:t>
      </w:r>
    </w:p>
    <w:p>
      <w:pPr>
        <w:pStyle w:val="TextBody"/>
        <w:pBdr>
          <w:bottom w:val="single" w:sz="4" w:space="1" w:color="000000"/>
        </w:pBdr>
        <w:bidi w:val="0"/>
        <w:jc w:val="center"/>
        <w:rPr/>
      </w:pPr>
      <w:r>
        <w:rPr/>
        <w:t> </w:t>
      </w:r>
    </w:p>
    <w:p>
      <w:pPr>
        <w:pStyle w:val="TextBody"/>
        <w:bidi w:val="0"/>
        <w:spacing w:before="80" w:after="283"/>
        <w:jc w:val="both"/>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both"/>
        <w:rPr/>
      </w:pPr>
      <w:r>
        <w:rPr/>
        <w:t> </w:t>
      </w:r>
    </w:p>
    <w:tbl>
      <w:tblPr>
        <w:tblW w:w="9160" w:type="dxa"/>
        <w:jc w:val="left"/>
        <w:tblInd w:w="0" w:type="dxa"/>
        <w:tblLayout w:type="fixed"/>
        <w:tblCellMar>
          <w:top w:w="28" w:type="dxa"/>
          <w:left w:w="28" w:type="dxa"/>
          <w:bottom w:w="28" w:type="dxa"/>
          <w:right w:w="28" w:type="dxa"/>
        </w:tblCellMar>
      </w:tblPr>
      <w:tblGrid>
        <w:gridCol w:w="3256"/>
        <w:gridCol w:w="146"/>
        <w:gridCol w:w="1666"/>
        <w:gridCol w:w="146"/>
        <w:gridCol w:w="394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Name of each exchange on which registered</w:t>
            </w:r>
          </w:p>
        </w:tc>
      </w:tr>
      <w:tr>
        <w:trPr/>
        <w:tc>
          <w:tcPr>
            <w:tcW w:w="325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Class A Common Stock, $0.0001 par value</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WISH</w:t>
            </w:r>
          </w:p>
        </w:tc>
        <w:tc>
          <w:tcPr>
            <w:tcW w:w="146" w:type="dxa"/>
            <w:tcBorders/>
            <w:vAlign w:val="center"/>
          </w:tcPr>
          <w:p>
            <w:pPr>
              <w:pStyle w:val="TableContents"/>
              <w:bidi w:val="0"/>
              <w:spacing w:before="0" w:after="283"/>
              <w:jc w:val="center"/>
              <w:rPr/>
            </w:pPr>
            <w:r>
              <w:rPr/>
              <w:t> </w:t>
            </w:r>
          </w:p>
        </w:tc>
        <w:tc>
          <w:tcPr>
            <w:tcW w:w="394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Nasdaq Global Select Market</w:t>
            </w:r>
          </w:p>
        </w:tc>
      </w:tr>
      <w:tr>
        <w:trPr/>
        <w:tc>
          <w:tcPr>
            <w:tcW w:w="325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Preferred Stock Purchase Rights</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N/A</w:t>
            </w:r>
          </w:p>
        </w:tc>
        <w:tc>
          <w:tcPr>
            <w:tcW w:w="146" w:type="dxa"/>
            <w:tcBorders/>
            <w:vAlign w:val="center"/>
          </w:tcPr>
          <w:p>
            <w:pPr>
              <w:pStyle w:val="TableContents"/>
              <w:bidi w:val="0"/>
              <w:spacing w:before="0" w:after="283"/>
              <w:jc w:val="center"/>
              <w:rPr/>
            </w:pPr>
            <w:r>
              <w:rPr/>
              <w:t> </w:t>
            </w:r>
          </w:p>
        </w:tc>
        <w:tc>
          <w:tcPr>
            <w:tcW w:w="394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Nasdaq Global Select Market</w:t>
            </w:r>
          </w:p>
        </w:tc>
      </w:tr>
    </w:tbl>
    <w:p>
      <w:pPr>
        <w:pStyle w:val="TextBody"/>
        <w:bidi w:val="0"/>
        <w:spacing w:before="80" w:after="283"/>
        <w:jc w:val="both"/>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2311"/>
        <w:gridCol w:w="146"/>
        <w:gridCol w:w="316"/>
        <w:gridCol w:w="146"/>
        <w:gridCol w:w="2311"/>
        <w:gridCol w:w="146"/>
        <w:gridCol w:w="36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8"/>
        </w:rPr>
      </w:pPr>
      <w:r>
        <w:rPr>
          <w:rFonts w:ascii="Arial" w:hAnsi="Arial"/>
          <w:color w:val="000000"/>
          <w:sz w:val="18"/>
        </w:rPr>
        <w:t>As of April 30, 2024, the number of shares of the registrant’s Class A common stock outstanding was 24,492,300.</w:t>
      </w:r>
    </w:p>
    <w:p>
      <w:pPr>
        <w:pStyle w:val="TextBody"/>
        <w:pBdr>
          <w:bottom w:val="double" w:sz="4" w:space="1" w:color="000000"/>
        </w:pBdr>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563C1"/>
                <w:sz w:val="20"/>
              </w:rPr>
            </w:pPr>
            <w:r>
              <w:rPr>
                <w:rFonts w:ascii="Arial" w:hAnsi="Arial"/>
                <w:b/>
                <w:color w:val="0563C1"/>
                <w:sz w:val="20"/>
              </w:rPr>
              <w:t>Introductory Note</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_looking">
              <w:r>
                <w:rPr>
                  <w:rStyle w:val="InternetLink"/>
                  <w:rFonts w:ascii="Arial" w:hAnsi="Arial"/>
                  <w:b/>
                  <w:color w:val="0563C1"/>
                  <w:sz w:val="20"/>
                  <w:u w:val="single"/>
                </w:rPr>
                <w:t>Special Note Regarding Forward-Looking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563C1"/>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563C1"/>
                  <w:sz w:val="20"/>
                  <w:u w:val="single"/>
                </w:rPr>
                <w:t>Condensed Consolidated 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563C1"/>
                  <w:sz w:val="20"/>
                  <w:u w:val="single"/>
                </w:rPr>
                <w:t>Condensed Consolidated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color w:val="0563C1"/>
                  <w:sz w:val="20"/>
                  <w:u w:val="single"/>
                </w:rPr>
                <w:t>Condensed Consolidated Statements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Arial" w:hAnsi="Arial"/>
                  <w:color w:val="0563C1"/>
                  <w:sz w:val="20"/>
                  <w:u w:val="single"/>
                </w:rPr>
                <w:t>Condensed Consolidated Statements of Comprehensive Loss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Arial" w:hAnsi="Arial"/>
                  <w:color w:val="0563C1"/>
                  <w:sz w:val="20"/>
                  <w:u w:val="single"/>
                </w:rPr>
                <w:t>Condensed Consolidated Statements of Stockholders’ Equity</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Arial" w:hAnsi="Arial"/>
                  <w:color w:val="0563C1"/>
                  <w:sz w:val="20"/>
                  <w:u w:val="single"/>
                </w:rPr>
                <w:t>Condensed Consolidated Statements of Cash Flows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Arial" w:hAnsi="Arial"/>
                  <w:color w:val="0563C1"/>
                  <w:sz w:val="20"/>
                  <w:u w:val="single"/>
                </w:rPr>
                <w:t>Notes to Unaudited Condensed Consolidated Financial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563C1"/>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563C1"/>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563C1"/>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563C1"/>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563C1"/>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563C1"/>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563C1"/>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563C1"/>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INTRODUCTORY NOTE</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On February 10, 2024, ContextLogic Inc. (the “Company” or “ContextLogic”) entered into an asset purchase agreement (the “Asset Purchase Agreement”) with Qoo10 Inc., a Delaware corporation (“Qoo10 Delaware”), and, for certain specified purposes, Qoo10 Pte. Ltd., a Singapore private limited company and Qoo10 Delaware’s parent company (“Qoo10”), pursuant to which (i) the Company agreed to sell substantially all of its assets to Qoo10 Delaware or an affiliate designated by Qoo10 Delaware (such designated affiliate, the “Buyer”), other than (A) the Company’s net operating losses (“NOLs”) and certain other tax attributes, (B) the Company’s marketable securities and (C) certain of the Company’s cash and cash equivalents, and (ii) Qoo10 agreed to acquire those assets and assume substantially all of the Company’s liabilities as specified in the Asset Purchase Agreement (the “Asset Sale”). On April 18, 2024, the holders of a majority of the outstanding shares of the Company’s common stock voted to approve the Asset Sale. Pursuant to such vote and satisfaction of other customary closing conditions, the Asset Sale closed on April 19, 2024, and as a result of Asset Sale, the Company had approximately $161 million in cash, cash equivalents and marketable securities (consisting of government securities) immediately following the closing of that transaction (“Post-Closing Cash”) as well as the NOLs and other tax attributes described above.</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owned and operated the Wish platform (“Wish”), which is a mobile ecommerce platform that provides a shopping experience that is mobile-first and discovery-based, which connects merchants’ products to users based on user preferences. As a result of the Asset Sale, the Wish platform and all related operating assets were sold to the Buyer. The financial statements presented in this Quarterly Report on Form 10-Q do not reflect the Asset Sale or any of our operations after the closing, since the Asset Sale was not completed until after the end of the first quarter of 2024. Accordingly, the financial statements and the narrative description of the Company’s business, assets, liabilities and risks contained in the related Notes to Unaudited Condensed Consolidated Financial Statements, as well as in the accompanying Management’s Discussion and Analysis of Financial Condition and Results of Operations, speak as of March 31, 2024 and do not reflect the impact of the Asset Sale, unless expressly noted otherwise.</w:t>
      </w:r>
    </w:p>
    <w:p>
      <w:pPr>
        <w:pStyle w:val="TextBody"/>
        <w:bidi w:val="0"/>
        <w:spacing w:before="180" w:after="283"/>
        <w:jc w:val="both"/>
        <w:rPr>
          <w:rFonts w:ascii="Arial" w:hAnsi="Arial"/>
          <w:color w:val="000000"/>
          <w:sz w:val="20"/>
        </w:rPr>
      </w:pPr>
      <w:r>
        <w:rPr>
          <w:rFonts w:ascii="Arial" w:hAnsi="Arial"/>
          <w:color w:val="000000"/>
          <w:sz w:val="20"/>
        </w:rPr>
        <w:t>The Company expects to begin trading under a new Nasdaq ticker symbol, “LOGC,” within 30 days of April 19, 2024.</w:t>
      </w:r>
    </w:p>
    <w:p>
      <w:pPr>
        <w:pStyle w:val="TextBody"/>
        <w:bidi w:val="0"/>
        <w:jc w:val="center"/>
        <w:rPr>
          <w:rFonts w:ascii="Arial" w:hAnsi="Arial"/>
          <w:color w:val="000000"/>
          <w:sz w:val="20"/>
        </w:rPr>
      </w:pP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special_note_regarding_forward_looking"/>
      <w:bookmarkEnd w:id="2"/>
      <w:r>
        <w:rPr>
          <w:rFonts w:ascii="Arial" w:hAnsi="Arial"/>
          <w:b/>
          <w:color w:val="000000"/>
          <w:sz w:val="20"/>
        </w:rPr>
        <w:t>SPECIAL NOTE REGARDING FORWARD-LOOKING STATEMENTS</w:t>
      </w:r>
    </w:p>
    <w:p>
      <w:pPr>
        <w:pStyle w:val="TextBody"/>
        <w:bidi w:val="0"/>
        <w:spacing w:before="180" w:after="283"/>
        <w:jc w:val="both"/>
        <w:rPr>
          <w:rFonts w:ascii="Arial" w:hAnsi="Arial"/>
          <w:color w:val="000000"/>
          <w:sz w:val="20"/>
        </w:rPr>
      </w:pPr>
      <w:r>
        <w:rPr>
          <w:rFonts w:ascii="Arial" w:hAnsi="Arial"/>
          <w:color w:val="000000"/>
          <w:sz w:val="20"/>
        </w:rPr>
        <w:t>This Quarterly Report on Form 10-Q contains forward-looking statements within the meaning of Section 27A of the Securities Act of 1933, as amended, and Section 21E of the Securities Exchange Act of 1934, as amended ("Exchange Act"), which statements involve substantial risks and uncertainties. Forward-looking statements include all statements that are not historical facts such as information concerning the strategic alternatives considered by our Board of Directors, including the decisions taken thereto and alternatives for the use of the Post-Closing Cash, our possible or assumed future results of operations and expenses, management strategies and plans, competitive position, business environment, potential growth strategies and opportunities and our continued listing on Nasdaq. In some cases, forward-looking statements can be identified by terms such as “anticipates,” “believes,” “could,” “estimates,” “expects,” “foresees,” “forecasts,” “intends,” “goals,” “may,” “might,” “outlook,” “plans,” “potential,” “predicts,” “projects,” “seeks,” “should,” “targets,” “will,” “would” or similar expressions and the negatives of those terms.</w:t>
      </w:r>
    </w:p>
    <w:p>
      <w:pPr>
        <w:pStyle w:val="TextBody"/>
        <w:bidi w:val="0"/>
        <w:spacing w:before="180" w:after="283"/>
        <w:jc w:val="both"/>
        <w:rPr>
          <w:rFonts w:ascii="Times New Roman" w:hAnsi="Times New Roman"/>
          <w:sz w:val="20"/>
        </w:rPr>
      </w:pPr>
      <w:r>
        <w:rPr>
          <w:rFonts w:ascii="Arial" w:hAnsi="Arial"/>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“Risk Factors” in this Quarterly Report on Form 10-Q, as well as in our condensed consolidated financial statements, related notes, and the other information appearing elsewhere in this Quarterly Report on Form 10-Q, and our other filings with the Securities and Exchange Commission (“SEC”).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addition, statements that “we believe” and similar statements reflect our beliefs and opinions on the relevant subject, including, but not limited to, statements regarding the strategic alternatives considered by our Board of Directors, including the decisions taken thereto; future financial performance; our future liquidity and operating expenditures; financial condition and results of operations; competitive changes in the marketplace; the outcome of ongoing litigation; our expected tax rate; the effect of changes in or the application of new or revised tax laws; the effect of new accounting pronouncements; and other characterizations of future events or circumstances.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80" w:after="283"/>
        <w:jc w:val="both"/>
        <w:rPr>
          <w:rFonts w:ascii="Arial" w:hAnsi="Arial"/>
          <w:color w:val="000000"/>
          <w:sz w:val="20"/>
        </w:rPr>
      </w:pPr>
      <w:r>
        <w:rPr>
          <w:rFonts w:ascii="Arial" w:hAnsi="Arial"/>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180" w:after="283"/>
        <w:jc w:val="both"/>
        <w:rPr>
          <w:rFonts w:ascii="Arial" w:hAnsi="Arial"/>
          <w:color w:val="000000"/>
          <w:sz w:val="20"/>
        </w:rPr>
      </w:pPr>
      <w:r>
        <w:rPr>
          <w:rFonts w:ascii="Arial" w:hAnsi="Arial"/>
          <w:color w:val="000000"/>
          <w:sz w:val="20"/>
        </w:rPr>
        <w:t>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3" w:name="part_ifinancial_information"/>
      <w:bookmarkEnd w:id="3"/>
      <w:r>
        <w:rPr>
          <w:rFonts w:ascii="Arial" w:hAnsi="Arial"/>
          <w:b/>
          <w:color w:val="000000"/>
          <w:sz w:val="20"/>
        </w:rPr>
        <w:t>PART I—FINANCIAL INFORMATION</w:t>
      </w:r>
    </w:p>
    <w:p>
      <w:pPr>
        <w:pStyle w:val="TextBody"/>
        <w:bidi w:val="0"/>
        <w:spacing w:before="120" w:after="283"/>
        <w:jc w:val="left"/>
        <w:rPr>
          <w:rFonts w:ascii="Arial" w:hAnsi="Arial"/>
          <w:b/>
          <w:color w:val="000000"/>
          <w:sz w:val="20"/>
        </w:rPr>
      </w:pPr>
      <w:bookmarkStart w:id="4" w:name="item_1_financial_statements_unaudited"/>
      <w:bookmarkEnd w:id="4"/>
      <w:r>
        <w:rPr>
          <w:rFonts w:ascii="Arial" w:hAnsi="Arial"/>
          <w:b/>
          <w:color w:val="000000"/>
          <w:sz w:val="20"/>
        </w:rPr>
        <w:t>Item 1. Condensed Consolidated Financial Statements (Unaudited)</w:t>
      </w:r>
    </w:p>
    <w:p>
      <w:pPr>
        <w:pStyle w:val="TextBody"/>
        <w:bidi w:val="0"/>
        <w:spacing w:before="360" w:after="283"/>
        <w:jc w:val="center"/>
        <w:rPr>
          <w:rFonts w:ascii="Arial" w:hAnsi="Arial"/>
          <w:b/>
          <w:color w:val="000000"/>
          <w:sz w:val="20"/>
        </w:rPr>
      </w:pPr>
      <w:r>
        <w:rPr>
          <w:rFonts w:ascii="Arial" w:hAnsi="Arial"/>
          <w:b/>
          <w:color w:val="000000"/>
          <w:sz w:val="20"/>
        </w:rPr>
        <w:t>CONTEXTLOGIC INC.</w:t>
      </w:r>
    </w:p>
    <w:p>
      <w:pPr>
        <w:pStyle w:val="TextBody"/>
        <w:bidi w:val="0"/>
        <w:jc w:val="center"/>
        <w:rPr>
          <w:rFonts w:ascii="Times New Roman" w:hAnsi="Times New Roman"/>
          <w:sz w:val="20"/>
        </w:rPr>
      </w:pPr>
      <w:bookmarkStart w:id="5" w:name="condensed_consolidated_balance_sheets"/>
      <w:bookmarkEnd w:id="5"/>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 in millions, shares in thousands, except par value)</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1"/>
        <w:gridCol w:w="146"/>
        <w:gridCol w:w="248"/>
        <w:gridCol w:w="723"/>
        <w:gridCol w:w="166"/>
        <w:gridCol w:w="146"/>
        <w:gridCol w:w="299"/>
        <w:gridCol w:w="873"/>
        <w:gridCol w:w="593"/>
      </w:tblGrid>
      <w:tr>
        <w:trPr/>
        <w:tc>
          <w:tcPr>
            <w:tcW w:w="7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w:t>
            </w:r>
          </w:p>
        </w:tc>
        <w:tc>
          <w:tcPr>
            <w:tcW w:w="593" w:type="dxa"/>
            <w:tcBorders/>
            <w:shd w:fill="FFFFFF" w:val="clear"/>
            <w:vAlign w:val="center"/>
          </w:tcPr>
          <w:p>
            <w:pPr>
              <w:pStyle w:val="TableContents"/>
              <w:bidi w:val="0"/>
              <w:spacing w:before="0" w:after="283"/>
              <w:jc w:val="center"/>
              <w:rPr/>
            </w:pPr>
            <w:r>
              <w:rPr/>
              <w:t> </w:t>
            </w:r>
          </w:p>
        </w:tc>
      </w:tr>
      <w:tr>
        <w:trPr/>
        <w:tc>
          <w:tcPr>
            <w:tcW w:w="7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971"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0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Current assets:</w:t>
            </w:r>
          </w:p>
        </w:tc>
        <w:tc>
          <w:tcPr>
            <w:tcW w:w="146" w:type="dxa"/>
            <w:tcBorders/>
            <w:shd w:fill="FFFFFF" w:val="clear"/>
            <w:vAlign w:val="center"/>
          </w:tcPr>
          <w:p>
            <w:pPr>
              <w:pStyle w:val="TableContents"/>
              <w:bidi w:val="0"/>
              <w:spacing w:before="0" w:after="283"/>
              <w:jc w:val="left"/>
              <w:rPr/>
            </w:pPr>
            <w:r>
              <w:rPr/>
              <w:t> </w:t>
            </w:r>
          </w:p>
        </w:tc>
        <w:tc>
          <w:tcPr>
            <w:tcW w:w="9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01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238</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1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Marketable securities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144</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1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Funds receivable</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1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1" w:type="dxa"/>
            <w:tcBorders/>
            <w:shd w:fill="CFF0FC" w:val="clear"/>
            <w:vAlign w:val="center"/>
          </w:tcPr>
          <w:p>
            <w:pPr>
              <w:pStyle w:val="TableContents"/>
              <w:bidi w:val="0"/>
              <w:spacing w:before="0" w:after="283"/>
              <w:ind w:left="400" w:right="0" w:firstLine="400"/>
              <w:jc w:val="left"/>
              <w:rPr>
                <w:rFonts w:ascii="Arial" w:hAnsi="Arial"/>
                <w:color w:val="000000"/>
                <w:sz w:val="16"/>
              </w:rPr>
            </w:pPr>
            <w:r>
              <w:rPr>
                <w:rFonts w:ascii="Arial" w:hAnsi="Arial"/>
                <w:color w:val="000000"/>
                <w:sz w:val="16"/>
              </w:rPr>
              <w:t>Total current assets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410</w:t>
            </w:r>
          </w:p>
        </w:tc>
        <w:tc>
          <w:tcPr>
            <w:tcW w:w="593" w:type="dxa"/>
            <w:tcBorders/>
            <w:shd w:fill="CFF0FC" w:val="clear"/>
            <w:vAlign w:val="center"/>
          </w:tcPr>
          <w:p>
            <w:pPr>
              <w:pStyle w:val="TableContents"/>
              <w:bidi w:val="0"/>
              <w:spacing w:before="0" w:after="283"/>
              <w:jc w:val="left"/>
              <w:rPr/>
            </w:pPr>
            <w:r>
              <w:rPr/>
              <w:t> </w:t>
            </w:r>
          </w:p>
        </w:tc>
      </w:tr>
      <w:tr>
        <w:trPr/>
        <w:tc>
          <w:tcPr>
            <w:tcW w:w="70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Property and equipment, net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593" w:type="dxa"/>
            <w:tcBorders/>
            <w:shd w:fill="FFFFFF" w:val="clear"/>
            <w:vAlign w:val="center"/>
          </w:tcPr>
          <w:p>
            <w:pPr>
              <w:pStyle w:val="TableContents"/>
              <w:bidi w:val="0"/>
              <w:spacing w:before="0" w:after="283"/>
              <w:jc w:val="left"/>
              <w:rPr/>
            </w:pPr>
            <w:r>
              <w:rPr/>
              <w:t> </w:t>
            </w:r>
          </w:p>
        </w:tc>
      </w:tr>
      <w:tr>
        <w:trPr/>
        <w:tc>
          <w:tcPr>
            <w:tcW w:w="70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Right-of-use assets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593" w:type="dxa"/>
            <w:tcBorders/>
            <w:shd w:fill="CFF0FC" w:val="clear"/>
            <w:vAlign w:val="center"/>
          </w:tcPr>
          <w:p>
            <w:pPr>
              <w:pStyle w:val="TableContents"/>
              <w:bidi w:val="0"/>
              <w:spacing w:before="0" w:after="283"/>
              <w:jc w:val="left"/>
              <w:rPr/>
            </w:pPr>
            <w:r>
              <w:rPr/>
              <w:t> </w:t>
            </w:r>
          </w:p>
        </w:tc>
      </w:tr>
      <w:tr>
        <w:trPr/>
        <w:tc>
          <w:tcPr>
            <w:tcW w:w="70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Total assets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423</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9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Current liabilities:</w:t>
            </w:r>
          </w:p>
        </w:tc>
        <w:tc>
          <w:tcPr>
            <w:tcW w:w="146" w:type="dxa"/>
            <w:tcBorders/>
            <w:shd w:fill="CFF0FC" w:val="clear"/>
            <w:vAlign w:val="center"/>
          </w:tcPr>
          <w:p>
            <w:pPr>
              <w:pStyle w:val="TableContents"/>
              <w:bidi w:val="0"/>
              <w:spacing w:before="0" w:after="283"/>
              <w:jc w:val="left"/>
              <w:rPr/>
            </w:pPr>
            <w:r>
              <w:rPr/>
              <w:t> </w:t>
            </w:r>
          </w:p>
        </w:tc>
        <w:tc>
          <w:tcPr>
            <w:tcW w:w="9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701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Accounts payable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1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Merchants payable</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74</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1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Refunds liability</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1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Accrued liabilities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1" w:type="dxa"/>
            <w:tcBorders/>
            <w:shd w:fill="FFFFFF" w:val="clear"/>
            <w:vAlign w:val="center"/>
          </w:tcPr>
          <w:p>
            <w:pPr>
              <w:pStyle w:val="TableContents"/>
              <w:bidi w:val="0"/>
              <w:spacing w:before="0" w:after="283"/>
              <w:ind w:left="400" w:right="0" w:firstLine="400"/>
              <w:jc w:val="left"/>
              <w:rPr>
                <w:rFonts w:ascii="Arial" w:hAnsi="Arial"/>
                <w:color w:val="000000"/>
                <w:sz w:val="16"/>
              </w:rPr>
            </w:pPr>
            <w:r>
              <w:rPr>
                <w:rFonts w:ascii="Arial" w:hAnsi="Arial"/>
                <w:color w:val="000000"/>
                <w:sz w:val="16"/>
              </w:rPr>
              <w:t>Total current liabilities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196</w:t>
            </w:r>
          </w:p>
        </w:tc>
        <w:tc>
          <w:tcPr>
            <w:tcW w:w="593" w:type="dxa"/>
            <w:tcBorders/>
            <w:shd w:fill="FFFFFF" w:val="clear"/>
            <w:vAlign w:val="center"/>
          </w:tcPr>
          <w:p>
            <w:pPr>
              <w:pStyle w:val="TableContents"/>
              <w:bidi w:val="0"/>
              <w:spacing w:before="0" w:after="283"/>
              <w:jc w:val="left"/>
              <w:rPr/>
            </w:pPr>
            <w:r>
              <w:rPr/>
              <w:t> </w:t>
            </w:r>
          </w:p>
        </w:tc>
      </w:tr>
      <w:tr>
        <w:trPr/>
        <w:tc>
          <w:tcPr>
            <w:tcW w:w="70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Lease liabilities, non-current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593" w:type="dxa"/>
            <w:tcBorders/>
            <w:shd w:fill="CFF0FC" w:val="clear"/>
            <w:vAlign w:val="center"/>
          </w:tcPr>
          <w:p>
            <w:pPr>
              <w:pStyle w:val="TableContents"/>
              <w:bidi w:val="0"/>
              <w:spacing w:before="0" w:after="283"/>
              <w:jc w:val="left"/>
              <w:rPr/>
            </w:pPr>
            <w:r>
              <w:rPr/>
              <w:t> </w:t>
            </w:r>
          </w:p>
        </w:tc>
      </w:tr>
      <w:tr>
        <w:trPr/>
        <w:tc>
          <w:tcPr>
            <w:tcW w:w="70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Commitments and contingencies (Note 7)</w:t>
            </w:r>
          </w:p>
        </w:tc>
        <w:tc>
          <w:tcPr>
            <w:tcW w:w="146" w:type="dxa"/>
            <w:tcBorders/>
            <w:shd w:fill="FFFFFF" w:val="clear"/>
            <w:vAlign w:val="center"/>
          </w:tcPr>
          <w:p>
            <w:pPr>
              <w:pStyle w:val="TableContents"/>
              <w:bidi w:val="0"/>
              <w:spacing w:before="0" w:after="283"/>
              <w:jc w:val="left"/>
              <w:rPr/>
            </w:pPr>
            <w:r>
              <w:rPr/>
              <w:t> </w:t>
            </w:r>
          </w:p>
        </w:tc>
        <w:tc>
          <w:tcPr>
            <w:tcW w:w="9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Stockholders’ equity:</w:t>
            </w:r>
          </w:p>
        </w:tc>
        <w:tc>
          <w:tcPr>
            <w:tcW w:w="146" w:type="dxa"/>
            <w:tcBorders/>
            <w:shd w:fill="CFF0FC" w:val="clear"/>
            <w:vAlign w:val="center"/>
          </w:tcPr>
          <w:p>
            <w:pPr>
              <w:pStyle w:val="TableContents"/>
              <w:bidi w:val="0"/>
              <w:spacing w:before="0" w:after="283"/>
              <w:jc w:val="left"/>
              <w:rPr/>
            </w:pPr>
            <w:r>
              <w:rPr/>
              <w:t> </w:t>
            </w:r>
          </w:p>
        </w:tc>
        <w:tc>
          <w:tcPr>
            <w:tcW w:w="9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701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6"/>
              </w:rPr>
              <w:t>Preferred stock, $0.0001</w:t>
            </w:r>
            <w:r>
              <w:rPr>
                <w:rFonts w:ascii="Times New Roman" w:hAnsi="Times New Roman"/>
                <w:color w:val="000000"/>
                <w:sz w:val="20"/>
              </w:rPr>
              <w:t> </w:t>
            </w:r>
            <w:r>
              <w:rPr>
                <w:rFonts w:ascii="Arial" w:hAnsi="Arial"/>
                <w:color w:val="000000"/>
                <w:sz w:val="16"/>
              </w:rPr>
              <w:t>par value: 100,000</w:t>
            </w:r>
            <w:r>
              <w:rPr>
                <w:rFonts w:ascii="Times New Roman" w:hAnsi="Times New Roman"/>
                <w:color w:val="000000"/>
                <w:sz w:val="20"/>
              </w:rPr>
              <w:t> </w:t>
            </w:r>
            <w:r>
              <w:rPr>
                <w:rFonts w:ascii="Arial" w:hAnsi="Arial"/>
                <w:color w:val="000000"/>
                <w:sz w:val="16"/>
              </w:rPr>
              <w:t>shares authorized as of March 31, 2024 and December 31, 2023; No</w:t>
            </w:r>
            <w:r>
              <w:rPr>
                <w:rFonts w:ascii="Times New Roman" w:hAnsi="Times New Roman"/>
                <w:color w:val="000000"/>
                <w:sz w:val="20"/>
              </w:rPr>
              <w:t> </w:t>
            </w:r>
            <w:r>
              <w:rPr>
                <w:rFonts w:ascii="Arial" w:hAnsi="Arial"/>
                <w:color w:val="000000"/>
                <w:sz w:val="16"/>
              </w:rPr>
              <w:t>shares issued and outstanding as of March 31, 2024 and December 31, 2023</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1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6"/>
              </w:rPr>
              <w:t>Common stock, $0.0001</w:t>
            </w:r>
            <w:r>
              <w:rPr>
                <w:rFonts w:ascii="Times New Roman" w:hAnsi="Times New Roman"/>
                <w:color w:val="000000"/>
                <w:sz w:val="20"/>
              </w:rPr>
              <w:t> </w:t>
            </w:r>
            <w:r>
              <w:rPr>
                <w:rFonts w:ascii="Arial" w:hAnsi="Arial"/>
                <w:color w:val="000000"/>
                <w:sz w:val="16"/>
              </w:rPr>
              <w:t>par value: 3,000,000</w:t>
            </w:r>
            <w:r>
              <w:rPr>
                <w:rFonts w:ascii="Times New Roman" w:hAnsi="Times New Roman"/>
                <w:color w:val="000000"/>
                <w:sz w:val="20"/>
              </w:rPr>
              <w:t> </w:t>
            </w:r>
            <w:r>
              <w:rPr>
                <w:rFonts w:ascii="Arial" w:hAnsi="Arial"/>
                <w:color w:val="000000"/>
                <w:sz w:val="16"/>
              </w:rPr>
              <w:t>shares authorized as of March 31, 2024 and December 31, 2023; 24,398</w:t>
            </w:r>
            <w:r>
              <w:rPr>
                <w:rFonts w:ascii="Times New Roman" w:hAnsi="Times New Roman"/>
                <w:color w:val="000000"/>
                <w:sz w:val="20"/>
              </w:rPr>
              <w:t> </w:t>
            </w:r>
            <w:r>
              <w:rPr>
                <w:rFonts w:ascii="Arial" w:hAnsi="Arial"/>
                <w:color w:val="000000"/>
                <w:sz w:val="16"/>
              </w:rPr>
              <w:t>and 24,229</w:t>
            </w:r>
            <w:r>
              <w:rPr>
                <w:rFonts w:ascii="Times New Roman" w:hAnsi="Times New Roman"/>
                <w:color w:val="000000"/>
                <w:sz w:val="20"/>
              </w:rPr>
              <w:t> </w:t>
            </w:r>
            <w:r>
              <w:rPr>
                <w:rFonts w:ascii="Arial" w:hAnsi="Arial"/>
                <w:color w:val="000000"/>
                <w:sz w:val="16"/>
              </w:rPr>
              <w:t>shares issued and outstanding as of March 31,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color w:val="000000"/>
              </w:rPr>
            </w:pPr>
            <w:r>
              <w:rPr>
                <w:color w:val="000000"/>
              </w:rPr>
              <w:t>—</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1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Additional paid-in capital</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3,478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3,470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1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593" w:type="dxa"/>
            <w:tcBorders/>
            <w:shd w:fill="CFF0FC"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701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Accumulated deficit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(3,246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0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Total stockholders’ equity</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423</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aps/>
          <w:color w:val="000000"/>
          <w:sz w:val="20"/>
        </w:rPr>
      </w:pPr>
      <w:r>
        <w:rPr>
          <w:rFonts w:ascii="Arial" w:hAnsi="Arial"/>
          <w:b/>
          <w:caps/>
          <w:color w:val="000000"/>
          <w:sz w:val="20"/>
        </w:rPr>
        <w:t>CONTEXTLOGIC INC.</w:t>
      </w:r>
    </w:p>
    <w:p>
      <w:pPr>
        <w:pStyle w:val="TextBody"/>
        <w:bidi w:val="0"/>
        <w:jc w:val="center"/>
        <w:rPr>
          <w:rFonts w:ascii="Times New Roman" w:hAnsi="Times New Roman"/>
          <w:sz w:val="20"/>
        </w:rPr>
      </w:pPr>
      <w:bookmarkStart w:id="6" w:name="condensed_consolidated_statements_operat"/>
      <w:bookmarkEnd w:id="6"/>
      <w:r>
        <w:rPr>
          <w:rFonts w:ascii="Arial" w:hAnsi="Arial"/>
          <w:b/>
          <w:caps/>
          <w:color w:val="000000"/>
          <w:sz w:val="20"/>
        </w:rPr>
        <w:t>CONDENSED CONSOLIDATED STATEMENTS OF OPERATIONS</w:t>
      </w:r>
      <w:r>
        <w:rPr>
          <w:rFonts w:ascii="Times New Roman" w:hAnsi="Times New Roman"/>
          <w:caps/>
          <w:color w:val="000000"/>
          <w:sz w:val="20"/>
        </w:rPr>
        <w:t xml:space="preserve"> </w:t>
      </w:r>
    </w:p>
    <w:p>
      <w:pPr>
        <w:pStyle w:val="TextBody"/>
        <w:bidi w:val="0"/>
        <w:jc w:val="center"/>
        <w:rPr>
          <w:rFonts w:ascii="Arial" w:hAnsi="Arial"/>
          <w:b/>
          <w:color w:val="000000"/>
          <w:sz w:val="20"/>
        </w:rPr>
      </w:pPr>
      <w:r>
        <w:rPr>
          <w:rFonts w:ascii="Arial" w:hAnsi="Arial"/>
          <w:b/>
          <w:color w:val="000000"/>
          <w:sz w:val="20"/>
        </w:rPr>
        <w:t>($ in millions, shares in thousands, except per share data)</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9915" w:type="dxa"/>
        <w:jc w:val="left"/>
        <w:tblInd w:w="0" w:type="dxa"/>
        <w:tblLayout w:type="fixed"/>
        <w:tblCellMar>
          <w:top w:w="28" w:type="dxa"/>
          <w:left w:w="28" w:type="dxa"/>
          <w:bottom w:w="28" w:type="dxa"/>
          <w:right w:w="28" w:type="dxa"/>
        </w:tblCellMar>
      </w:tblPr>
      <w:tblGrid>
        <w:gridCol w:w="6766"/>
        <w:gridCol w:w="146"/>
        <w:gridCol w:w="211"/>
        <w:gridCol w:w="676"/>
        <w:gridCol w:w="166"/>
        <w:gridCol w:w="146"/>
        <w:gridCol w:w="211"/>
        <w:gridCol w:w="676"/>
        <w:gridCol w:w="166"/>
        <w:gridCol w:w="751"/>
      </w:tblGrid>
      <w:tr>
        <w:trPr/>
        <w:tc>
          <w:tcPr>
            <w:tcW w:w="6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6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166" w:type="dxa"/>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left"/>
              <w:rPr/>
            </w:pPr>
            <w:r>
              <w:rPr/>
              <w:t> </w:t>
            </w:r>
          </w:p>
        </w:tc>
      </w:tr>
      <w:tr>
        <w:trPr/>
        <w:tc>
          <w:tcPr>
            <w:tcW w:w="6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left"/>
              <w:rPr/>
            </w:pPr>
            <w:r>
              <w:rPr/>
              <w:t> </w:t>
            </w:r>
          </w:p>
        </w:tc>
      </w:tr>
      <w:tr>
        <w:trPr/>
        <w:tc>
          <w:tcPr>
            <w:tcW w:w="6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left"/>
              <w:rPr/>
            </w:pPr>
            <w:r>
              <w:rPr/>
              <w:t> </w:t>
            </w:r>
          </w:p>
        </w:tc>
      </w:tr>
      <w:tr>
        <w:trPr/>
        <w:tc>
          <w:tcPr>
            <w:tcW w:w="67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96</w:t>
            </w:r>
          </w:p>
        </w:tc>
        <w:tc>
          <w:tcPr>
            <w:tcW w:w="16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left"/>
              <w:rPr/>
            </w:pPr>
            <w:r>
              <w:rPr/>
              <w:t> </w:t>
            </w:r>
          </w:p>
        </w:tc>
      </w:tr>
      <w:tr>
        <w:trPr/>
        <w:tc>
          <w:tcPr>
            <w:tcW w:w="67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676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67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676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6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6766"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Product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16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676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ind w:left="0" w:right="0" w:firstLine="560"/>
              <w:jc w:val="left"/>
              <w:rPr/>
            </w:pPr>
            <w:r>
              <w:rPr/>
              <w:t> </w:t>
            </w:r>
          </w:p>
        </w:tc>
      </w:tr>
      <w:tr>
        <w:trPr/>
        <w:tc>
          <w:tcPr>
            <w:tcW w:w="6766" w:type="dxa"/>
            <w:tcBorders/>
            <w:shd w:fill="FFFFFF" w:val="clear"/>
            <w:vAlign w:val="center"/>
          </w:tcPr>
          <w:p>
            <w:pPr>
              <w:pStyle w:val="TableContents"/>
              <w:bidi w:val="0"/>
              <w:spacing w:before="0" w:after="283"/>
              <w:ind w:left="560" w:right="0" w:firstLine="560"/>
              <w:jc w:val="left"/>
              <w:rPr>
                <w:rFonts w:ascii="Arial" w:hAnsi="Arial"/>
                <w:color w:val="000000"/>
                <w:sz w:val="18"/>
              </w:rPr>
            </w:pPr>
            <w:r>
              <w:rPr>
                <w:rFonts w:ascii="Arial" w:hAnsi="Arial"/>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r>
      <w:tr>
        <w:trPr/>
        <w:tc>
          <w:tcPr>
            <w:tcW w:w="67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vAlign w:val="center"/>
          </w:tcPr>
          <w:p>
            <w:pPr>
              <w:pStyle w:val="TableContents"/>
              <w:bidi w:val="0"/>
              <w:spacing w:before="0" w:after="283"/>
              <w:jc w:val="left"/>
              <w:rPr/>
            </w:pPr>
            <w:r>
              <w:rPr/>
              <w:t> </w:t>
            </w:r>
          </w:p>
        </w:tc>
      </w:tr>
      <w:tr>
        <w:trPr/>
        <w:tc>
          <w:tcPr>
            <w:tcW w:w="67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676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Interest and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left"/>
              <w:rPr/>
            </w:pPr>
            <w:r>
              <w:rPr/>
              <w:t> </w:t>
            </w:r>
          </w:p>
        </w:tc>
      </w:tr>
      <w:tr>
        <w:trPr/>
        <w:tc>
          <w:tcPr>
            <w:tcW w:w="67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FFFFFF" w:val="clear"/>
            <w:vAlign w:val="center"/>
          </w:tcPr>
          <w:p>
            <w:pPr>
              <w:pStyle w:val="TableContents"/>
              <w:bidi w:val="0"/>
              <w:spacing w:before="0" w:after="283"/>
              <w:jc w:val="left"/>
              <w:rPr/>
            </w:pPr>
            <w:r>
              <w:rPr/>
              <w:t> </w:t>
            </w:r>
          </w:p>
        </w:tc>
      </w:tr>
      <w:tr>
        <w:trPr/>
        <w:tc>
          <w:tcPr>
            <w:tcW w:w="67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left"/>
              <w:rPr/>
            </w:pPr>
            <w:r>
              <w:rPr/>
              <w:t> </w:t>
            </w:r>
          </w:p>
        </w:tc>
      </w:tr>
      <w:tr>
        <w:trPr/>
        <w:tc>
          <w:tcPr>
            <w:tcW w:w="67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FFFFFF" w:val="clear"/>
            <w:vAlign w:val="center"/>
          </w:tcPr>
          <w:p>
            <w:pPr>
              <w:pStyle w:val="TableContents"/>
              <w:bidi w:val="0"/>
              <w:spacing w:before="0" w:after="283"/>
              <w:jc w:val="left"/>
              <w:rPr/>
            </w:pPr>
            <w:r>
              <w:rPr/>
              <w:t> </w:t>
            </w:r>
          </w:p>
        </w:tc>
      </w:tr>
      <w:tr>
        <w:trPr/>
        <w:tc>
          <w:tcPr>
            <w:tcW w:w="67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vAlign w:val="center"/>
          </w:tcPr>
          <w:p>
            <w:pPr>
              <w:pStyle w:val="TableContents"/>
              <w:bidi w:val="0"/>
              <w:spacing w:before="0" w:after="283"/>
              <w:jc w:val="left"/>
              <w:rPr/>
            </w:pPr>
            <w:r>
              <w:rPr/>
              <w:t> </w:t>
            </w:r>
          </w:p>
        </w:tc>
      </w:tr>
      <w:tr>
        <w:trPr/>
        <w:tc>
          <w:tcPr>
            <w:tcW w:w="67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used in computing 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aps/>
          <w:color w:val="000000"/>
          <w:sz w:val="20"/>
        </w:rPr>
      </w:pPr>
      <w:r>
        <w:rPr>
          <w:rFonts w:ascii="Arial" w:hAnsi="Arial"/>
          <w:b/>
          <w:caps/>
          <w:color w:val="000000"/>
          <w:sz w:val="20"/>
        </w:rPr>
        <w:t>CONTEXTLOGIC INC.</w:t>
      </w:r>
    </w:p>
    <w:p>
      <w:pPr>
        <w:pStyle w:val="TextBody"/>
        <w:bidi w:val="0"/>
        <w:jc w:val="center"/>
        <w:rPr>
          <w:rFonts w:ascii="Times New Roman" w:hAnsi="Times New Roman"/>
          <w:sz w:val="20"/>
        </w:rPr>
      </w:pPr>
      <w:bookmarkStart w:id="7" w:name="condensed_consolidated_statements_compre"/>
      <w:bookmarkEnd w:id="7"/>
      <w:r>
        <w:rPr>
          <w:rFonts w:ascii="Arial" w:hAnsi="Arial"/>
          <w:b/>
          <w:caps/>
          <w:color w:val="000000"/>
          <w:sz w:val="20"/>
        </w:rPr>
        <w:t>CONDENSED CONSOLIDATED STATEMENTS OF COMPREHENSIVE LOSS</w:t>
      </w:r>
      <w:r>
        <w:rPr>
          <w:rFonts w:ascii="Times New Roman" w:hAnsi="Times New Roman"/>
          <w:caps/>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millions)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9440" w:type="dxa"/>
        <w:jc w:val="left"/>
        <w:tblInd w:w="0" w:type="dxa"/>
        <w:tblLayout w:type="fixed"/>
        <w:tblCellMar>
          <w:top w:w="28" w:type="dxa"/>
          <w:left w:w="28" w:type="dxa"/>
          <w:bottom w:w="28" w:type="dxa"/>
          <w:right w:w="28" w:type="dxa"/>
        </w:tblCellMar>
      </w:tblPr>
      <w:tblGrid>
        <w:gridCol w:w="6686"/>
        <w:gridCol w:w="146"/>
        <w:gridCol w:w="264"/>
        <w:gridCol w:w="470"/>
        <w:gridCol w:w="207"/>
        <w:gridCol w:w="182"/>
        <w:gridCol w:w="264"/>
        <w:gridCol w:w="470"/>
        <w:gridCol w:w="751"/>
      </w:tblGrid>
      <w:tr>
        <w:trPr/>
        <w:tc>
          <w:tcPr>
            <w:tcW w:w="6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6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7"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751" w:type="dxa"/>
            <w:tcBorders/>
            <w:shd w:fill="FFFFFF" w:val="clear"/>
            <w:vAlign w:val="center"/>
          </w:tcPr>
          <w:p>
            <w:pPr>
              <w:pStyle w:val="TableContents"/>
              <w:bidi w:val="0"/>
              <w:spacing w:before="0" w:after="283"/>
              <w:jc w:val="center"/>
              <w:rPr/>
            </w:pPr>
            <w:r>
              <w:rPr/>
              <w:t> </w:t>
            </w:r>
          </w:p>
        </w:tc>
      </w:tr>
      <w:tr>
        <w:trPr/>
        <w:tc>
          <w:tcPr>
            <w:tcW w:w="6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March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center"/>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20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2"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7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68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734" w:type="dxa"/>
            <w:gridSpan w:val="2"/>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668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Unrealized holding losses on derivatives and marketable securities, net of tax</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20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2"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6686"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Foreign currency translation adjustments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2" w:type="dxa"/>
            <w:tcBorders/>
            <w:shd w:fill="FFFFFF" w:val="cle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86" w:type="dxa"/>
            <w:tcBorders/>
            <w:shd w:fill="CFF0FC" w:val="clear"/>
            <w:vAlign w:val="center"/>
          </w:tcPr>
          <w:p>
            <w:pPr>
              <w:pStyle w:val="TableContents"/>
              <w:bidi w:val="0"/>
              <w:spacing w:before="0" w:after="283"/>
              <w:ind w:left="560" w:right="0" w:firstLine="560"/>
              <w:jc w:val="left"/>
              <w:rPr>
                <w:rFonts w:ascii="Arial" w:hAnsi="Arial"/>
                <w:color w:val="000000"/>
                <w:sz w:val="18"/>
              </w:rPr>
            </w:pPr>
            <w:r>
              <w:rPr>
                <w:rFonts w:ascii="Arial" w:hAnsi="Arial"/>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2" w:type="dxa"/>
            <w:tcBorders/>
            <w:shd w:fill="CFF0FC" w:val="cle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loss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2"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_statements_stockholders_equ"/>
      <w:bookmarkEnd w:id="8"/>
      <w:r>
        <w:rPr>
          <w:rFonts w:ascii="Arial" w:hAnsi="Arial"/>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 in millions, shares in thousands)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31"/>
        <w:gridCol w:w="146"/>
        <w:gridCol w:w="601"/>
        <w:gridCol w:w="151"/>
        <w:gridCol w:w="239"/>
        <w:gridCol w:w="422"/>
        <w:gridCol w:w="146"/>
        <w:gridCol w:w="238"/>
        <w:gridCol w:w="623"/>
        <w:gridCol w:w="151"/>
        <w:gridCol w:w="463"/>
        <w:gridCol w:w="818"/>
        <w:gridCol w:w="151"/>
        <w:gridCol w:w="277"/>
        <w:gridCol w:w="789"/>
        <w:gridCol w:w="151"/>
        <w:gridCol w:w="447"/>
        <w:gridCol w:w="861"/>
        <w:gridCol w:w="400"/>
      </w:tblGrid>
      <w:tr>
        <w:trPr/>
        <w:tc>
          <w:tcPr>
            <w:tcW w:w="3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3131" w:type="dxa"/>
            <w:tcBorders/>
            <w:shd w:fill="FFFFFF" w:val="clear"/>
            <w:vAlign w:val="center"/>
          </w:tcPr>
          <w:p>
            <w:pPr>
              <w:pStyle w:val="TableContents"/>
              <w:bidi w:val="0"/>
              <w:spacing w:before="0" w:after="283"/>
              <w:jc w:val="left"/>
              <w:rPr/>
            </w:pPr>
            <w:r>
              <w:rPr/>
              <w:t> </w:t>
            </w:r>
          </w:p>
        </w:tc>
        <w:tc>
          <w:tcPr>
            <w:tcW w:w="6674"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Three Months Ended March 31, 2024</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1" w:type="dxa"/>
            <w:tcBorders/>
            <w:shd w:fill="FFFFFF" w:val="clear"/>
            <w:vAlign w:val="center"/>
          </w:tcPr>
          <w:p>
            <w:pPr>
              <w:pStyle w:val="TableContents"/>
              <w:bidi w:val="0"/>
              <w:spacing w:before="0" w:after="283"/>
              <w:jc w:val="center"/>
              <w:rPr/>
            </w:pPr>
            <w:r>
              <w:rPr/>
              <w:t> </w:t>
            </w:r>
          </w:p>
        </w:tc>
        <w:tc>
          <w:tcPr>
            <w:tcW w:w="15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28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308" w:type="dxa"/>
            <w:gridSpan w:val="2"/>
            <w:tcBorders/>
            <w:shd w:fill="FFFFFF" w:val="clear"/>
            <w:vAlign w:val="center"/>
          </w:tcPr>
          <w:p>
            <w:pPr>
              <w:pStyle w:val="TableContents"/>
              <w:bidi w:val="0"/>
              <w:spacing w:before="0" w:after="283"/>
              <w:jc w:val="center"/>
              <w:rPr/>
            </w:pPr>
            <w:r>
              <w:rPr/>
              <w:t> </w:t>
            </w:r>
          </w:p>
        </w:tc>
        <w:tc>
          <w:tcPr>
            <w:tcW w:w="400" w:type="dxa"/>
            <w:tcBorders/>
            <w:shd w:fill="FFFFFF" w:val="clear"/>
            <w:vAlign w:val="center"/>
          </w:tcPr>
          <w:p>
            <w:pPr>
              <w:pStyle w:val="TableContents"/>
              <w:bidi w:val="0"/>
              <w:spacing w:before="0" w:after="283"/>
              <w:jc w:val="center"/>
              <w:rPr/>
            </w:pPr>
            <w:r>
              <w:rPr/>
              <w:t> </w:t>
            </w:r>
          </w:p>
        </w:tc>
      </w:tr>
      <w:tr>
        <w:trPr/>
        <w:tc>
          <w:tcPr>
            <w:tcW w:w="3131" w:type="dxa"/>
            <w:tcBorders/>
            <w:shd w:fill="FFFFFF" w:val="cle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 xml:space="preserve">Additional </w:t>
              <w:br/>
              <w:t xml:space="preserve">Paid-in </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br/>
              <w:t xml:space="preserve">Other </w:t>
              <w:br/>
              <w:t xml:space="preserve">Comprehensive </w:t>
              <w:b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 Stockholders'</w:t>
              <w:br/>
              <w:t>Equity</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1"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08" w:type="dxa"/>
            <w:gridSpan w:val="2"/>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r>
      <w:tr>
        <w:trPr/>
        <w:tc>
          <w:tcPr>
            <w:tcW w:w="313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Balances as of December 31, 2023</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24,229</w:t>
            </w:r>
          </w:p>
        </w:tc>
        <w:tc>
          <w:tcPr>
            <w:tcW w:w="151"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23"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3,470</w:t>
            </w:r>
          </w:p>
        </w:tc>
        <w:tc>
          <w:tcPr>
            <w:tcW w:w="151" w:type="dxa"/>
            <w:tcBorders/>
            <w:shd w:fill="CFF0FC" w:val="clear"/>
            <w:vAlign w:val="center"/>
          </w:tcPr>
          <w:p>
            <w:pPr>
              <w:pStyle w:val="TableContents"/>
              <w:bidi w:val="0"/>
              <w:spacing w:before="0" w:after="283"/>
              <w:jc w:val="left"/>
              <w:rPr/>
            </w:pPr>
            <w:r>
              <w:rPr/>
              <w:t> </w:t>
            </w:r>
          </w:p>
        </w:tc>
        <w:tc>
          <w:tcPr>
            <w:tcW w:w="463"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18"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(7</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77"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89"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(3,246</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47"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6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217</w:t>
            </w:r>
          </w:p>
        </w:tc>
        <w:tc>
          <w:tcPr>
            <w:tcW w:w="400" w:type="dxa"/>
            <w:tcBorders/>
            <w:shd w:fill="CFF0FC" w:val="clear"/>
            <w:vAlign w:val="center"/>
          </w:tcPr>
          <w:p>
            <w:pPr>
              <w:pStyle w:val="TableContents"/>
              <w:bidi w:val="0"/>
              <w:spacing w:before="0" w:after="283"/>
              <w:ind w:left="0" w:right="0" w:firstLine="200"/>
              <w:jc w:val="left"/>
              <w:rPr/>
            </w:pPr>
            <w:r>
              <w:rPr/>
              <w:t> </w:t>
            </w:r>
          </w:p>
        </w:tc>
      </w:tr>
      <w:tr>
        <w:trPr/>
        <w:tc>
          <w:tcPr>
            <w:tcW w:w="3131" w:type="dxa"/>
            <w:tcBorders/>
            <w:shd w:fill="FFFFFF"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Issuance of common stock upon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288</w:t>
            </w:r>
          </w:p>
        </w:tc>
        <w:tc>
          <w:tcPr>
            <w:tcW w:w="151"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400" w:type="dxa"/>
            <w:tcBorders/>
            <w:shd w:fill="FFFFFF" w:val="clear"/>
            <w:vAlign w:val="center"/>
          </w:tcPr>
          <w:p>
            <w:pPr>
              <w:pStyle w:val="TableContents"/>
              <w:bidi w:val="0"/>
              <w:spacing w:before="0" w:after="283"/>
              <w:ind w:left="0" w:right="0" w:firstLine="200"/>
              <w:jc w:val="left"/>
              <w:rPr/>
            </w:pPr>
            <w:r>
              <w:rPr/>
              <w:t> </w:t>
            </w:r>
          </w:p>
        </w:tc>
      </w:tr>
      <w:tr>
        <w:trPr/>
        <w:tc>
          <w:tcPr>
            <w:tcW w:w="3131" w:type="dxa"/>
            <w:tcBorders/>
            <w:shd w:fill="CFF0FC"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Shares withheld related to net share settlement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(119</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63"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447"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400" w:type="dxa"/>
            <w:tcBorders/>
            <w:shd w:fill="CFF0FC" w:val="cle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w:t>
            </w:r>
          </w:p>
        </w:tc>
      </w:tr>
      <w:tr>
        <w:trPr/>
        <w:tc>
          <w:tcPr>
            <w:tcW w:w="3131" w:type="dxa"/>
            <w:tcBorders/>
            <w:shd w:fill="FFFFFF"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9</w:t>
            </w:r>
          </w:p>
        </w:tc>
        <w:tc>
          <w:tcPr>
            <w:tcW w:w="151"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9</w:t>
            </w:r>
          </w:p>
        </w:tc>
        <w:tc>
          <w:tcPr>
            <w:tcW w:w="400" w:type="dxa"/>
            <w:tcBorders/>
            <w:shd w:fill="FFFFFF" w:val="clear"/>
            <w:vAlign w:val="center"/>
          </w:tcPr>
          <w:p>
            <w:pPr>
              <w:pStyle w:val="TableContents"/>
              <w:bidi w:val="0"/>
              <w:spacing w:before="0" w:after="283"/>
              <w:ind w:left="0" w:right="0" w:firstLine="200"/>
              <w:jc w:val="left"/>
              <w:rPr/>
            </w:pPr>
            <w:r>
              <w:rPr/>
              <w:t> </w:t>
            </w:r>
          </w:p>
        </w:tc>
      </w:tr>
      <w:tr>
        <w:trPr/>
        <w:tc>
          <w:tcPr>
            <w:tcW w:w="3131" w:type="dxa"/>
            <w:tcBorders/>
            <w:shd w:fill="CFF0FC"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Other comprehensive loss, net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463"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77"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447"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w:t>
            </w:r>
          </w:p>
        </w:tc>
        <w:tc>
          <w:tcPr>
            <w:tcW w:w="400" w:type="dxa"/>
            <w:tcBorders/>
            <w:shd w:fill="CFF0FC" w:val="cle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w:t>
            </w:r>
          </w:p>
        </w:tc>
      </w:tr>
      <w:tr>
        <w:trPr/>
        <w:tc>
          <w:tcPr>
            <w:tcW w:w="3131" w:type="dxa"/>
            <w:tcBorders/>
            <w:shd w:fill="FFFFFF"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(59</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313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Balances as of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24,398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3,478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(3,305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164</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66"/>
        <w:gridCol w:w="146"/>
        <w:gridCol w:w="601"/>
        <w:gridCol w:w="151"/>
        <w:gridCol w:w="239"/>
        <w:gridCol w:w="422"/>
        <w:gridCol w:w="146"/>
        <w:gridCol w:w="233"/>
        <w:gridCol w:w="608"/>
        <w:gridCol w:w="151"/>
        <w:gridCol w:w="456"/>
        <w:gridCol w:w="805"/>
        <w:gridCol w:w="151"/>
        <w:gridCol w:w="277"/>
        <w:gridCol w:w="789"/>
        <w:gridCol w:w="151"/>
        <w:gridCol w:w="450"/>
        <w:gridCol w:w="866"/>
        <w:gridCol w:w="397"/>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pPr>
            <w:r>
              <w:rPr/>
              <w:t> </w:t>
            </w:r>
          </w:p>
        </w:tc>
        <w:tc>
          <w:tcPr>
            <w:tcW w:w="664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Three Months Ended March 31, 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5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26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316" w:type="dxa"/>
            <w:gridSpan w:val="2"/>
            <w:tcBorders/>
            <w:shd w:fill="FFFFFF" w:val="clear"/>
            <w:vAlign w:val="center"/>
          </w:tcPr>
          <w:p>
            <w:pPr>
              <w:pStyle w:val="TableContents"/>
              <w:bidi w:val="0"/>
              <w:spacing w:before="0" w:after="283"/>
              <w:jc w:val="center"/>
              <w:rPr/>
            </w:pPr>
            <w:r>
              <w:rPr/>
              <w:t> </w:t>
            </w:r>
          </w:p>
        </w:tc>
        <w:tc>
          <w:tcPr>
            <w:tcW w:w="397"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Additional</w:t>
              <w:br/>
              <w:t xml:space="preserve">Paid-in </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br/>
              <w:t xml:space="preserve">Other </w:t>
              <w:br/>
              <w:t>Comprehensive</w:t>
              <w:b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 Stockholders'</w:t>
              <w:br/>
              <w:t>Equity</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16" w:type="dxa"/>
            <w:gridSpan w:val="2"/>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Balances as of December 31, 2022</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23,164</w:t>
            </w:r>
          </w:p>
        </w:tc>
        <w:tc>
          <w:tcPr>
            <w:tcW w:w="151"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8"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3,411</w:t>
            </w:r>
          </w:p>
        </w:tc>
        <w:tc>
          <w:tcPr>
            <w:tcW w:w="151"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05"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77"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89"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(2,929</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50"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6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477</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Issuance of common stock upon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320</w:t>
            </w:r>
          </w:p>
        </w:tc>
        <w:tc>
          <w:tcPr>
            <w:tcW w:w="151"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Shares withheld related to net share settlement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(143</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(3</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5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45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(3</w:t>
            </w:r>
          </w:p>
        </w:tc>
        <w:tc>
          <w:tcPr>
            <w:tcW w:w="397" w:type="dxa"/>
            <w:tcBorders/>
            <w:shd w:fill="CFF0FC" w:val="cle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w:t>
            </w:r>
          </w:p>
        </w:tc>
      </w:tr>
      <w:tr>
        <w:trPr/>
        <w:tc>
          <w:tcPr>
            <w:tcW w:w="3166" w:type="dxa"/>
            <w:tcBorders/>
            <w:shd w:fill="FFFFFF"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26</w:t>
            </w:r>
          </w:p>
        </w:tc>
        <w:tc>
          <w:tcPr>
            <w:tcW w:w="151"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26</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(89</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3166"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Balances as of March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23,341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3,434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(3,018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411</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consolidated_statements_cash_flows"/>
      <w:bookmarkEnd w:id="9"/>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millions)</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626"/>
        <w:gridCol w:w="146"/>
        <w:gridCol w:w="231"/>
        <w:gridCol w:w="461"/>
        <w:gridCol w:w="181"/>
        <w:gridCol w:w="160"/>
        <w:gridCol w:w="231"/>
        <w:gridCol w:w="528"/>
        <w:gridCol w:w="166"/>
        <w:gridCol w:w="475"/>
      </w:tblGrid>
      <w:tr>
        <w:trPr/>
        <w:tc>
          <w:tcPr>
            <w:tcW w:w="7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7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2"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166" w:type="dxa"/>
            <w:tcBorders/>
            <w:shd w:fill="FFFFFF" w:val="clear"/>
            <w:vAlign w:val="center"/>
          </w:tcPr>
          <w:p>
            <w:pPr>
              <w:pStyle w:val="TableContents"/>
              <w:bidi w:val="0"/>
              <w:spacing w:before="0" w:after="283"/>
              <w:jc w:val="center"/>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762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5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18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762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Adjustments to reconcile net loss to net cash used in operating</w:t>
              <w:br/>
              <w:t>   activities: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75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7626"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81"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762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Noncash lease expense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81"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52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7626"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81"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762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Other</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8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52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5" w:type="dxa"/>
            <w:tcBorders/>
            <w:shd w:fill="CFF0FC"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762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Funds receivable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8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52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7626"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Prepaid expenses, other current and noncurrent assets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81"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762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8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52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7626"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Merchants payable</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8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762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Accrued and refund liabilities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8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52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7626"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Lease liabilities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8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762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Other current and noncurrent liabilities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5" w:type="dxa"/>
            <w:tcBorders/>
            <w:shd w:fill="CFF0FC"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8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0"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5" w:type="dxa"/>
            <w:tcBorders/>
            <w:shd w:fill="FFFFFF" w:val="clear"/>
            <w:vAlign w:val="center"/>
          </w:tcPr>
          <w:p>
            <w:pPr>
              <w:pStyle w:val="TableContents"/>
              <w:bidi w:val="0"/>
              <w:spacing w:before="0" w:after="283"/>
              <w:jc w:val="right"/>
              <w:rPr/>
            </w:pPr>
            <w:r>
              <w:rPr/>
              <w:t> </w:t>
            </w:r>
          </w:p>
        </w:tc>
      </w:tr>
      <w:tr>
        <w:trPr/>
        <w:tc>
          <w:tcPr>
            <w:tcW w:w="762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75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7626"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Purchases of marketable securities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81"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762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Maturities of marketable securities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81"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52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166"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right"/>
              <w:rPr/>
            </w:pPr>
            <w:r>
              <w:rPr/>
              <w:t> </w:t>
            </w:r>
          </w:p>
        </w:tc>
        <w:tc>
          <w:tcPr>
            <w:tcW w:w="2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2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5" w:type="dxa"/>
            <w:tcBorders/>
            <w:shd w:fill="FFFFFF" w:val="clear"/>
            <w:vAlign w:val="center"/>
          </w:tcPr>
          <w:p>
            <w:pPr>
              <w:pStyle w:val="TableContents"/>
              <w:bidi w:val="0"/>
              <w:spacing w:before="0" w:after="283"/>
              <w:jc w:val="right"/>
              <w:rPr/>
            </w:pPr>
            <w:r>
              <w:rPr/>
              <w:t> </w:t>
            </w:r>
          </w:p>
        </w:tc>
      </w:tr>
      <w:tr>
        <w:trPr/>
        <w:tc>
          <w:tcPr>
            <w:tcW w:w="762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75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7626"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Payment of taxes related to RSU settlement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0"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5" w:type="dxa"/>
            <w:tcBorders/>
            <w:shd w:fill="FFFFFF" w:val="clear"/>
            <w:vAlign w:val="center"/>
          </w:tcPr>
          <w:p>
            <w:pPr>
              <w:pStyle w:val="TableContents"/>
              <w:bidi w:val="0"/>
              <w:spacing w:before="0" w:after="283"/>
              <w:jc w:val="left"/>
              <w:rPr/>
            </w:pPr>
            <w:r>
              <w:rPr/>
              <w:t> </w:t>
            </w:r>
          </w:p>
        </w:tc>
      </w:tr>
      <w:tr>
        <w:trPr/>
        <w:tc>
          <w:tcPr>
            <w:tcW w:w="76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8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0"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pPr>
            <w:r>
              <w:rPr/>
              <w:t> </w:t>
            </w:r>
          </w:p>
        </w:tc>
        <w:tc>
          <w:tcPr>
            <w:tcW w:w="52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5" w:type="dxa"/>
            <w:tcBorders/>
            <w:shd w:fill="CFF0FC" w:val="clear"/>
            <w:vAlign w:val="center"/>
          </w:tcPr>
          <w:p>
            <w:pPr>
              <w:pStyle w:val="TableContents"/>
              <w:bidi w:val="0"/>
              <w:spacing w:before="0" w:after="283"/>
              <w:jc w:val="right"/>
              <w:rPr/>
            </w:pPr>
            <w:r>
              <w:rPr/>
              <w:t> </w:t>
            </w:r>
          </w:p>
        </w:tc>
      </w:tr>
      <w:tr>
        <w:trPr/>
        <w:tc>
          <w:tcPr>
            <w:tcW w:w="76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Foreign currency effects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0" w:type="dxa"/>
            <w:tcBorders/>
            <w:shd w:fill="FFFFFF" w:val="cle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 </w:t>
            </w:r>
          </w:p>
        </w:tc>
      </w:tr>
      <w:tr>
        <w:trPr/>
        <w:tc>
          <w:tcPr>
            <w:tcW w:w="76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81"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pPr>
            <w:r>
              <w:rPr/>
              <w:t> </w:t>
            </w:r>
          </w:p>
        </w:tc>
        <w:tc>
          <w:tcPr>
            <w:tcW w:w="52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5" w:type="dxa"/>
            <w:tcBorders/>
            <w:shd w:fill="CFF0FC" w:val="clear"/>
            <w:vAlign w:val="center"/>
          </w:tcPr>
          <w:p>
            <w:pPr>
              <w:pStyle w:val="TableContents"/>
              <w:bidi w:val="0"/>
              <w:spacing w:before="0" w:after="283"/>
              <w:jc w:val="right"/>
              <w:rPr/>
            </w:pPr>
            <w:r>
              <w:rPr/>
              <w:t> </w:t>
            </w:r>
          </w:p>
        </w:tc>
      </w:tr>
      <w:tr>
        <w:trPr/>
        <w:tc>
          <w:tcPr>
            <w:tcW w:w="76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76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right"/>
              <w:rPr/>
            </w:pPr>
            <w:r>
              <w:rPr/>
              <w:t> </w:t>
            </w:r>
          </w:p>
        </w:tc>
      </w:tr>
      <w:tr>
        <w:trPr/>
        <w:tc>
          <w:tcPr>
            <w:tcW w:w="762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Reconciliation of cash, cash equivalents, and restricted cash to the condensed consolidated balance sheets: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76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250</w:t>
            </w:r>
          </w:p>
        </w:tc>
        <w:tc>
          <w:tcPr>
            <w:tcW w:w="181"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371</w:t>
            </w:r>
          </w:p>
        </w:tc>
        <w:tc>
          <w:tcPr>
            <w:tcW w:w="166"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 included within prepaid expenses and other current assets in the condensed consolidated balance sheets</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76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cash flow disclosures: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762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Cash paid for income taxes, net of refunds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81"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noncash investing activities: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762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Purchase of property and equipment included in accounts payable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81"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jc w:val="center"/>
        <w:rPr>
          <w:rFonts w:ascii="Arial" w:hAnsi="Arial"/>
          <w:b/>
          <w:color w:val="000000"/>
          <w:sz w:val="20"/>
        </w:rPr>
      </w:pPr>
      <w:bookmarkStart w:id="10" w:name="notes_to_unaudited_condensed_consolidate"/>
      <w:bookmarkEnd w:id="10"/>
      <w:r>
        <w:rPr>
          <w:rFonts w:ascii="Arial" w:hAnsi="Arial"/>
          <w:b/>
          <w:color w:val="000000"/>
          <w:sz w:val="20"/>
        </w:rPr>
        <w:t>Notes to Unaudited Condensed Consolidated Financial Statements</w:t>
      </w:r>
    </w:p>
    <w:p>
      <w:pPr>
        <w:pStyle w:val="TextBody"/>
        <w:bidi w:val="0"/>
        <w:spacing w:before="180" w:after="283"/>
        <w:jc w:val="left"/>
        <w:rPr>
          <w:rFonts w:ascii="Times New Roman" w:hAnsi="Times New Roman"/>
          <w:sz w:val="20"/>
        </w:rPr>
      </w:pPr>
      <w:r>
        <w:rPr>
          <w:rFonts w:ascii="Arial" w:hAnsi="Arial"/>
          <w:b/>
          <w:color w:val="000000"/>
          <w:sz w:val="20"/>
        </w:rPr>
        <w:t>NOTE 1. OVERVIEW, BASIS OF PRESENTATION AND SIGNIFICANT ACCOUNTING POLICIES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On February 10, 2024, ContextLogic Inc. (the “Company” or “ContextLogic”) entered into an asset purchase agreement (the “Asset Purchase Agreement”) with Qoo10 Inc., a Delaware corporation (“Qoo10 Delaware”), and, for certain specified purposes, Qoo10 Pte. Ltd., a Singapore private limited company and Qoo10 Delaware’s parent company (“Qoo10”), pursuant to which (i) the Company agreed to sell substantially all of its assets to Qoo10 Delaware or an affiliate designated by Qoo10 Delaware (such designated affiliate, the “Buyer”), other than (A) the Company’s net operating losses (“NOLs”) and certain other tax attributes, (B) the Company’s marketable securities and (C) certain of the Company’s cash and cash equivalents, and (ii) Qoo10 agreed to acquire those assets and assume substantially all of the Company’s liabilities as specified in the Asset Purchase Agreement (the “Asset Sale”). On April 18, 2024, the holders of a majority of the outstanding shares of the Company’s common stock voted to approve the Asset Sale. Pursuant to such vote and satisfaction of other customary closing conditions, the Asset Sale closed on April 19, 2024, and as a result of Asset Sale, the Company had approximately $161</w:t>
      </w:r>
      <w:r>
        <w:rPr>
          <w:rFonts w:ascii="Times New Roman" w:hAnsi="Times New Roman"/>
          <w:color w:val="000000"/>
          <w:sz w:val="20"/>
        </w:rPr>
        <w:t xml:space="preserve"> </w:t>
      </w:r>
      <w:r>
        <w:rPr>
          <w:rFonts w:ascii="Arial" w:hAnsi="Arial"/>
          <w:color w:val="000000"/>
          <w:sz w:val="20"/>
        </w:rPr>
        <w:t>million in cash, cash equivalents and marketable securities (consisting of government securities) immediately following the closing of that transaction (“Post-Closing Cash”) as well as the NOLs and other tax attributes described above.</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owned and operated the Wish platform (“Wish”), which is a mobile ecommerce platform that provides a shopping experience that is mobile-first and discovery-based, which connects merchants’ products to users based on user preferences. The Wish platform generated revenue for the Company from marketplace and logistics services provided to merchants. As a result of the Asset Sale, the Wish platform and all related operating assets were sold to the Buyer. The financial statements presented in this Quarterly Report on Form 10-Q do not reflect the Asset Sale, since the Asset Sale was not completed until after the end of the first quarter of 2024. Accordingly, the financial statements and the narrative description of the Company’s business, assets, liabilities and risks contained in these related Notes to Unaudited Condensed Consolidated Financial Statements, as well as in the accompanying Management’s Discussion and Analysis of Financial Condition and Results of Operations, speak as of March 31, 2024 and do not reflect the impact of the Asset Sale, unless expressly noted otherwise.</w:t>
      </w:r>
    </w:p>
    <w:p>
      <w:pPr>
        <w:pStyle w:val="TextBody"/>
        <w:bidi w:val="0"/>
        <w:spacing w:before="180" w:after="283"/>
        <w:jc w:val="both"/>
        <w:rPr>
          <w:rFonts w:ascii="Times New Roman" w:hAnsi="Times New Roman"/>
          <w:sz w:val="20"/>
        </w:rPr>
      </w:pPr>
      <w:r>
        <w:rPr>
          <w:rFonts w:ascii="Arial" w:hAnsi="Arial"/>
          <w:color w:val="000000"/>
          <w:sz w:val="20"/>
        </w:rPr>
        <w:t>The Company was incorporated in the state of Delaware</w:t>
      </w:r>
      <w:r>
        <w:rPr>
          <w:rFonts w:ascii="Times New Roman" w:hAnsi="Times New Roman"/>
          <w:color w:val="000000"/>
          <w:sz w:val="20"/>
        </w:rPr>
        <w:t xml:space="preserve"> </w:t>
      </w:r>
      <w:r>
        <w:rPr>
          <w:rFonts w:ascii="Arial" w:hAnsi="Arial"/>
          <w:color w:val="000000"/>
          <w:sz w:val="20"/>
        </w:rPr>
        <w:t>in June 2010</w:t>
      </w:r>
      <w:r>
        <w:rPr>
          <w:rFonts w:ascii="Times New Roman" w:hAnsi="Times New Roman"/>
          <w:color w:val="000000"/>
          <w:sz w:val="20"/>
        </w:rPr>
        <w:t xml:space="preserve"> </w:t>
      </w:r>
      <w:r>
        <w:rPr>
          <w:rFonts w:ascii="Arial" w:hAnsi="Arial"/>
          <w:color w:val="000000"/>
          <w:sz w:val="20"/>
        </w:rPr>
        <w:t>and is headquartered in Oakland, California, with operations domestically and internationally.</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Reverse Stock Split</w:t>
      </w:r>
    </w:p>
    <w:p>
      <w:pPr>
        <w:pStyle w:val="TextBody"/>
        <w:bidi w:val="0"/>
        <w:spacing w:before="180" w:after="283"/>
        <w:jc w:val="both"/>
        <w:rPr>
          <w:rFonts w:ascii="Times New Roman" w:hAnsi="Times New Roman"/>
          <w:sz w:val="20"/>
        </w:rPr>
      </w:pPr>
      <w:r>
        <w:rPr>
          <w:rFonts w:ascii="Arial" w:hAnsi="Arial"/>
          <w:color w:val="000000"/>
          <w:sz w:val="20"/>
        </w:rPr>
        <w:t>On April 10, 2023, the Company filed a certificate of amendment (the “Reverse Stock Split Amendment”) to the Company’s Restated Certificate of Incorporation with the Secretary of State of Delaware to effect a 1-for-30</w:t>
      </w:r>
      <w:r>
        <w:rPr>
          <w:rFonts w:ascii="Times New Roman" w:hAnsi="Times New Roman"/>
          <w:color w:val="000000"/>
          <w:sz w:val="20"/>
        </w:rPr>
        <w:t xml:space="preserve"> </w:t>
      </w:r>
      <w:r>
        <w:rPr>
          <w:rFonts w:ascii="Arial" w:hAnsi="Arial"/>
          <w:color w:val="000000"/>
          <w:sz w:val="20"/>
        </w:rPr>
        <w:t>Reverse Stock Split of the Company's Class A common stock ("common stock"), which became effective on April 11, 2023. The Reverse Stock Split Amendment did not reduce the number of authorized shares of common stock, which remains at 3</w:t>
      </w:r>
      <w:r>
        <w:rPr>
          <w:rFonts w:ascii="Times New Roman" w:hAnsi="Times New Roman"/>
          <w:color w:val="000000"/>
          <w:sz w:val="20"/>
        </w:rPr>
        <w:t xml:space="preserve"> </w:t>
      </w:r>
      <w:r>
        <w:rPr>
          <w:rFonts w:ascii="Arial" w:hAnsi="Arial"/>
          <w:color w:val="000000"/>
          <w:sz w:val="20"/>
        </w:rPr>
        <w:t>billion, and did not change the par value of the common stock, which remains at $0.0001</w:t>
      </w:r>
      <w:r>
        <w:rPr>
          <w:rFonts w:ascii="Times New Roman" w:hAnsi="Times New Roman"/>
          <w:color w:val="000000"/>
          <w:sz w:val="20"/>
        </w:rPr>
        <w:t xml:space="preserve"> </w:t>
      </w:r>
      <w:r>
        <w:rPr>
          <w:rFonts w:ascii="Arial" w:hAnsi="Arial"/>
          <w:color w:val="000000"/>
          <w:sz w:val="20"/>
        </w:rPr>
        <w:t>per share. As a result of the Reverse Stock Split, every thirty shares of the common stock were combined into one issued and outstanding share of common stock and no fractional shares were issued.</w:t>
      </w:r>
      <w:r>
        <w:rPr>
          <w:rFonts w:ascii="Times New Roman" w:hAnsi="Times New Roman"/>
          <w:color w:val="000000"/>
          <w:sz w:val="20"/>
        </w:rPr>
        <w:t xml:space="preserve"> </w:t>
      </w:r>
      <w:r>
        <w:rPr>
          <w:rFonts w:ascii="Arial" w:hAnsi="Arial"/>
          <w:color w:val="000000"/>
          <w:sz w:val="20"/>
        </w:rPr>
        <w:t>Instead, to any holder who would have otherwise been entitled to receive a fractional share of common stock, the Company issued such holder an additional fractional share, such that, when combined with the fractional share otherwise issuable as a result of the Reverse Stock Split, equaled a whole share of common stock.</w:t>
      </w:r>
    </w:p>
    <w:p>
      <w:pPr>
        <w:pStyle w:val="TextBody"/>
        <w:bidi w:val="0"/>
        <w:spacing w:before="180" w:after="283"/>
        <w:jc w:val="both"/>
        <w:rPr>
          <w:rFonts w:ascii="Arial" w:hAnsi="Arial"/>
          <w:color w:val="000000"/>
          <w:sz w:val="20"/>
        </w:rPr>
      </w:pPr>
      <w:r>
        <w:rPr>
          <w:rFonts w:ascii="Arial" w:hAnsi="Arial"/>
          <w:color w:val="000000"/>
          <w:sz w:val="20"/>
        </w:rPr>
        <w:t>All share and per share information has been retroactively adjusted to reflect the reverse stock split for the condensed consolidated financial statements as of and for the three months ended March 31, 2023.</w:t>
      </w:r>
    </w:p>
    <w:p>
      <w:pPr>
        <w:pStyle w:val="TextBody"/>
        <w:bidi w:val="0"/>
        <w:spacing w:before="180" w:after="283"/>
        <w:jc w:val="both"/>
        <w:rPr>
          <w:rFonts w:ascii="Arial" w:hAnsi="Arial"/>
          <w:b/>
          <w:i/>
          <w:color w:val="000000"/>
          <w:sz w:val="20"/>
        </w:rPr>
      </w:pPr>
      <w:r>
        <w:rPr>
          <w:rFonts w:ascii="Arial" w:hAnsi="Arial"/>
          <w:b/>
          <w:i/>
          <w:color w:val="000000"/>
          <w:sz w:val="20"/>
        </w:rPr>
        <w:t>Basis of Presentation and Consolidation</w:t>
      </w:r>
    </w:p>
    <w:p>
      <w:pPr>
        <w:pStyle w:val="TextBody"/>
        <w:bidi w:val="0"/>
        <w:spacing w:before="180" w:after="283"/>
        <w:jc w:val="both"/>
        <w:rPr>
          <w:rFonts w:ascii="Arial" w:hAnsi="Arial"/>
          <w:color w:val="000000"/>
          <w:sz w:val="20"/>
        </w:rPr>
      </w:pPr>
      <w:r>
        <w:rPr>
          <w:rFonts w:ascii="Arial" w:hAnsi="Arial"/>
          <w:color w:val="000000"/>
          <w:sz w:val="20"/>
        </w:rPr>
        <w:t>The accompanying condensed consolidated financial statements have been prepared in accordance with United States generally accepted accounting principles (“U.S. GAAP”). The condensed consolidated financial statements include the accounts of the Company and its wholly owned subsidiaries. All intercompany balances and transactions have been eliminated in consolidation. The interim financial statements as of March 31, 2024 and for the three months ended March 31, 2024 and 2023 is unaudited. In the opinion of management, the interim financial data includes all adjustments, consisting only of normal recurring adjustments, necessary to a fair statement of the results for the interim periods. The consolidated balance sheet as of December 31, 2023 is derived from audited financial statements, however, it does not include all of the information and footnotes required by U.S. GAAP for complete financial statements. These condensed consolidated financial statements should be read in conjunction with the consolidated financial statements and related notes in the Company’s Annual Report on Form 10-K for the year ended December 31, 2023, which was filed with the SEC on March 5, 2024 (the “2023 Form 10-K”).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i/>
          <w:color w:val="000000"/>
          <w:sz w:val="20"/>
        </w:rPr>
        <w:t>Tax Benefits Preservation Plan and Series A Junior Participating Preferred Stock</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On February 10, 2024, the Company’s Board of Directors adopted a Tax Benefits Preservation Plan and declared a dividend of one right (a “Right”) for each outstanding share of the Company’s common stock to stockholders of record at the close of business on February 22, 2024</w:t>
      </w:r>
      <w:r>
        <w:rPr>
          <w:rFonts w:ascii="Times New Roman" w:hAnsi="Times New Roman"/>
          <w:color w:val="000000"/>
          <w:sz w:val="20"/>
        </w:rPr>
        <w:t xml:space="preserve"> </w:t>
      </w:r>
      <w:r>
        <w:rPr>
          <w:rFonts w:ascii="Arial" w:hAnsi="Arial"/>
          <w:color w:val="000000"/>
          <w:sz w:val="20"/>
        </w:rPr>
        <w:t>(the “Record Date”). Each Right entitles its holder, subject to the terms of the Tax Benefits Preservation Plan, to purchase from the Company one one-thousandth</w:t>
      </w:r>
      <w:r>
        <w:rPr>
          <w:rFonts w:ascii="Times New Roman" w:hAnsi="Times New Roman"/>
          <w:color w:val="000000"/>
          <w:sz w:val="20"/>
        </w:rPr>
        <w:t xml:space="preserve"> </w:t>
      </w:r>
      <w:r>
        <w:rPr>
          <w:rFonts w:ascii="Arial" w:hAnsi="Arial"/>
          <w:color w:val="000000"/>
          <w:sz w:val="20"/>
        </w:rPr>
        <w:t>of a share of Series A Preferred Stock (as defined below) of the Company at an exercise price of $20.00</w:t>
      </w:r>
      <w:r>
        <w:rPr>
          <w:rFonts w:ascii="Times New Roman" w:hAnsi="Times New Roman"/>
          <w:color w:val="000000"/>
          <w:sz w:val="20"/>
        </w:rPr>
        <w:t xml:space="preserve"> </w:t>
      </w:r>
      <w:r>
        <w:rPr>
          <w:rFonts w:ascii="Arial" w:hAnsi="Arial"/>
          <w:color w:val="000000"/>
          <w:sz w:val="20"/>
        </w:rPr>
        <w:t>per Right, subject to adjustment. The description and terms of the Rights are set forth in the Tax Benefits Preservation Plan.</w:t>
      </w:r>
    </w:p>
    <w:p>
      <w:pPr>
        <w:pStyle w:val="TextBody"/>
        <w:bidi w:val="0"/>
        <w:spacing w:before="180" w:after="283"/>
        <w:jc w:val="both"/>
        <w:rPr>
          <w:rFonts w:ascii="Times New Roman" w:hAnsi="Times New Roman"/>
          <w:sz w:val="20"/>
        </w:rPr>
      </w:pPr>
      <w:r>
        <w:rPr>
          <w:rFonts w:ascii="Arial" w:hAnsi="Arial"/>
          <w:color w:val="000000"/>
          <w:sz w:val="20"/>
        </w:rPr>
        <w:t>In connection with the adoption of the Tax Benefits Preservation Plan, on February 12, 2024, the Company filed with the Delaware Secretary of State, a Certificate of Designation designating 3,000,000</w:t>
      </w:r>
      <w:r>
        <w:rPr>
          <w:rFonts w:ascii="Times New Roman" w:hAnsi="Times New Roman"/>
          <w:color w:val="000000"/>
          <w:sz w:val="20"/>
        </w:rPr>
        <w:t xml:space="preserve"> </w:t>
      </w:r>
      <w:r>
        <w:rPr>
          <w:rFonts w:ascii="Arial" w:hAnsi="Arial"/>
          <w:color w:val="000000"/>
          <w:sz w:val="20"/>
        </w:rPr>
        <w:t>shares of Series A Junior Participating Preferred Stock, $0.0001</w:t>
      </w:r>
      <w:r>
        <w:rPr>
          <w:rFonts w:ascii="Times New Roman" w:hAnsi="Times New Roman"/>
          <w:color w:val="000000"/>
          <w:sz w:val="20"/>
        </w:rPr>
        <w:t xml:space="preserve"> </w:t>
      </w:r>
      <w:r>
        <w:rPr>
          <w:rFonts w:ascii="Arial" w:hAnsi="Arial"/>
          <w:color w:val="000000"/>
          <w:sz w:val="20"/>
        </w:rPr>
        <w:t>par value per share (“Series A Preferred Stock”). The Company designated the Series A Preferred Stock in connection with the Company’s Board of Director’s approval of a Tax Benefits Preservation Plan, as discussed below.</w:t>
      </w:r>
    </w:p>
    <w:p>
      <w:pPr>
        <w:pStyle w:val="TextBody"/>
        <w:bidi w:val="0"/>
        <w:spacing w:before="180" w:after="283"/>
        <w:jc w:val="both"/>
        <w:rPr>
          <w:rFonts w:ascii="Arial" w:hAnsi="Arial"/>
          <w:color w:val="000000"/>
          <w:sz w:val="20"/>
        </w:rPr>
      </w:pPr>
      <w:r>
        <w:rPr>
          <w:rFonts w:ascii="Arial" w:hAnsi="Arial"/>
          <w:color w:val="000000"/>
          <w:sz w:val="20"/>
        </w:rPr>
        <w:t>The Company adopted the Tax Benefits Preservation Plan in order to protect against a possible limitation on the Company’s ability to use the Company’s NOLs and certain other tax attributes to reduce potential future U.S. federal income tax obligations. The NOLs and certain other tax attributes are valuable assets to the Company, which may inure to the benefit of the Company and its stockholders. However, if the Company experiences an “ownership change,” as defined in Section 382 of the Internal Revenue Code of 1986, as amended (the “Code”), its ability to fully utilize the NOLs and certain other tax attributes will be substantially limited and the timing of the usage of the NOLs and other tax attributes could be substantially delayed, which could significantly impair the value of those assets. Generally, an “ownership change” occurs if the percentage of the Company’s stock owned by one or more of its “5-percent shareholders” (as such term is defined in Section 382 of the Code) increases by more than 50 percentage points over the lowest percentage of stock owned by such stockholder or stockholders at any time over a three-year period. The Tax Benefits Preservation Plan is intended to prevent such an “ownership change” by deterring any person or group, together with its affiliates and associates, from acquiring beneficial ownership of 4.9% or more of the Company’s securities.</w:t>
      </w:r>
    </w:p>
    <w:p>
      <w:pPr>
        <w:pStyle w:val="TextBody"/>
        <w:bidi w:val="0"/>
        <w:spacing w:before="180" w:after="283"/>
        <w:jc w:val="both"/>
        <w:rPr>
          <w:rFonts w:ascii="Arial" w:hAnsi="Arial"/>
          <w:color w:val="000000"/>
          <w:sz w:val="20"/>
        </w:rPr>
      </w:pPr>
      <w:r>
        <w:rPr>
          <w:rFonts w:ascii="Arial" w:hAnsi="Arial"/>
          <w:color w:val="000000"/>
          <w:sz w:val="20"/>
        </w:rPr>
        <w:t>Subject to certain exceptions, the Rights become exercisable and trade separately from the Company’s common stock only upon the "Distribution Time", which occurs upon the earlier of: (i) the close of business on the tenth day after the “Stock Acquisition Date” (which is (a) the first date of public announcement that any person or group has become an “Acquiring Person,” which is defined as a person or group that, together with its affiliates and associates, beneficially owns 4.9% or more of the outstanding shares of the Company’s common stock (with certain exceptions, including those described below) or (b) such other date, as determined by the Company’s Board of Directors, on which a person or group has become an Acquiring Person), or (ii) the close of business on the tenth business day (or such later date as may be determined by the Company’s Board of Directors prior to such time as any person or group becomes an Acquiring Person) after the commencement of a tender offer or exchange offer that, if consummated, would result in a person or group becoming an Acquiring Person.</w:t>
      </w:r>
    </w:p>
    <w:p>
      <w:pPr>
        <w:pStyle w:val="TextBody"/>
        <w:bidi w:val="0"/>
        <w:spacing w:before="180" w:after="283"/>
        <w:jc w:val="both"/>
        <w:rPr>
          <w:rFonts w:ascii="Times New Roman" w:hAnsi="Times New Roman"/>
          <w:sz w:val="20"/>
        </w:rPr>
      </w:pPr>
      <w:r>
        <w:rPr>
          <w:rFonts w:ascii="Arial" w:hAnsi="Arial"/>
          <w:color w:val="000000"/>
          <w:sz w:val="20"/>
        </w:rPr>
        <w:t>The Rights will expire on the earliest to occur of: (a) the close of business on February 10, 2027; (b) the time at which the Rights are redeemed or exchanged by the Company; (c) upon the closing of any merger or other acquisition transaction involving the Company pursuant to a merger or other acquisition agreement that has been approved by the Company’s Board of Directors before any person or group becomes an Acquiring Person and (d) the time at which the Company’s Board of Directors determines that the NOLs and certain other tax attributes are utilized in all material respects or that an ownership change under Section 382 of the Code would not adversely impact in any material respect the time period in which the Company could use the NOLs and other tax attributes or materially impair the amount of NOLs and other tax attributes that could be used by the Company in any particular time period, for applicable tax purposes.</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Use of Estimates</w:t>
      </w:r>
    </w:p>
    <w:p>
      <w:pPr>
        <w:pStyle w:val="TextBody"/>
        <w:bidi w:val="0"/>
        <w:spacing w:before="180" w:after="283"/>
        <w:jc w:val="both"/>
        <w:rPr>
          <w:rFonts w:ascii="Times New Roman" w:hAnsi="Times New Roman"/>
          <w:sz w:val="20"/>
        </w:rPr>
      </w:pPr>
      <w:r>
        <w:rPr>
          <w:rFonts w:ascii="Arial" w:hAnsi="Arial"/>
          <w:color w:val="000000"/>
          <w:sz w:val="20"/>
        </w:rPr>
        <w:t>The preparation of condensed consolidated financial statements in accordance with U.S.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useful lives of long-lived assets, fair value of derivative instruments, incremental borrowing rate applied to lease accounting, contingent liabilities, redemption probabilities associated with Wish Cash, allowances for refunds and chargebacks and uncertain tax positions.</w:t>
      </w:r>
      <w:r>
        <w:rPr>
          <w:rFonts w:ascii="Times New Roman" w:hAnsi="Times New Roman"/>
          <w:color w:val="000000"/>
          <w:sz w:val="20"/>
        </w:rPr>
        <w:t xml:space="preserve"> </w:t>
      </w:r>
    </w:p>
    <w:p>
      <w:pPr>
        <w:pStyle w:val="TextBody"/>
        <w:bidi w:val="0"/>
        <w:spacing w:before="1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Assets and Liabilities Held for Sale</w:t>
      </w:r>
    </w:p>
    <w:p>
      <w:pPr>
        <w:pStyle w:val="TextBody"/>
        <w:bidi w:val="0"/>
        <w:spacing w:before="180" w:after="283"/>
        <w:jc w:val="both"/>
        <w:rPr>
          <w:rFonts w:ascii="Arial" w:hAnsi="Arial"/>
          <w:color w:val="000000"/>
          <w:sz w:val="20"/>
        </w:rPr>
      </w:pPr>
      <w:r>
        <w:rPr>
          <w:rFonts w:ascii="Arial" w:hAnsi="Arial"/>
          <w:color w:val="000000"/>
          <w:sz w:val="20"/>
        </w:rPr>
        <w:t>The Company classifies long-lived assets or disposal groups to be sold as held for sale in the period in which all of the following criteria are met: (1) management, having the authority to approve the action, commits to a plan to sell the asset or disposal group; (2) the asset or disposal group is available for immediate sale in its present condition subject only to terms that are usual and customary for sales of such assets or disposal groups; (3) an active program to locate a buyer and other actions required to complete the plan to sell the asset or disposal group have been initiated; (4) the sale of the asset 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 (5) the asset or disposal group is being actively marketed for sale at a price that is reasonable in relation to its current fair value; and (6) actions required to complete the plan indicate that it is unlikely that significant changes to the plan will be made or that the plan will be withdrawn.</w:t>
      </w:r>
    </w:p>
    <w:p>
      <w:pPr>
        <w:pStyle w:val="TextBody"/>
        <w:bidi w:val="0"/>
        <w:spacing w:before="180" w:after="283"/>
        <w:jc w:val="both"/>
        <w:rPr>
          <w:rFonts w:ascii="Arial" w:hAnsi="Arial"/>
          <w:color w:val="000000"/>
          <w:sz w:val="20"/>
        </w:rPr>
      </w:pPr>
      <w:r>
        <w:rPr>
          <w:rFonts w:ascii="Arial" w:hAnsi="Arial"/>
          <w:color w:val="000000"/>
          <w:sz w:val="20"/>
        </w:rPr>
        <w:t>The Company initially measures a long-lived asset or disposal group that is classified as held for sale at the lower of its carrying value or fair value less any costs to sell. Any loss resulting from this measurement is recognized in the period in which the held-for-sale criteria are met. Conversely, gains are not recognized on the sale of a long-lived asset or disposal group until the date of sale. The Company assesses the fair value of a long-lived asset or disposal group less any costs to sell each reporting period it remains classified as held for sale and reports any subsequent changes as an adjustment to the carrying value of the asset or disposal group, as long as the new carrying value does not exceed the carrying value of the asset at the time it was initially classified as held for sale.</w:t>
      </w:r>
    </w:p>
    <w:p>
      <w:pPr>
        <w:pStyle w:val="TextBody"/>
        <w:bidi w:val="0"/>
        <w:spacing w:before="180" w:after="283"/>
        <w:jc w:val="both"/>
        <w:rPr>
          <w:rFonts w:ascii="Times New Roman" w:hAnsi="Times New Roman"/>
          <w:sz w:val="20"/>
        </w:rPr>
      </w:pPr>
      <w:r>
        <w:rPr>
          <w:rFonts w:ascii="Arial" w:hAnsi="Arial"/>
          <w:color w:val="000000"/>
          <w:sz w:val="20"/>
        </w:rPr>
        <w:t>Upon determining that a long-lived asset or disposal group meets the criteria to be classified as held for sale, the Company ceases depreciation and reports long-lived assets and/or the assets and liabilities of the disposal group, if material, in the line items assets held for sale and liabilities held for sale, respectively, in the Company's condensed consolidated balance sheet. In February 2024, the Company announced the Asset Sale to Qoo10. The Asset Sale did not meet the criteria for held for sale during the three-month period ended March 31, 2024.</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Discontinued Operations</w:t>
      </w:r>
    </w:p>
    <w:p>
      <w:pPr>
        <w:pStyle w:val="TextBody"/>
        <w:bidi w:val="0"/>
        <w:spacing w:before="180" w:after="283"/>
        <w:jc w:val="both"/>
        <w:rPr>
          <w:rFonts w:ascii="Arial" w:hAnsi="Arial"/>
          <w:color w:val="000000"/>
          <w:sz w:val="20"/>
        </w:rPr>
      </w:pPr>
      <w:r>
        <w:rPr>
          <w:rFonts w:ascii="Arial" w:hAnsi="Arial"/>
          <w:color w:val="000000"/>
          <w:sz w:val="20"/>
        </w:rPr>
        <w:t>A disposal group is classified as a discontinued operation when the following criteria are met: (1) the disposal group is a component of an entity; (2) the component of the entity meets the held-for-sale criteria in accordance with our policy described above; and (3) the component of the entity represents a strategic shift in the entity's operating and financial results. Alternatively, if a business meets the criteria for held for sale on the acquisition date, the business is accounted for as a discontinued operation. The announcement of the Asset Sale did not result in the Company's operations meeting the criteria for discontinued operations during the three-month period ended March 31, 2024, as the operations being disposed, per Asset Sale, are not clearly distinguishable from the rest of the Company.</w:t>
      </w:r>
    </w:p>
    <w:p>
      <w:pPr>
        <w:pStyle w:val="TextBody"/>
        <w:bidi w:val="0"/>
        <w:spacing w:before="180" w:after="283"/>
        <w:jc w:val="both"/>
        <w:rPr>
          <w:rFonts w:ascii="Times New Roman" w:hAnsi="Times New Roman"/>
          <w:sz w:val="20"/>
        </w:rPr>
      </w:pPr>
      <w:r>
        <w:rPr>
          <w:rFonts w:ascii="Arial" w:hAnsi="Arial"/>
          <w:b/>
          <w:i/>
          <w:color w:val="000000"/>
          <w:sz w:val="20"/>
        </w:rPr>
        <w:t>Impairment of Long-Lived Assets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reviews long-lived assets, including intangible and lease assets, for impairment whenever events or changes in circumstances indicate that the carrying amount of an asset may not be recoverable. The Company performs impairment testing at the asset group level that represents the lowest level for which identifiable cash flows are largely independent of the cash flows of other assets and liabilities. The recoverability of assets to be held and used is measured first by a comparison of the carrying amount of an asset to future undiscounted net cash flows expected to be generated by the asset. If such assets are considered to be impaired, an impairment loss would be recognized based on the excess of the carrying amount of the asset above the fair value of the asset.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Segments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manages its operations and allocates resources as a single</w:t>
      </w:r>
      <w:r>
        <w:rPr>
          <w:rFonts w:ascii="Times New Roman" w:hAnsi="Times New Roman"/>
          <w:color w:val="000000"/>
          <w:sz w:val="20"/>
        </w:rPr>
        <w:t xml:space="preserve"> </w:t>
      </w:r>
      <w:r>
        <w:rPr>
          <w:rFonts w:ascii="Arial" w:hAnsi="Arial"/>
          <w:color w:val="000000"/>
          <w:sz w:val="20"/>
        </w:rPr>
        <w:t>operating segment. The Company’s chief operating decision-maker is its Chief Executive Officer (“CEO”) who makes operating decisions, assesses financial performance and allocates resources based on condensed consolidated financial information. As such, the Company has determined that it operates in one</w:t>
      </w:r>
      <w:r>
        <w:rPr>
          <w:rFonts w:ascii="Times New Roman" w:hAnsi="Times New Roman"/>
          <w:color w:val="000000"/>
          <w:sz w:val="20"/>
        </w:rPr>
        <w:t xml:space="preserve"> </w:t>
      </w:r>
      <w:r>
        <w:rPr>
          <w:rFonts w:ascii="Arial" w:hAnsi="Arial"/>
          <w:color w:val="000000"/>
          <w:sz w:val="20"/>
        </w:rPr>
        <w:t>reportable segment.</w:t>
      </w:r>
    </w:p>
    <w:p>
      <w:pPr>
        <w:pStyle w:val="TextBody"/>
        <w:bidi w:val="0"/>
        <w:spacing w:before="180" w:after="283"/>
        <w:jc w:val="both"/>
        <w:rPr>
          <w:rFonts w:ascii="Times New Roman" w:hAnsi="Times New Roman"/>
          <w:sz w:val="20"/>
        </w:rPr>
      </w:pPr>
      <w:r>
        <w:rPr>
          <w:rFonts w:ascii="Arial" w:hAnsi="Arial"/>
          <w:b/>
          <w:i/>
          <w:color w:val="000000"/>
          <w:sz w:val="20"/>
        </w:rPr>
        <w:t>Concentrations of Risk</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 xml:space="preserve">Credit Risk </w:t>
      </w:r>
      <w:r>
        <w:rPr>
          <w:rFonts w:ascii="Times New Roman" w:hAnsi="Times New Roman"/>
          <w:color w:val="000000"/>
          <w:sz w:val="20"/>
        </w:rPr>
        <w:t xml:space="preserve">— </w:t>
      </w:r>
      <w:r>
        <w:rPr>
          <w:rFonts w:ascii="Arial" w:hAnsi="Arial"/>
          <w:color w:val="000000"/>
          <w:sz w:val="20"/>
        </w:rPr>
        <w:t>Financial instruments that potentially subject the Company to concentrations of credit risk consist primarily of cash and cash equivalents, funds receivable and marketable securities.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corporate bonds, and non-U.S. government securities. The Company is exposed to credit risk in the event of a default by the financial institutions holding its cash, cash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equivalents and marketable securities for the amounts reflected on the condensed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w:t>
      </w:r>
    </w:p>
    <w:p>
      <w:pPr>
        <w:pStyle w:val="TextBody"/>
        <w:bidi w:val="0"/>
        <w:spacing w:before="180" w:after="283"/>
        <w:jc w:val="both"/>
        <w:rPr>
          <w:rFonts w:ascii="Times New Roman" w:hAnsi="Times New Roman"/>
          <w:sz w:val="20"/>
        </w:rPr>
      </w:pPr>
      <w:r>
        <w:rPr>
          <w:rFonts w:ascii="Arial" w:hAnsi="Arial"/>
          <w:color w:val="000000"/>
          <w:sz w:val="20"/>
        </w:rPr>
        <w:t>The Company maintains certain bank accounts in China. The Company manages the counterparty risk associated with these funds through diversification with major financial institutions and monitors the concentration of this credit risk on a monthly basis. The total cash balance in these accounts represented approximately 40% and 49% of the Company’s total cash and cash equivalents as of March 31, 2024 and December 31, 2023, respectively.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Company's derivative financial instruments expose it to credit risk to the extent that the counterparties may be unable to meet the terms of the arrangement. The Company seeks to mitigate such risk by limiting its counterparties to, and by spreading the risk across, major financial institutions. In addition, the potential risk of loss with any one counterparty resulting from this type of credit risk is monitored on a monthly basis. The Company is not required to pledge, nor is it entitled to receive, collateral related to its foreign exchange derivative transactions.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is exposed to credit risk in the event of a default by its Payment Service Providers (“PSPs”). The Company does not generate revenue from PSPs. Significant changes in the Company’s relationship with its PSPs could adversely affect users’ ability to process transactions on the Company’s marketplaces, thereby impacting the Company’s operating results.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PSPs each represented 10% or more of the Company’s funds receivable balance:</w:t>
      </w:r>
    </w:p>
    <w:tbl>
      <w:tblPr>
        <w:tblW w:w="3970" w:type="dxa"/>
        <w:jc w:val="left"/>
        <w:tblInd w:w="0" w:type="dxa"/>
        <w:tblLayout w:type="fixed"/>
        <w:tblCellMar>
          <w:top w:w="28" w:type="dxa"/>
          <w:left w:w="28" w:type="dxa"/>
          <w:bottom w:w="28" w:type="dxa"/>
          <w:right w:w="28" w:type="dxa"/>
        </w:tblCellMar>
      </w:tblPr>
      <w:tblGrid>
        <w:gridCol w:w="691"/>
        <w:gridCol w:w="146"/>
        <w:gridCol w:w="316"/>
        <w:gridCol w:w="689"/>
        <w:gridCol w:w="286"/>
        <w:gridCol w:w="146"/>
        <w:gridCol w:w="431"/>
        <w:gridCol w:w="934"/>
        <w:gridCol w:w="331"/>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r>
          </w:p>
        </w:tc>
        <w:tc>
          <w:tcPr>
            <w:tcW w:w="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331" w:type="dxa"/>
            <w:tcBorders/>
            <w:shd w:fill="FFFFFF" w:val="clear"/>
            <w:vAlign w:val="center"/>
          </w:tcPr>
          <w:p>
            <w:pPr>
              <w:pStyle w:val="TableContents"/>
              <w:bidi w:val="0"/>
              <w:spacing w:before="0" w:after="283"/>
              <w:jc w:val="center"/>
              <w:rPr/>
            </w:pPr>
            <w:r>
              <w:rPr/>
              <w:t> </w:t>
            </w:r>
          </w:p>
        </w:tc>
      </w:tr>
      <w:tr>
        <w:trPr/>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PSP 1</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31"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PSP 2</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80" w:after="283"/>
        <w:jc w:val="both"/>
        <w:rPr>
          <w:rFonts w:ascii="Times New Roman" w:hAnsi="Times New Roman"/>
          <w:sz w:val="20"/>
        </w:rPr>
      </w:pPr>
      <w:r>
        <w:rPr>
          <w:rFonts w:ascii="Arial" w:hAnsi="Arial"/>
          <w:i/>
          <w:color w:val="000000"/>
          <w:sz w:val="20"/>
        </w:rPr>
        <w:t xml:space="preserve">Services Risk </w:t>
      </w:r>
      <w:r>
        <w:rPr>
          <w:rFonts w:ascii="Times New Roman" w:hAnsi="Times New Roman"/>
          <w:color w:val="000000"/>
          <w:sz w:val="20"/>
        </w:rPr>
        <w:t xml:space="preserve">— </w:t>
      </w:r>
      <w:r>
        <w:rPr>
          <w:rFonts w:ascii="Arial" w:hAnsi="Arial"/>
          <w:color w:val="000000"/>
          <w:sz w:val="20"/>
        </w:rPr>
        <w:t>The Wish platform serves all its users using third-party data center and hosting providers. The Wish platform has disaster recovery protocols at the third-party service providers. Even with these procedures for disaster recovery in place, access to the Wish platform’s service could be significantly interrupted, resulting in an adverse effect on its operating results and financial position. No significant interruptions of service were known to have occurred during the three months ended March 31, 2024 and 2023.</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Summary of Significant Accounting Policies</w:t>
      </w:r>
    </w:p>
    <w:p>
      <w:pPr>
        <w:pStyle w:val="TextBody"/>
        <w:bidi w:val="0"/>
        <w:spacing w:before="180" w:after="283"/>
        <w:jc w:val="both"/>
        <w:rPr>
          <w:rFonts w:ascii="Arial" w:hAnsi="Arial"/>
          <w:color w:val="000000"/>
          <w:sz w:val="20"/>
        </w:rPr>
      </w:pPr>
      <w:r>
        <w:rPr>
          <w:rFonts w:ascii="Arial" w:hAnsi="Arial"/>
          <w:color w:val="000000"/>
          <w:sz w:val="20"/>
        </w:rPr>
        <w:t>There have been no changes to the Company’s significant accounting policies described in its 2023 Form 10-K, filed with the SEC on March 5, 2024, that have had a material impact on its condensed consolidated financial statements.</w:t>
      </w:r>
    </w:p>
    <w:p>
      <w:pPr>
        <w:pStyle w:val="TextBody"/>
        <w:bidi w:val="0"/>
        <w:spacing w:before="180" w:after="283"/>
        <w:jc w:val="both"/>
        <w:rPr>
          <w:rFonts w:ascii="Arial" w:hAnsi="Arial"/>
          <w:b/>
          <w:i/>
          <w:color w:val="000000"/>
          <w:sz w:val="20"/>
        </w:rPr>
      </w:pPr>
      <w:r>
        <w:rPr>
          <w:rFonts w:ascii="Arial" w:hAnsi="Arial"/>
          <w:b/>
          <w:i/>
          <w:color w:val="000000"/>
          <w:sz w:val="20"/>
        </w:rPr>
        <w:t>Accounting Pronouncements</w:t>
      </w:r>
    </w:p>
    <w:p>
      <w:pPr>
        <w:pStyle w:val="TextBody"/>
        <w:bidi w:val="0"/>
        <w:spacing w:before="180" w:after="283"/>
        <w:jc w:val="both"/>
        <w:rPr>
          <w:rFonts w:ascii="Arial" w:hAnsi="Arial"/>
          <w:color w:val="000000"/>
          <w:sz w:val="20"/>
        </w:rPr>
      </w:pPr>
      <w:r>
        <w:rPr>
          <w:rFonts w:ascii="Arial" w:hAnsi="Arial"/>
          <w:color w:val="000000"/>
          <w:sz w:val="20"/>
        </w:rPr>
        <w:t>The Company has reviewed recent accounting pronouncements and concluded as follows:</w:t>
      </w:r>
    </w:p>
    <w:p>
      <w:pPr>
        <w:pStyle w:val="TextBody"/>
        <w:bidi w:val="0"/>
        <w:spacing w:before="180" w:after="283"/>
        <w:jc w:val="both"/>
        <w:rPr>
          <w:rFonts w:ascii="Arial" w:hAnsi="Arial"/>
          <w:color w:val="000000"/>
          <w:sz w:val="20"/>
        </w:rPr>
      </w:pPr>
      <w:r>
        <w:rPr>
          <w:rFonts w:ascii="Arial" w:hAnsi="Arial"/>
          <w:color w:val="000000"/>
          <w:sz w:val="20"/>
        </w:rPr>
        <w:t>In November 2023, the Financial Accounting Standards Board ("FASB") issued Accounting Standards Update ("ASU") No. 2023-07, Segment Reporting (Topic 280): Improvements to Reportable Segment Disclosures (ASU 2023-07), which requires additional segment-related disclosures on an annual and interim basis, to enable investors in developing more informed and actionable analyses.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We do not expect the adoption of this guidance to have a material impact on our condensed consolidated financial statements.</w:t>
      </w:r>
    </w:p>
    <w:p>
      <w:pPr>
        <w:pStyle w:val="TextBody"/>
        <w:bidi w:val="0"/>
        <w:spacing w:before="180" w:after="283"/>
        <w:jc w:val="both"/>
        <w:rPr>
          <w:rFonts w:ascii="Arial" w:hAnsi="Arial"/>
          <w:color w:val="000000"/>
          <w:sz w:val="20"/>
        </w:rPr>
      </w:pPr>
      <w:r>
        <w:rPr>
          <w:rFonts w:ascii="Arial" w:hAnsi="Arial"/>
          <w:color w:val="000000"/>
          <w:sz w:val="20"/>
        </w:rPr>
        <w:t>In December 2023, the FASB issued ASU No. 2023-09, Income Taxes (Topic 740): Improvements to Income Tax Disclosures (ASU 2023-09), which improves the transparency of income tax disclosures by requiring (1) consistent categories and greater disaggregation of information in the effective tax rate reconciliation, and (2) income taxes paid disaggregated by jurisdiction. It also includes certain other amendments to improve the effectiveness of income tax disclosures. This guidance will be effective for annual periods beginning after December 15, 2024. Early adoption is permitted. Upon adoption, the guidance can be applied prospectively or retrospectively. We are evaluating the impact this amended guidance may have on the footnotes to our condensed consolidated statements.</w:t>
      </w:r>
    </w:p>
    <w:p>
      <w:pPr>
        <w:pStyle w:val="TextBody"/>
        <w:bidi w:val="0"/>
        <w:spacing w:before="1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2. DISAGGREGATION OF REVENUE</w:t>
      </w:r>
    </w:p>
    <w:p>
      <w:pPr>
        <w:pStyle w:val="TextBody"/>
        <w:bidi w:val="0"/>
        <w:spacing w:before="180" w:after="283"/>
        <w:jc w:val="both"/>
        <w:rPr>
          <w:rFonts w:ascii="Arial" w:hAnsi="Arial"/>
          <w:color w:val="000000"/>
          <w:sz w:val="20"/>
        </w:rPr>
      </w:pPr>
      <w:r>
        <w:rPr>
          <w:rFonts w:ascii="Arial" w:hAnsi="Arial"/>
          <w:color w:val="000000"/>
          <w:sz w:val="20"/>
        </w:rPr>
        <w:t>The Company generated revenue for the Company from marketplace and logistics services provided to its customers. Revenue is recognized as the Company transfers control of promised goods or services to its customers in an amount that reflects the consideration the Company expects to be entitled to in exchange for those goods or services. The Company considers both the merchant and the user to be customers, depending on the revenue stream. The Company evaluates whether it is appropriate to recognize revenue on a gross or net basis based upon its evaluation of whether the Company obtains control of the specified goods or services by considering if it is primarily responsible for fulfillment of the promise, has inventory risk and has latitude in establishing pricing and selecting suppliers, among other factors. Based on these factors, marketplace revenue is generally recognized on a net basis and logistics revenue is generally recognized on a gross basis. Revenue excludes any amounts collected on behalf of third parties, including indirect taxes.</w:t>
      </w:r>
    </w:p>
    <w:p>
      <w:pPr>
        <w:pStyle w:val="TextBody"/>
        <w:bidi w:val="0"/>
        <w:spacing w:before="180" w:after="283"/>
        <w:jc w:val="both"/>
        <w:rPr>
          <w:rFonts w:ascii="Times New Roman" w:hAnsi="Times New Roman"/>
          <w:sz w:val="20"/>
        </w:rPr>
      </w:pPr>
      <w:r>
        <w:rPr>
          <w:rFonts w:ascii="Arial" w:hAnsi="Arial"/>
          <w:i/>
          <w:color w:val="000000"/>
          <w:sz w:val="20"/>
        </w:rPr>
        <w:t>Marketplace Revenue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 provides a mix of marketplace services to its customers. The Company provides merchants access to its marketplace where merchants display and sell their products to users. The Company also provides ProductBoost services to help merchants promote their products within the Company’s marketplace.</w:t>
      </w:r>
    </w:p>
    <w:p>
      <w:pPr>
        <w:pStyle w:val="TextBody"/>
        <w:bidi w:val="0"/>
        <w:spacing w:before="180" w:after="283"/>
        <w:jc w:val="both"/>
        <w:rPr>
          <w:rFonts w:ascii="Arial" w:hAnsi="Arial"/>
          <w:color w:val="000000"/>
          <w:sz w:val="20"/>
        </w:rPr>
      </w:pPr>
      <w:r>
        <w:rPr>
          <w:rFonts w:ascii="Arial" w:hAnsi="Arial"/>
          <w:color w:val="000000"/>
          <w:sz w:val="20"/>
        </w:rPr>
        <w:t>Marketplace revenue includes commission fees collected in connection with user purchases of the merchants’ products. The commission fees vary depending on factors such as geography, product category, Wish Standards' tier, item value and dynamic pricing. The Company recognizes revenue when a user’s order is processed and the related order information has been made available to the merchant. Commission fees are recognized net of estimated refunds and chargebacks. Marketplace revenue also includes ProductBoost revenue generated by increasing exposure for a merchant’s relevant products within the Company's marketplace. The Company recognizes ProductBoost revenue based on the number of impressions delivered, or clicks by users.</w:t>
      </w:r>
    </w:p>
    <w:p>
      <w:pPr>
        <w:pStyle w:val="TextBody"/>
        <w:bidi w:val="0"/>
        <w:spacing w:before="180" w:after="283"/>
        <w:jc w:val="both"/>
        <w:rPr>
          <w:rFonts w:ascii="Arial" w:hAnsi="Arial"/>
          <w:i/>
          <w:color w:val="000000"/>
          <w:sz w:val="20"/>
        </w:rPr>
      </w:pPr>
      <w:r>
        <w:rPr>
          <w:rFonts w:ascii="Arial" w:hAnsi="Arial"/>
          <w:i/>
          <w:color w:val="000000"/>
          <w:sz w:val="20"/>
        </w:rPr>
        <w:t>Logistics Revenue</w:t>
      </w:r>
    </w:p>
    <w:p>
      <w:pPr>
        <w:pStyle w:val="TextBody"/>
        <w:bidi w:val="0"/>
        <w:spacing w:before="180" w:after="283"/>
        <w:jc w:val="both"/>
        <w:rPr>
          <w:rFonts w:ascii="Arial" w:hAnsi="Arial"/>
          <w:color w:val="000000"/>
          <w:sz w:val="20"/>
        </w:rPr>
      </w:pPr>
      <w:r>
        <w:rPr>
          <w:rFonts w:ascii="Arial" w:hAnsi="Arial"/>
          <w:color w:val="000000"/>
          <w:sz w:val="20"/>
        </w:rPr>
        <w:t>The Company’s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w:t>
      </w:r>
    </w:p>
    <w:p>
      <w:pPr>
        <w:pStyle w:val="TextBody"/>
        <w:bidi w:val="0"/>
        <w:spacing w:before="180" w:after="283"/>
        <w:jc w:val="both"/>
        <w:rPr>
          <w:rFonts w:ascii="Arial" w:hAnsi="Arial"/>
          <w:color w:val="000000"/>
          <w:sz w:val="20"/>
        </w:rPr>
      </w:pPr>
      <w:r>
        <w:rPr>
          <w:rFonts w:ascii="Arial" w:hAnsi="Arial"/>
          <w:color w:val="000000"/>
          <w:sz w:val="20"/>
        </w:rPr>
        <w:t>The Company recognizes revenue over time as the merchant simultaneously receives and consumes the logistics services benefit as the logistics services are performed. The Company uses an output method of progress based on days in transit as it best depicts the Company’s progress toward complete satisfaction of the performance obligation.</w:t>
      </w:r>
    </w:p>
    <w:p>
      <w:pPr>
        <w:pStyle w:val="TextBody"/>
        <w:bidi w:val="0"/>
        <w:spacing w:before="180" w:after="283"/>
        <w:jc w:val="both"/>
        <w:rPr>
          <w:rFonts w:ascii="Arial" w:hAnsi="Arial"/>
          <w:color w:val="000000"/>
          <w:sz w:val="20"/>
        </w:rPr>
      </w:pPr>
      <w:r>
        <w:rPr>
          <w:rFonts w:ascii="Arial" w:hAnsi="Arial"/>
          <w:color w:val="000000"/>
          <w:sz w:val="20"/>
        </w:rPr>
        <w:t>The following table shows the disaggregated revenue for the applicable periods:</w:t>
      </w:r>
    </w:p>
    <w:p>
      <w:pPr>
        <w:pStyle w:val="TextBody"/>
        <w:bidi w:val="0"/>
        <w:jc w:val="both"/>
        <w:rPr/>
      </w:pPr>
      <w:r>
        <w:rPr/>
        <w:t> </w:t>
      </w:r>
    </w:p>
    <w:tbl>
      <w:tblPr>
        <w:tblW w:w="7030" w:type="dxa"/>
        <w:jc w:val="left"/>
        <w:tblInd w:w="0" w:type="dxa"/>
        <w:tblLayout w:type="fixed"/>
        <w:tblCellMar>
          <w:top w:w="28" w:type="dxa"/>
          <w:left w:w="28" w:type="dxa"/>
          <w:bottom w:w="28" w:type="dxa"/>
          <w:right w:w="28" w:type="dxa"/>
        </w:tblCellMar>
      </w:tblPr>
      <w:tblGrid>
        <w:gridCol w:w="2681"/>
        <w:gridCol w:w="426"/>
        <w:gridCol w:w="491"/>
        <w:gridCol w:w="596"/>
        <w:gridCol w:w="426"/>
        <w:gridCol w:w="426"/>
        <w:gridCol w:w="491"/>
        <w:gridCol w:w="596"/>
        <w:gridCol w:w="426"/>
        <w:gridCol w:w="471"/>
      </w:tblGrid>
      <w:tr>
        <w:trPr/>
        <w:tc>
          <w:tcPr>
            <w:tcW w:w="26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302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r>
          </w:p>
        </w:tc>
        <w:tc>
          <w:tcPr>
            <w:tcW w:w="426" w:type="dxa"/>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3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302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26" w:type="dxa"/>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268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Core marketplace revenue</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c>
          <w:tcPr>
            <w:tcW w:w="596" w:type="dxa"/>
            <w:tcBorders/>
            <w:shd w:fill="CFF0FC" w:val="clear"/>
            <w:vAlign w:val="center"/>
          </w:tcPr>
          <w:p>
            <w:pPr>
              <w:pStyle w:val="TableContents"/>
              <w:bidi w:val="0"/>
              <w:spacing w:before="0" w:after="283"/>
              <w:ind w:left="280" w:right="0" w:firstLine="280"/>
              <w:jc w:val="right"/>
              <w:rPr>
                <w:rFonts w:ascii="Arial" w:hAnsi="Arial"/>
                <w:color w:val="000000"/>
                <w:sz w:val="20"/>
              </w:rPr>
            </w:pPr>
            <w:r>
              <w:rPr>
                <w:rFonts w:ascii="Arial" w:hAnsi="Arial"/>
                <w:color w:val="000000"/>
                <w:sz w:val="20"/>
              </w:rPr>
              <w:t>11</w:t>
            </w:r>
          </w:p>
        </w:tc>
        <w:tc>
          <w:tcPr>
            <w:tcW w:w="42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c>
          <w:tcPr>
            <w:tcW w:w="596" w:type="dxa"/>
            <w:tcBorders/>
            <w:shd w:fill="CFF0FC" w:val="clear"/>
            <w:vAlign w:val="center"/>
          </w:tcPr>
          <w:p>
            <w:pPr>
              <w:pStyle w:val="TableContents"/>
              <w:bidi w:val="0"/>
              <w:spacing w:before="0" w:after="283"/>
              <w:ind w:left="280" w:right="0" w:firstLine="280"/>
              <w:jc w:val="right"/>
              <w:rPr>
                <w:rFonts w:ascii="Arial" w:hAnsi="Arial"/>
                <w:color w:val="000000"/>
                <w:sz w:val="20"/>
              </w:rPr>
            </w:pPr>
            <w:r>
              <w:rPr>
                <w:rFonts w:ascii="Arial" w:hAnsi="Arial"/>
                <w:color w:val="000000"/>
                <w:sz w:val="20"/>
              </w:rPr>
              <w:t>28</w:t>
            </w:r>
          </w:p>
        </w:tc>
        <w:tc>
          <w:tcPr>
            <w:tcW w:w="426" w:type="dxa"/>
            <w:tcBorders/>
            <w:shd w:fill="CFF0FC" w:val="clear"/>
            <w:vAlign w:val="center"/>
          </w:tcPr>
          <w:p>
            <w:pPr>
              <w:pStyle w:val="TableContents"/>
              <w:bidi w:val="0"/>
              <w:spacing w:before="0" w:after="283"/>
              <w:ind w:left="0" w:right="0" w:firstLine="280"/>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68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ProductBoost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80" w:right="0" w:firstLine="280"/>
              <w:jc w:val="right"/>
              <w:rPr>
                <w:rFonts w:ascii="Arial" w:hAnsi="Arial"/>
                <w:color w:val="000000"/>
                <w:sz w:val="20"/>
              </w:rPr>
            </w:pPr>
            <w:r>
              <w:rPr>
                <w:rFonts w:ascii="Arial" w:hAnsi="Arial"/>
                <w:color w:val="000000"/>
                <w:sz w:val="20"/>
              </w:rPr>
              <w:t>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80" w:right="0" w:firstLine="280"/>
              <w:jc w:val="right"/>
              <w:rPr>
                <w:rFonts w:ascii="Arial" w:hAnsi="Arial"/>
                <w:color w:val="000000"/>
                <w:sz w:val="20"/>
              </w:rPr>
            </w:pPr>
            <w:r>
              <w:rPr>
                <w:rFonts w:ascii="Arial" w:hAnsi="Arial"/>
                <w:color w:val="000000"/>
                <w:sz w:val="20"/>
              </w:rPr>
              <w:t>8</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71" w:type="dxa"/>
            <w:tcBorders/>
            <w:shd w:fill="FFFFFF" w:val="clear"/>
            <w:vAlign w:val="center"/>
          </w:tcPr>
          <w:p>
            <w:pPr>
              <w:pStyle w:val="TableContents"/>
              <w:bidi w:val="0"/>
              <w:spacing w:before="0" w:after="283"/>
              <w:ind w:left="280" w:right="0" w:firstLine="280"/>
              <w:jc w:val="left"/>
              <w:rPr/>
            </w:pPr>
            <w:r>
              <w:rPr/>
              <w:t> </w:t>
            </w:r>
          </w:p>
        </w:tc>
      </w:tr>
      <w:tr>
        <w:trPr/>
        <w:tc>
          <w:tcPr>
            <w:tcW w:w="26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Marketplace revenue</w:t>
            </w:r>
          </w:p>
        </w:tc>
        <w:tc>
          <w:tcPr>
            <w:tcW w:w="42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42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r>
      <w:tr>
        <w:trPr/>
        <w:tc>
          <w:tcPr>
            <w:tcW w:w="26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Logistics revenue</w:t>
            </w:r>
          </w:p>
        </w:tc>
        <w:tc>
          <w:tcPr>
            <w:tcW w:w="426" w:type="dxa"/>
            <w:tcBorders/>
            <w:shd w:fill="FFFFFF" w:val="cle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268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Revenue</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280" w:right="0" w:firstLine="280"/>
              <w:jc w:val="right"/>
              <w:rPr>
                <w:rFonts w:ascii="Arial" w:hAnsi="Arial"/>
                <w:color w:val="000000"/>
                <w:sz w:val="20"/>
              </w:rPr>
            </w:pPr>
            <w:r>
              <w:rPr>
                <w:rFonts w:ascii="Arial" w:hAnsi="Arial"/>
                <w:color w:val="000000"/>
                <w:sz w:val="20"/>
              </w:rPr>
              <w:t>36</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280" w:right="0" w:firstLine="280"/>
              <w:jc w:val="right"/>
              <w:rPr>
                <w:rFonts w:ascii="Arial" w:hAnsi="Arial"/>
                <w:color w:val="000000"/>
                <w:sz w:val="20"/>
              </w:rPr>
            </w:pPr>
            <w:r>
              <w:rPr>
                <w:rFonts w:ascii="Arial" w:hAnsi="Arial"/>
                <w:color w:val="000000"/>
                <w:sz w:val="20"/>
              </w:rPr>
              <w:t>96</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71" w:type="dxa"/>
            <w:tcBorders/>
            <w:shd w:fill="CFF0FC" w:val="clear"/>
            <w:vAlign w:val="center"/>
          </w:tcPr>
          <w:p>
            <w:pPr>
              <w:pStyle w:val="TableContents"/>
              <w:bidi w:val="0"/>
              <w:spacing w:before="0" w:after="283"/>
              <w:ind w:left="280" w:right="0" w:firstLine="280"/>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Refer to Note 11 – Geographical Information for the disaggregated revenue by geographical location.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3. </w:t>
      </w:r>
      <w:r>
        <w:rPr>
          <w:rFonts w:ascii="Arial" w:hAnsi="Arial"/>
          <w:b/>
          <w:caps/>
          <w:color w:val="000000"/>
          <w:sz w:val="20"/>
        </w:rPr>
        <w:t>FINANCIAL INSTRUMENTS AND FAIR VALUE MEASUREMENT</w:t>
      </w:r>
    </w:p>
    <w:p>
      <w:pPr>
        <w:pStyle w:val="TextBody"/>
        <w:bidi w:val="0"/>
        <w:spacing w:before="180" w:after="283"/>
        <w:jc w:val="both"/>
        <w:rPr>
          <w:rFonts w:ascii="Times New Roman" w:hAnsi="Times New Roman"/>
          <w:sz w:val="20"/>
        </w:rPr>
      </w:pPr>
      <w:r>
        <w:rPr>
          <w:rFonts w:ascii="Arial" w:hAnsi="Arial"/>
          <w:color w:val="000000"/>
          <w:sz w:val="20"/>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Assets and liabilities recognized at fair value on a recurring basis in the condensed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pStyle w:val="TextBody"/>
        <w:bidi w:val="0"/>
        <w:spacing w:before="180" w:after="180"/>
        <w:jc w:val="both"/>
        <w:rPr>
          <w:rFonts w:ascii="Arial" w:hAnsi="Arial"/>
          <w:color w:val="000000"/>
          <w:sz w:val="20"/>
        </w:rPr>
      </w:pPr>
      <w:r>
        <w:rPr>
          <w:rFonts w:ascii="Arial" w:hAnsi="Arial"/>
          <w:color w:val="000000"/>
          <w:sz w:val="20"/>
        </w:rPr>
        <w:t>Financial assets and liabilities subject to fair value measurements on a recurring basis and the level of inputs used in such measurements are as follows:</w:t>
      </w:r>
    </w:p>
    <w:tbl>
      <w:tblPr>
        <w:tblW w:w="7655" w:type="dxa"/>
        <w:jc w:val="left"/>
        <w:tblInd w:w="0" w:type="dxa"/>
        <w:tblLayout w:type="fixed"/>
        <w:tblCellMar>
          <w:top w:w="28" w:type="dxa"/>
          <w:left w:w="28" w:type="dxa"/>
          <w:bottom w:w="28" w:type="dxa"/>
          <w:right w:w="28" w:type="dxa"/>
        </w:tblCellMar>
      </w:tblPr>
      <w:tblGrid>
        <w:gridCol w:w="3016"/>
        <w:gridCol w:w="146"/>
        <w:gridCol w:w="216"/>
        <w:gridCol w:w="355"/>
        <w:gridCol w:w="146"/>
        <w:gridCol w:w="146"/>
        <w:gridCol w:w="289"/>
        <w:gridCol w:w="476"/>
        <w:gridCol w:w="146"/>
        <w:gridCol w:w="146"/>
        <w:gridCol w:w="289"/>
        <w:gridCol w:w="476"/>
        <w:gridCol w:w="146"/>
        <w:gridCol w:w="146"/>
        <w:gridCol w:w="289"/>
        <w:gridCol w:w="476"/>
        <w:gridCol w:w="75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2"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75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1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bills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marketable securities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and other current assets:</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Derivative assets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16"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pPr>
            <w:r>
              <w:rPr/>
              <w:t> </w:t>
            </w:r>
          </w:p>
        </w:tc>
      </w:tr>
      <w:tr>
        <w:trPr/>
        <w:tc>
          <w:tcPr>
            <w:tcW w:w="30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Derivative liabilities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16"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financial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80"/>
        <w:jc w:val="both"/>
        <w:rPr/>
      </w:pPr>
      <w:r>
        <w:rPr/>
        <w:t> </w:t>
      </w:r>
    </w:p>
    <w:tbl>
      <w:tblPr>
        <w:tblW w:w="7716" w:type="dxa"/>
        <w:jc w:val="left"/>
        <w:tblInd w:w="0" w:type="dxa"/>
        <w:tblLayout w:type="fixed"/>
        <w:tblCellMar>
          <w:top w:w="28" w:type="dxa"/>
          <w:left w:w="28" w:type="dxa"/>
          <w:bottom w:w="28" w:type="dxa"/>
          <w:right w:w="28" w:type="dxa"/>
        </w:tblCellMar>
      </w:tblPr>
      <w:tblGrid>
        <w:gridCol w:w="3016"/>
        <w:gridCol w:w="146"/>
        <w:gridCol w:w="211"/>
        <w:gridCol w:w="421"/>
        <w:gridCol w:w="146"/>
        <w:gridCol w:w="146"/>
        <w:gridCol w:w="289"/>
        <w:gridCol w:w="476"/>
        <w:gridCol w:w="146"/>
        <w:gridCol w:w="146"/>
        <w:gridCol w:w="255"/>
        <w:gridCol w:w="510"/>
        <w:gridCol w:w="146"/>
        <w:gridCol w:w="146"/>
        <w:gridCol w:w="289"/>
        <w:gridCol w:w="476"/>
        <w:gridCol w:w="75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75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bills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and other current assets:</w:t>
            </w:r>
          </w:p>
        </w:tc>
        <w:tc>
          <w:tcPr>
            <w:tcW w:w="146" w:type="dxa"/>
            <w:tcBorders/>
            <w:shd w:fill="CFF0FC" w:val="clear"/>
            <w:vAlign w:val="center"/>
          </w:tcPr>
          <w:p>
            <w:pPr>
              <w:pStyle w:val="TableContents"/>
              <w:bidi w:val="0"/>
              <w:spacing w:before="0" w:after="283"/>
              <w:jc w:val="right"/>
              <w:rPr/>
            </w:pPr>
            <w:r>
              <w:rPr/>
              <w:t> </w:t>
            </w:r>
          </w:p>
        </w:tc>
        <w:tc>
          <w:tcPr>
            <w:tcW w:w="6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Derivative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pPr>
            <w:r>
              <w:rPr/>
              <w:t> </w:t>
            </w:r>
          </w:p>
        </w:tc>
      </w:tr>
      <w:tr>
        <w:trPr/>
        <w:tc>
          <w:tcPr>
            <w:tcW w:w="30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Derivative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16"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financial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summarizes the contractual maturities of the Company’s marketable securities:</w:t>
      </w:r>
    </w:p>
    <w:p>
      <w:pPr>
        <w:pStyle w:val="TextBody"/>
        <w:bidi w:val="0"/>
        <w:jc w:val="both"/>
        <w:rPr/>
      </w:pPr>
      <w:r>
        <w:rPr/>
        <w:t> </w:t>
      </w:r>
    </w:p>
    <w:tbl>
      <w:tblPr>
        <w:tblW w:w="8481" w:type="dxa"/>
        <w:jc w:val="left"/>
        <w:tblInd w:w="0" w:type="dxa"/>
        <w:tblLayout w:type="fixed"/>
        <w:tblCellMar>
          <w:top w:w="28" w:type="dxa"/>
          <w:left w:w="28" w:type="dxa"/>
          <w:bottom w:w="28" w:type="dxa"/>
          <w:right w:w="28" w:type="dxa"/>
        </w:tblCellMar>
      </w:tblPr>
      <w:tblGrid>
        <w:gridCol w:w="2756"/>
        <w:gridCol w:w="146"/>
        <w:gridCol w:w="426"/>
        <w:gridCol w:w="640"/>
        <w:gridCol w:w="146"/>
        <w:gridCol w:w="146"/>
        <w:gridCol w:w="419"/>
        <w:gridCol w:w="631"/>
        <w:gridCol w:w="146"/>
        <w:gridCol w:w="146"/>
        <w:gridCol w:w="355"/>
        <w:gridCol w:w="711"/>
        <w:gridCol w:w="146"/>
        <w:gridCol w:w="146"/>
        <w:gridCol w:w="349"/>
        <w:gridCol w:w="701"/>
        <w:gridCol w:w="471"/>
      </w:tblGrid>
      <w:tr>
        <w:trPr/>
        <w:tc>
          <w:tcPr>
            <w:tcW w:w="2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8"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8"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Estimated</w:t>
              <w:b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08"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27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Due within one year</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75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marketable securities</w:t>
            </w:r>
          </w:p>
        </w:tc>
        <w:tc>
          <w:tcPr>
            <w:tcW w:w="146" w:type="dxa"/>
            <w:tcBorders/>
            <w:shd w:fill="FFFFFF" w:val="clear"/>
            <w:vAlign w:val="center"/>
          </w:tcPr>
          <w:p>
            <w:pPr>
              <w:pStyle w:val="TableContents"/>
              <w:bidi w:val="0"/>
              <w:spacing w:before="0" w:after="283"/>
              <w:jc w:val="left"/>
              <w:rPr/>
            </w:pPr>
            <w:r>
              <w:rPr/>
              <w:t> </w:t>
            </w:r>
          </w:p>
        </w:tc>
        <w:tc>
          <w:tcPr>
            <w:tcW w:w="4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loss and net gain on available-for-sale marketable securities as of March 31, 2024 and December 31, 2023, respectively, were insignificant.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4. BALANCE SHEET COMPONENTS</w:t>
      </w:r>
    </w:p>
    <w:p>
      <w:pPr>
        <w:pStyle w:val="TextBody"/>
        <w:bidi w:val="0"/>
        <w:spacing w:before="180" w:after="283"/>
        <w:jc w:val="both"/>
        <w:rPr>
          <w:rFonts w:ascii="Times New Roman" w:hAnsi="Times New Roman"/>
          <w:sz w:val="20"/>
        </w:rPr>
      </w:pPr>
      <w:r>
        <w:rPr>
          <w:rFonts w:ascii="Arial" w:hAnsi="Arial"/>
          <w:i/>
          <w:color w:val="000000"/>
          <w:sz w:val="20"/>
        </w:rPr>
        <w:t>Accrued Liabilities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Accrued liabilities consist of the following:</w:t>
      </w:r>
    </w:p>
    <w:p>
      <w:pPr>
        <w:pStyle w:val="TextBody"/>
        <w:bidi w:val="0"/>
        <w:jc w:val="both"/>
        <w:rPr/>
      </w:pPr>
      <w:r>
        <w:rPr/>
        <w:t> </w:t>
      </w:r>
    </w:p>
    <w:tbl>
      <w:tblPr>
        <w:tblW w:w="7090" w:type="dxa"/>
        <w:jc w:val="left"/>
        <w:tblInd w:w="0" w:type="dxa"/>
        <w:tblLayout w:type="fixed"/>
        <w:tblCellMar>
          <w:top w:w="28" w:type="dxa"/>
          <w:left w:w="28" w:type="dxa"/>
          <w:bottom w:w="28" w:type="dxa"/>
          <w:right w:w="28" w:type="dxa"/>
        </w:tblCellMar>
      </w:tblPr>
      <w:tblGrid>
        <w:gridCol w:w="3811"/>
        <w:gridCol w:w="146"/>
        <w:gridCol w:w="401"/>
        <w:gridCol w:w="604"/>
        <w:gridCol w:w="146"/>
        <w:gridCol w:w="146"/>
        <w:gridCol w:w="545"/>
        <w:gridCol w:w="820"/>
        <w:gridCol w:w="47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3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6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Logistics costs</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47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Deferred revenue and customer deposits</w:t>
            </w:r>
            <w:r>
              <w:rPr>
                <w:rFonts w:ascii="Arial" w:hAnsi="Arial"/>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7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Wish Cash liability</w:t>
            </w:r>
            <w:r>
              <w:rPr>
                <w:rFonts w:ascii="Arial" w:hAnsi="Arial"/>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7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Sales and indirect taxes</w:t>
            </w:r>
            <w:r>
              <w:rPr>
                <w:rFonts w:ascii="Arial" w:hAnsi="Arial"/>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7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Others</w:t>
            </w:r>
          </w:p>
        </w:tc>
        <w:tc>
          <w:tcPr>
            <w:tcW w:w="146" w:type="dxa"/>
            <w:tcBorders/>
            <w:shd w:fill="CFF0FC" w:val="cle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8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accrued liabilities</w:t>
            </w:r>
          </w:p>
        </w:tc>
        <w:tc>
          <w:tcPr>
            <w:tcW w:w="146" w:type="dxa"/>
            <w:tcBorders/>
            <w:shd w:fill="FFFFFF" w:val="cle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sz w:val="20"/>
        </w:rPr>
      </w:pPr>
      <w:r>
        <w:rPr>
          <w:rFonts w:ascii="Arial" w:hAnsi="Arial"/>
          <w:color w:val="000000"/>
          <w:sz w:val="16"/>
        </w:rPr>
        <w:t>Logistics costs decreased by $3</w:t>
      </w:r>
      <w:r>
        <w:rPr>
          <w:rFonts w:ascii="Arial" w:hAnsi="Arial"/>
          <w:color w:val="000000"/>
          <w:sz w:val="20"/>
        </w:rPr>
        <w:t xml:space="preserve"> </w:t>
      </w:r>
      <w:r>
        <w:rPr>
          <w:rFonts w:ascii="Arial" w:hAnsi="Arial"/>
          <w:color w:val="000000"/>
          <w:sz w:val="16"/>
        </w:rPr>
        <w:t>million or 12% primarily due to lower shipping volumes during the first quarter of 2024 compared to the fourth quarter of 2023.</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sz w:val="20"/>
        </w:rPr>
      </w:pPr>
      <w:r>
        <w:rPr>
          <w:rFonts w:ascii="Arial" w:hAnsi="Arial"/>
          <w:color w:val="000000"/>
          <w:sz w:val="16"/>
        </w:rPr>
        <w:t>Deferred revenue and customer deposits decreased by $1</w:t>
      </w:r>
      <w:r>
        <w:rPr>
          <w:rFonts w:ascii="Arial" w:hAnsi="Arial"/>
          <w:color w:val="000000"/>
          <w:sz w:val="20"/>
        </w:rPr>
        <w:t xml:space="preserve"> </w:t>
      </w:r>
      <w:r>
        <w:rPr>
          <w:rFonts w:ascii="Arial" w:hAnsi="Arial"/>
          <w:color w:val="000000"/>
          <w:sz w:val="16"/>
        </w:rPr>
        <w:t xml:space="preserve">million or 8% primarily due to lower logistics volumes during the first quarter of 2024 compared to the fourth quarter of 2023. </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sz w:val="20"/>
        </w:rPr>
      </w:pPr>
      <w:r>
        <w:rPr>
          <w:rFonts w:ascii="Arial" w:hAnsi="Arial"/>
          <w:color w:val="000000"/>
          <w:sz w:val="16"/>
        </w:rPr>
        <w:t>While the Company will continue to honor all Wish Cash presented for payment, it may determine the likelihood of redemption to be remote for certain Wish Cash liability balances due to, among other things, long periods of inactivity. In these circumstances, to the extent the Company determines there is no requirement for remitting Wish Cash balances to government agencies under unclaimed property laws, the portion of Wish Cash liability balances not expected to be redeemed are recognized in core marketplace revenue. Wish Cash liability breakage recognized in core marketplace revenue was zero</w:t>
      </w:r>
      <w:r>
        <w:rPr>
          <w:rFonts w:ascii="Arial" w:hAnsi="Arial"/>
          <w:color w:val="000000"/>
          <w:sz w:val="20"/>
        </w:rPr>
        <w:t xml:space="preserve"> </w:t>
      </w:r>
      <w:r>
        <w:rPr>
          <w:rFonts w:ascii="Arial" w:hAnsi="Arial"/>
          <w:color w:val="000000"/>
          <w:sz w:val="16"/>
        </w:rPr>
        <w:t>and $1</w:t>
      </w:r>
      <w:r>
        <w:rPr>
          <w:rFonts w:ascii="Arial" w:hAnsi="Arial"/>
          <w:color w:val="000000"/>
          <w:sz w:val="20"/>
        </w:rPr>
        <w:t xml:space="preserve"> </w:t>
      </w:r>
      <w:r>
        <w:rPr>
          <w:rFonts w:ascii="Arial" w:hAnsi="Arial"/>
          <w:color w:val="000000"/>
          <w:sz w:val="16"/>
        </w:rPr>
        <w:t>million during the first quarter of 2024 and 2023, respectively.</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rFonts w:ascii="Arial" w:hAnsi="Arial"/>
          <w:sz w:val="20"/>
        </w:rPr>
      </w:pPr>
      <w:r>
        <w:rPr>
          <w:rFonts w:ascii="Arial" w:hAnsi="Arial"/>
          <w:color w:val="000000"/>
          <w:sz w:val="16"/>
        </w:rPr>
        <w:t>Sales and indirect taxes decreased by $2</w:t>
      </w:r>
      <w:r>
        <w:rPr>
          <w:rFonts w:ascii="Arial" w:hAnsi="Arial"/>
          <w:color w:val="000000"/>
          <w:sz w:val="20"/>
        </w:rPr>
        <w:t xml:space="preserve"> </w:t>
      </w:r>
      <w:r>
        <w:rPr>
          <w:rFonts w:ascii="Arial" w:hAnsi="Arial"/>
          <w:color w:val="000000"/>
          <w:sz w:val="16"/>
        </w:rPr>
        <w:t>million</w:t>
      </w:r>
      <w:r>
        <w:rPr>
          <w:rFonts w:ascii="Arial" w:hAnsi="Arial"/>
          <w:color w:val="000000"/>
          <w:sz w:val="20"/>
        </w:rPr>
        <w:t xml:space="preserve"> </w:t>
      </w:r>
      <w:r>
        <w:rPr>
          <w:rFonts w:ascii="Arial" w:hAnsi="Arial"/>
          <w:color w:val="000000"/>
          <w:sz w:val="16"/>
        </w:rPr>
        <w:t>or 17% primarily due to less taxes collected in connection with lower order volumes during the first quarter of 2024 compared to the fourth quarter of 2023, partially offset by delayed payment of value added tax to the European Union.</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0000"/>
          <w:sz w:val="20"/>
        </w:rPr>
      </w:pPr>
      <w:r>
        <w:rPr>
          <w:rFonts w:ascii="Arial" w:hAnsi="Arial"/>
          <w:b/>
          <w:color w:val="000000"/>
          <w:sz w:val="20"/>
        </w:rPr>
        <w:t>NOTE 5. DERIVATIVE FINANCIAL INSTRUMENTS</w:t>
      </w:r>
    </w:p>
    <w:p>
      <w:pPr>
        <w:pStyle w:val="TextBody"/>
        <w:bidi w:val="0"/>
        <w:spacing w:before="180" w:after="283"/>
        <w:jc w:val="both"/>
        <w:rPr>
          <w:rFonts w:ascii="Times New Roman" w:hAnsi="Times New Roman"/>
          <w:sz w:val="20"/>
        </w:rPr>
      </w:pPr>
      <w:r>
        <w:rPr>
          <w:rFonts w:ascii="Arial" w:hAnsi="Arial"/>
          <w:color w:val="000000"/>
          <w:sz w:val="20"/>
        </w:rPr>
        <w:t>The Company conducts business in certain foreign currencies throughout its worldwide operations, and various entities hold monetary assets or liabilities, earn revenues, or incur costs in currencies other than the entity’s functional currency. As a result, the Company is exposed to foreign exchange gains or losses which impact the Company’s operating results. The Company bills its users in their local currencies, primarily in U.S. dollars and Euros, and the Company makes payments to merchants for products sold on the Company’s platforms in various currencies through third party payment service providers, which creates exposure to currency rate fluctuations. The Company hedges these exposures to reduce the risk that its earnings and cash flows will be adversely affected by changes in exchange rates. As part of the Company’s foreign currency risk mitigation strategy, the Company enters into derivative contracts and foreign exchange forward contracts with up to twelve months in duration to hedge exposures for variability in U.S.-dollar equivalent of non-U.S.-dollar denominated cash flows associated with its forecasted revenue related transactions.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Company’s derivatives transactions are not collateralized and do not include collateralization agreements with counterparties. The Company does not use derivative financial instruments for speculative or trading purposes.</w:t>
      </w:r>
    </w:p>
    <w:p>
      <w:pPr>
        <w:pStyle w:val="TextBody"/>
        <w:bidi w:val="0"/>
        <w:spacing w:before="180" w:after="283"/>
        <w:jc w:val="both"/>
        <w:rPr>
          <w:rFonts w:ascii="Arial" w:hAnsi="Arial"/>
          <w:i/>
          <w:color w:val="000000"/>
          <w:sz w:val="20"/>
        </w:rPr>
      </w:pPr>
      <w:r>
        <w:rPr>
          <w:rFonts w:ascii="Arial" w:hAnsi="Arial"/>
          <w:i/>
          <w:color w:val="000000"/>
          <w:sz w:val="20"/>
        </w:rPr>
        <w:t>Volume of Derivative Activity</w:t>
      </w:r>
    </w:p>
    <w:p>
      <w:pPr>
        <w:pStyle w:val="TextBody"/>
        <w:bidi w:val="0"/>
        <w:spacing w:before="180" w:after="283"/>
        <w:jc w:val="both"/>
        <w:rPr>
          <w:rFonts w:ascii="Arial" w:hAnsi="Arial"/>
          <w:color w:val="000000"/>
          <w:sz w:val="20"/>
        </w:rPr>
      </w:pPr>
      <w:r>
        <w:rPr>
          <w:rFonts w:ascii="Arial" w:hAnsi="Arial"/>
          <w:color w:val="000000"/>
          <w:sz w:val="20"/>
        </w:rPr>
        <w:t>Total gross notional amounts for outstanding derivatives (recognized at fair value) as of the end of period consist of the following:</w:t>
      </w:r>
    </w:p>
    <w:p>
      <w:pPr>
        <w:pStyle w:val="TextBody"/>
        <w:bidi w:val="0"/>
        <w:jc w:val="both"/>
        <w:rPr/>
      </w:pPr>
      <w:r>
        <w:rPr/>
        <w:t> </w:t>
      </w:r>
    </w:p>
    <w:tbl>
      <w:tblPr>
        <w:tblW w:w="5920" w:type="dxa"/>
        <w:jc w:val="left"/>
        <w:tblInd w:w="0" w:type="dxa"/>
        <w:tblLayout w:type="fixed"/>
        <w:tblCellMar>
          <w:top w:w="28" w:type="dxa"/>
          <w:left w:w="28" w:type="dxa"/>
          <w:bottom w:w="28" w:type="dxa"/>
          <w:right w:w="28" w:type="dxa"/>
        </w:tblCellMar>
      </w:tblPr>
      <w:tblGrid>
        <w:gridCol w:w="2161"/>
        <w:gridCol w:w="146"/>
        <w:gridCol w:w="401"/>
        <w:gridCol w:w="604"/>
        <w:gridCol w:w="146"/>
        <w:gridCol w:w="146"/>
        <w:gridCol w:w="737"/>
        <w:gridCol w:w="1108"/>
        <w:gridCol w:w="47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flow hedges</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471" w:type="dxa"/>
            <w:tcBorders/>
            <w:shd w:fill="CFF0FC"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Non-designated hedges</w:t>
            </w:r>
          </w:p>
        </w:tc>
        <w:tc>
          <w:tcPr>
            <w:tcW w:w="146" w:type="dxa"/>
            <w:tcBorders/>
            <w:shd w:fill="FFFFFF" w:val="cle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16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i/>
          <w:color w:val="000000"/>
          <w:sz w:val="20"/>
        </w:rPr>
      </w:pPr>
      <w:r>
        <w:rPr>
          <w:rFonts w:ascii="Arial" w:hAnsi="Arial"/>
          <w:i/>
          <w:color w:val="000000"/>
          <w:sz w:val="20"/>
        </w:rPr>
        <w:t>Fair Value of Derivative Financial Instruments</w:t>
      </w:r>
    </w:p>
    <w:p>
      <w:pPr>
        <w:pStyle w:val="TextBody"/>
        <w:bidi w:val="0"/>
        <w:jc w:val="both"/>
        <w:rPr/>
      </w:pPr>
      <w:r>
        <w:rPr/>
        <w:t> </w:t>
      </w:r>
    </w:p>
    <w:tbl>
      <w:tblPr>
        <w:tblW w:w="9553" w:type="dxa"/>
        <w:jc w:val="left"/>
        <w:tblInd w:w="0" w:type="dxa"/>
        <w:tblLayout w:type="fixed"/>
        <w:tblCellMar>
          <w:top w:w="28" w:type="dxa"/>
          <w:left w:w="28" w:type="dxa"/>
          <w:bottom w:w="28" w:type="dxa"/>
          <w:right w:w="28" w:type="dxa"/>
        </w:tblCellMar>
      </w:tblPr>
      <w:tblGrid>
        <w:gridCol w:w="4411"/>
        <w:gridCol w:w="335"/>
        <w:gridCol w:w="550"/>
        <w:gridCol w:w="172"/>
        <w:gridCol w:w="448"/>
        <w:gridCol w:w="737"/>
        <w:gridCol w:w="146"/>
        <w:gridCol w:w="335"/>
        <w:gridCol w:w="550"/>
        <w:gridCol w:w="213"/>
        <w:gridCol w:w="448"/>
        <w:gridCol w:w="737"/>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before="0" w:after="283"/>
              <w:jc w:val="left"/>
              <w:rPr/>
            </w:pPr>
            <w:r>
              <w:rPr/>
              <w:t> </w:t>
            </w:r>
          </w:p>
        </w:tc>
        <w:tc>
          <w:tcPr>
            <w:tcW w:w="224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Assets</w:t>
            </w:r>
            <w:r>
              <w:rPr>
                <w:rFonts w:ascii="Arial" w:hAnsi="Arial"/>
                <w:b/>
                <w:color w:val="000000"/>
                <w:sz w:val="13"/>
              </w:rPr>
              <w:t>(1)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Liabilities</w:t>
            </w:r>
            <w:r>
              <w:rPr>
                <w:rFonts w:ascii="Arial" w:hAnsi="Arial"/>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Assets</w:t>
            </w:r>
            <w:r>
              <w:rPr>
                <w:rFonts w:ascii="Arial" w:hAnsi="Arial"/>
                <w:b/>
                <w:color w:val="000000"/>
                <w:sz w:val="13"/>
              </w:rPr>
              <w:t>(1)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Liabilities</w:t>
            </w:r>
            <w:r>
              <w:rPr>
                <w:rFonts w:ascii="Arial" w:hAnsi="Arial"/>
                <w:b/>
                <w:color w:val="000000"/>
                <w:sz w:val="13"/>
              </w:rPr>
              <w:t>(2)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left"/>
              <w:rPr/>
            </w:pPr>
            <w:r>
              <w:rPr/>
              <w:t> </w:t>
            </w:r>
          </w:p>
        </w:tc>
        <w:tc>
          <w:tcPr>
            <w:tcW w:w="4671" w:type="dxa"/>
            <w:gridSpan w:val="11"/>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Derivative designated as hedging instruments</w:t>
            </w:r>
          </w:p>
        </w:tc>
        <w:tc>
          <w:tcPr>
            <w:tcW w:w="885" w:type="dxa"/>
            <w:gridSpan w:val="2"/>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flow hedges</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Derivative not designated as hedging instruments</w:t>
            </w:r>
          </w:p>
        </w:tc>
        <w:tc>
          <w:tcPr>
            <w:tcW w:w="885" w:type="dxa"/>
            <w:gridSpan w:val="2"/>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Foreign currency forward contracts</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derivatives</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sz w:val="24"/>
        </w:rPr>
      </w:pPr>
      <w:r>
        <w:rPr>
          <w:rFonts w:ascii="Arial" w:hAnsi="Arial"/>
          <w:color w:val="000000"/>
          <w:sz w:val="16"/>
        </w:rPr>
        <w:t>Derivative assets are included within prepaid and other current assets</w:t>
      </w:r>
      <w:r>
        <w:rPr>
          <w:rFonts w:ascii="Arial" w:hAnsi="Arial"/>
          <w:color w:val="000000"/>
          <w:sz w:val="24"/>
        </w:rPr>
        <w:t xml:space="preserve"> </w:t>
      </w:r>
      <w:r>
        <w:rPr>
          <w:rFonts w:ascii="Arial" w:hAnsi="Arial"/>
          <w:color w:val="000000"/>
          <w:sz w:val="16"/>
        </w:rPr>
        <w:t xml:space="preserve">in the condensed consolidated balance sheets. </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sz w:val="24"/>
        </w:rPr>
      </w:pPr>
      <w:r>
        <w:rPr>
          <w:rFonts w:ascii="Arial" w:hAnsi="Arial"/>
          <w:color w:val="000000"/>
          <w:sz w:val="16"/>
        </w:rPr>
        <w:t>Derivative liabilities are included within "other" in accrued liabilities</w:t>
      </w:r>
      <w:r>
        <w:rPr>
          <w:rFonts w:ascii="Arial" w:hAnsi="Arial"/>
          <w:color w:val="000000"/>
          <w:sz w:val="24"/>
        </w:rPr>
        <w:t xml:space="preserve"> </w:t>
      </w:r>
      <w:r>
        <w:rPr>
          <w:rFonts w:ascii="Arial" w:hAnsi="Arial"/>
          <w:color w:val="000000"/>
          <w:sz w:val="16"/>
        </w:rPr>
        <w:t>in the condensed consolidated balance sheets.</w:t>
      </w:r>
    </w:p>
    <w:p>
      <w:pPr>
        <w:pStyle w:val="TextBody"/>
        <w:bidi w:val="0"/>
        <w:spacing w:before="180" w:after="283"/>
        <w:jc w:val="both"/>
        <w:rPr>
          <w:rFonts w:ascii="Arial" w:hAnsi="Arial"/>
          <w:i/>
          <w:color w:val="000000"/>
          <w:sz w:val="20"/>
        </w:rPr>
      </w:pPr>
      <w:r>
        <w:rPr>
          <w:rFonts w:ascii="Arial" w:hAnsi="Arial"/>
          <w:i/>
          <w:color w:val="000000"/>
          <w:sz w:val="20"/>
        </w:rPr>
        <w:t>Derivatives in Cash Flow Hedging Relationships</w:t>
      </w:r>
    </w:p>
    <w:p>
      <w:pPr>
        <w:pStyle w:val="TextBody"/>
        <w:bidi w:val="0"/>
        <w:spacing w:before="180" w:after="283"/>
        <w:jc w:val="both"/>
        <w:rPr>
          <w:rFonts w:ascii="Arial" w:hAnsi="Arial"/>
          <w:color w:val="262626"/>
          <w:sz w:val="20"/>
        </w:rPr>
      </w:pPr>
      <w:r>
        <w:rPr>
          <w:rFonts w:ascii="Arial" w:hAnsi="Arial"/>
          <w:color w:val="262626"/>
          <w:sz w:val="20"/>
        </w:rPr>
        <w:t>The changes in accumulated other comprehensive income (loss) resulting from cash flow hedging were as follows:</w:t>
      </w:r>
    </w:p>
    <w:tbl>
      <w:tblPr>
        <w:tblW w:w="10205" w:type="dxa"/>
        <w:jc w:val="left"/>
        <w:tblInd w:w="0" w:type="dxa"/>
        <w:tblLayout w:type="fixed"/>
        <w:tblCellMar>
          <w:top w:w="28" w:type="dxa"/>
          <w:left w:w="28" w:type="dxa"/>
          <w:bottom w:w="28" w:type="dxa"/>
          <w:right w:w="28" w:type="dxa"/>
        </w:tblCellMar>
      </w:tblPr>
      <w:tblGrid>
        <w:gridCol w:w="6801"/>
        <w:gridCol w:w="146"/>
        <w:gridCol w:w="449"/>
        <w:gridCol w:w="737"/>
        <w:gridCol w:w="166"/>
        <w:gridCol w:w="146"/>
        <w:gridCol w:w="676"/>
        <w:gridCol w:w="870"/>
        <w:gridCol w:w="214"/>
      </w:tblGrid>
      <w:tr>
        <w:trPr/>
        <w:tc>
          <w:tcPr>
            <w:tcW w:w="6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4"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214" w:type="dxa"/>
            <w:tcBorders/>
            <w:shd w:fill="FFFFFF" w:val="clear"/>
            <w:vAlign w:val="center"/>
          </w:tcPr>
          <w:p>
            <w:pPr>
              <w:pStyle w:val="TableContents"/>
              <w:bidi w:val="0"/>
              <w:spacing w:before="0" w:after="283"/>
              <w:jc w:val="center"/>
              <w:rPr/>
            </w:pPr>
            <w:r>
              <w:rPr/>
              <w:t> </w:t>
            </w:r>
          </w:p>
        </w:tc>
      </w:tr>
      <w:tr>
        <w:trPr/>
        <w:tc>
          <w:tcPr>
            <w:tcW w:w="68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beginning of the period</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4" w:type="dxa"/>
            <w:tcBorders/>
            <w:shd w:fill="CFF0FC" w:val="clear"/>
            <w:vAlign w:val="center"/>
          </w:tcPr>
          <w:p>
            <w:pPr>
              <w:pStyle w:val="TableContents"/>
              <w:bidi w:val="0"/>
              <w:spacing w:before="0" w:after="283"/>
              <w:jc w:val="left"/>
              <w:rPr/>
            </w:pPr>
            <w:r>
              <w:rPr/>
              <w:t> </w:t>
            </w:r>
          </w:p>
        </w:tc>
      </w:tr>
      <w:tr>
        <w:trPr/>
        <w:tc>
          <w:tcPr>
            <w:tcW w:w="68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before reclassifications</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1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Amounts recognized in core marketplace revenue and reclassified out of 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end of the period</w:t>
            </w:r>
          </w:p>
        </w:tc>
        <w:tc>
          <w:tcPr>
            <w:tcW w:w="146"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262626"/>
          <w:sz w:val="20"/>
        </w:rPr>
        <w:t>The Company recognizes changes in fair value of the cash flow hedges of foreign currency denominated merchants payable in accumulated other comprehensive loss in its condensed consolidated balance sheets until the forecasted transaction occurs. When the forecasted transaction affects earnings, the Company reclassifies the related gain or loss on the cash flow hedge to core marketplace revenue. All amounts in other comprehensive income at period end are expected to be reclassified to earnings within 12 months. In the event the underlying forecasted transaction does not occur, or it becomes probable that it will not occur, the Company reclassifies the gain or loss on the related cash flow hedge from accumulated other comprehensive loss to core marketplace revenue. For the three months ended March 31, 2024 and 2023, there were no</w:t>
      </w:r>
      <w:r>
        <w:rPr>
          <w:rFonts w:ascii="Times New Roman" w:hAnsi="Times New Roman"/>
          <w:color w:val="262626"/>
          <w:sz w:val="20"/>
        </w:rPr>
        <w:t xml:space="preserve"> </w:t>
      </w:r>
      <w:r>
        <w:rPr>
          <w:rFonts w:ascii="Arial" w:hAnsi="Arial"/>
          <w:color w:val="262626"/>
          <w:sz w:val="20"/>
        </w:rPr>
        <w:t>net gains or losses recognized in core marketplace revenue relating to hedges of forecasted transactions that did not occur or were not probable to occur.</w:t>
      </w:r>
    </w:p>
    <w:p>
      <w:pPr>
        <w:pStyle w:val="TextBody"/>
        <w:bidi w:val="0"/>
        <w:spacing w:before="180" w:after="283"/>
        <w:jc w:val="both"/>
        <w:rPr>
          <w:rFonts w:ascii="Arial" w:hAnsi="Arial"/>
          <w:color w:val="000000"/>
          <w:sz w:val="20"/>
        </w:rPr>
      </w:pPr>
      <w:r>
        <w:rPr>
          <w:rFonts w:ascii="Arial" w:hAnsi="Arial"/>
          <w:color w:val="000000"/>
          <w:sz w:val="20"/>
        </w:rPr>
        <w:t>The Company classifies cash flows related to its cash flow hedges as operating activities in its condensed consolidated statements of cash flows.</w:t>
      </w:r>
    </w:p>
    <w:p>
      <w:pPr>
        <w:pStyle w:val="TextBody"/>
        <w:bidi w:val="0"/>
        <w:spacing w:before="180" w:after="283"/>
        <w:jc w:val="both"/>
        <w:rPr>
          <w:rFonts w:ascii="Arial" w:hAnsi="Arial"/>
          <w:i/>
          <w:color w:val="262626"/>
          <w:sz w:val="20"/>
        </w:rPr>
      </w:pPr>
      <w:r>
        <w:rPr>
          <w:rFonts w:ascii="Arial" w:hAnsi="Arial"/>
          <w:i/>
          <w:color w:val="262626"/>
          <w:sz w:val="20"/>
        </w:rPr>
        <w:t>Derivatives Not Designated as Hedging Instruments</w:t>
      </w:r>
    </w:p>
    <w:p>
      <w:pPr>
        <w:pStyle w:val="TextBody"/>
        <w:bidi w:val="0"/>
        <w:spacing w:before="180" w:after="283"/>
        <w:jc w:val="both"/>
        <w:rPr>
          <w:rFonts w:ascii="Arial" w:hAnsi="Arial"/>
          <w:color w:val="000000"/>
          <w:sz w:val="20"/>
        </w:rPr>
      </w:pPr>
      <w:r>
        <w:rPr>
          <w:rFonts w:ascii="Arial" w:hAnsi="Arial"/>
          <w:color w:val="000000"/>
          <w:sz w:val="20"/>
        </w:rPr>
        <w:t>The net gains and losses on the change in fair value of the Company’s foreign exchange forward contracts not designated as hedging instruments recognized in other income, net in the condensed consolidated statements of operations were insignificant for the three months ended March 31, 2024 and 2023, and were recognized in other income, net in the condensed consolidated statements of operations.</w:t>
      </w:r>
    </w:p>
    <w:p>
      <w:pPr>
        <w:pStyle w:val="TextBody"/>
        <w:bidi w:val="0"/>
        <w:spacing w:before="180" w:after="283"/>
        <w:jc w:val="both"/>
        <w:rPr>
          <w:rFonts w:ascii="Times New Roman" w:hAnsi="Times New Roman"/>
          <w:sz w:val="20"/>
        </w:rPr>
      </w:pPr>
      <w:r>
        <w:rPr>
          <w:rFonts w:ascii="Arial" w:hAnsi="Arial"/>
          <w:color w:val="000000"/>
          <w:sz w:val="20"/>
        </w:rPr>
        <w:t>The Company classifies cash flows related to its non-designated hedging instruments as operating activities in its condensed consolidated statements of cash flows.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6. OPERATING LEASES</w:t>
      </w:r>
    </w:p>
    <w:p>
      <w:pPr>
        <w:pStyle w:val="TextBody"/>
        <w:bidi w:val="0"/>
        <w:spacing w:before="180" w:after="283"/>
        <w:jc w:val="both"/>
        <w:rPr>
          <w:rFonts w:ascii="Times New Roman" w:hAnsi="Times New Roman"/>
          <w:sz w:val="20"/>
        </w:rPr>
      </w:pPr>
      <w:r>
        <w:rPr>
          <w:rFonts w:ascii="Arial" w:hAnsi="Arial"/>
          <w:color w:val="000000"/>
          <w:sz w:val="20"/>
        </w:rPr>
        <w:t>The Company leases its facilities and data center colocations under operating leases with various expiration dates through 2027.</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Total operating lease cost was $1</w:t>
      </w:r>
      <w:r>
        <w:rPr>
          <w:rFonts w:ascii="Times New Roman" w:hAnsi="Times New Roman"/>
          <w:color w:val="000000"/>
          <w:sz w:val="20"/>
        </w:rPr>
        <w:t xml:space="preserve"> </w:t>
      </w:r>
      <w:r>
        <w:rPr>
          <w:rFonts w:ascii="Arial" w:hAnsi="Arial"/>
          <w:color w:val="000000"/>
          <w:sz w:val="20"/>
        </w:rPr>
        <w:t>million for each of the three months ended March 31, 2024 and 2023. Short-term lease costs, variable lease costs and sublease income were not material.</w:t>
      </w:r>
    </w:p>
    <w:p>
      <w:pPr>
        <w:pStyle w:val="TextBody"/>
        <w:bidi w:val="0"/>
        <w:spacing w:before="180" w:after="283"/>
        <w:jc w:val="both"/>
        <w:rPr>
          <w:rFonts w:ascii="Times New Roman" w:hAnsi="Times New Roman"/>
          <w:sz w:val="20"/>
        </w:rPr>
      </w:pPr>
      <w:r>
        <w:rPr>
          <w:rFonts w:ascii="Arial" w:hAnsi="Arial"/>
          <w:color w:val="000000"/>
          <w:sz w:val="20"/>
        </w:rPr>
        <w:t>As of March 31, 2024 and December 31, 2023, the Company’s condensed consolidated balance sheets included right-of-use assets in the amount of $5</w:t>
      </w:r>
      <w:r>
        <w:rPr>
          <w:rFonts w:ascii="Times New Roman" w:hAnsi="Times New Roman"/>
          <w:color w:val="000000"/>
          <w:sz w:val="20"/>
        </w:rPr>
        <w:t xml:space="preserve"> </w:t>
      </w:r>
      <w:r>
        <w:rPr>
          <w:rFonts w:ascii="Arial" w:hAnsi="Arial"/>
          <w:color w:val="000000"/>
          <w:sz w:val="20"/>
        </w:rPr>
        <w:t>million for both periods, and current lease liabilities in the amount of $7</w:t>
      </w:r>
      <w:r>
        <w:rPr>
          <w:rFonts w:ascii="Times New Roman" w:hAnsi="Times New Roman"/>
          <w:color w:val="000000"/>
          <w:sz w:val="20"/>
        </w:rPr>
        <w:t xml:space="preserve"> </w:t>
      </w:r>
      <w:r>
        <w:rPr>
          <w:rFonts w:ascii="Arial" w:hAnsi="Arial"/>
          <w:color w:val="000000"/>
          <w:sz w:val="20"/>
        </w:rPr>
        <w:t>million in accrued liabilities</w:t>
      </w:r>
      <w:r>
        <w:rPr>
          <w:rFonts w:ascii="Times New Roman" w:hAnsi="Times New Roman"/>
          <w:color w:val="000000"/>
          <w:sz w:val="20"/>
        </w:rPr>
        <w:t xml:space="preserve"> </w:t>
      </w:r>
      <w:r>
        <w:rPr>
          <w:rFonts w:ascii="Arial" w:hAnsi="Arial"/>
          <w:color w:val="000000"/>
          <w:sz w:val="20"/>
        </w:rPr>
        <w:t>for both periods, and $4</w:t>
      </w:r>
      <w:r>
        <w:rPr>
          <w:rFonts w:ascii="Times New Roman" w:hAnsi="Times New Roman"/>
          <w:color w:val="000000"/>
          <w:sz w:val="20"/>
        </w:rPr>
        <w:t xml:space="preserve"> </w:t>
      </w:r>
      <w:r>
        <w:rPr>
          <w:rFonts w:ascii="Arial" w:hAnsi="Arial"/>
          <w:color w:val="000000"/>
          <w:sz w:val="20"/>
        </w:rPr>
        <w:t>million and $6</w:t>
      </w:r>
      <w:r>
        <w:rPr>
          <w:rFonts w:ascii="Times New Roman" w:hAnsi="Times New Roman"/>
          <w:color w:val="000000"/>
          <w:sz w:val="20"/>
        </w:rPr>
        <w:t xml:space="preserve"> </w:t>
      </w:r>
      <w:r>
        <w:rPr>
          <w:rFonts w:ascii="Arial" w:hAnsi="Arial"/>
          <w:color w:val="000000"/>
          <w:sz w:val="20"/>
        </w:rPr>
        <w:t>million in lease liabilities, non-current, respectively.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March 31, 2024 and December 31, 2023, the weighted-average remaining lease term was 2</w:t>
      </w:r>
      <w:r>
        <w:rPr>
          <w:rFonts w:ascii="Times New Roman" w:hAnsi="Times New Roman"/>
          <w:color w:val="000000"/>
          <w:sz w:val="20"/>
        </w:rPr>
        <w:t xml:space="preserve"> </w:t>
      </w:r>
      <w:r>
        <w:rPr>
          <w:rFonts w:ascii="Arial" w:hAnsi="Arial"/>
          <w:color w:val="000000"/>
          <w:sz w:val="20"/>
        </w:rPr>
        <w:t>years for both periods, and the weighted-average discount rate used to determine the net present value of the lease liabilities was 6% for both periods.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Supplemental cash flow information for the Company’s operating leases was as follows:</w:t>
      </w:r>
    </w:p>
    <w:tbl>
      <w:tblPr>
        <w:tblW w:w="8912" w:type="dxa"/>
        <w:jc w:val="left"/>
        <w:tblInd w:w="0" w:type="dxa"/>
        <w:tblLayout w:type="fixed"/>
        <w:tblCellMar>
          <w:top w:w="28" w:type="dxa"/>
          <w:left w:w="28" w:type="dxa"/>
          <w:bottom w:w="28" w:type="dxa"/>
          <w:right w:w="28" w:type="dxa"/>
        </w:tblCellMar>
      </w:tblPr>
      <w:tblGrid>
        <w:gridCol w:w="6271"/>
        <w:gridCol w:w="146"/>
        <w:gridCol w:w="376"/>
        <w:gridCol w:w="376"/>
        <w:gridCol w:w="260"/>
        <w:gridCol w:w="260"/>
        <w:gridCol w:w="376"/>
        <w:gridCol w:w="376"/>
        <w:gridCol w:w="47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62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62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 </w:t>
            </w:r>
          </w:p>
        </w:tc>
        <w:tc>
          <w:tcPr>
            <w:tcW w:w="3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71"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The maturities of the Company’s operating lease liabilities are as follows:</w:t>
      </w:r>
    </w:p>
    <w:tbl>
      <w:tblPr>
        <w:tblW w:w="5108" w:type="dxa"/>
        <w:jc w:val="left"/>
        <w:tblInd w:w="0" w:type="dxa"/>
        <w:tblLayout w:type="fixed"/>
        <w:tblCellMar>
          <w:top w:w="28" w:type="dxa"/>
          <w:left w:w="28" w:type="dxa"/>
          <w:bottom w:w="28" w:type="dxa"/>
          <w:right w:w="28" w:type="dxa"/>
        </w:tblCellMar>
      </w:tblPr>
      <w:tblGrid>
        <w:gridCol w:w="3161"/>
        <w:gridCol w:w="146"/>
        <w:gridCol w:w="419"/>
        <w:gridCol w:w="631"/>
        <w:gridCol w:w="751"/>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r>
          </w:p>
        </w:tc>
        <w:tc>
          <w:tcPr>
            <w:tcW w:w="751" w:type="dxa"/>
            <w:tcBorders/>
            <w:shd w:fill="FFFFFF" w:val="clear"/>
            <w:vAlign w:val="center"/>
          </w:tcPr>
          <w:p>
            <w:pPr>
              <w:pStyle w:val="TableContents"/>
              <w:bidi w:val="0"/>
              <w:spacing w:before="0" w:after="283"/>
              <w:jc w:val="center"/>
              <w:rPr/>
            </w:pPr>
            <w:r>
              <w:rPr/>
              <w:t> </w:t>
            </w:r>
          </w:p>
        </w:tc>
      </w:tr>
      <w:tr>
        <w:trPr/>
        <w:tc>
          <w:tcPr>
            <w:tcW w:w="3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1" w:type="dxa"/>
            <w:tcBorders/>
            <w:shd w:fill="FFFFFF" w:val="cle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Year ending December 31,</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751" w:type="dxa"/>
            <w:tcBorders/>
            <w:shd w:fill="FFFFFF" w:val="clear"/>
            <w:vAlign w:val="center"/>
          </w:tcPr>
          <w:p>
            <w:pPr>
              <w:pStyle w:val="TableContents"/>
              <w:bidi w:val="0"/>
              <w:spacing w:before="0" w:after="283"/>
              <w:ind w:left="0" w:right="0" w:firstLine="280"/>
              <w:jc w:val="center"/>
              <w:rPr/>
            </w:pPr>
            <w:r>
              <w:rPr/>
              <w:t> </w:t>
            </w:r>
          </w:p>
        </w:tc>
      </w:tr>
      <w:tr>
        <w:trPr/>
        <w:tc>
          <w:tcPr>
            <w:tcW w:w="316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2024 (remaining nine months)</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16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16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16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16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41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75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16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16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7. </w:t>
      </w:r>
      <w:r>
        <w:rPr>
          <w:rFonts w:ascii="Arial" w:hAnsi="Arial"/>
          <w:b/>
          <w:caps/>
          <w:color w:val="000000"/>
          <w:sz w:val="20"/>
        </w:rPr>
        <w:t>COMMITMENTS AND CONTINGENCIES</w:t>
      </w:r>
    </w:p>
    <w:p>
      <w:pPr>
        <w:pStyle w:val="TextBody"/>
        <w:bidi w:val="0"/>
        <w:spacing w:before="180" w:after="283"/>
        <w:jc w:val="left"/>
        <w:rPr>
          <w:rFonts w:ascii="Arial" w:hAnsi="Arial"/>
          <w:b/>
          <w:i/>
          <w:color w:val="000000"/>
          <w:sz w:val="20"/>
        </w:rPr>
      </w:pPr>
      <w:r>
        <w:rPr>
          <w:rFonts w:ascii="Arial" w:hAnsi="Arial"/>
          <w:b/>
          <w:i/>
          <w:color w:val="000000"/>
          <w:sz w:val="20"/>
        </w:rPr>
        <w:t>Revolving Credit Facility</w:t>
      </w:r>
    </w:p>
    <w:p>
      <w:pPr>
        <w:pStyle w:val="TextBody"/>
        <w:bidi w:val="0"/>
        <w:spacing w:before="180" w:after="283"/>
        <w:jc w:val="both"/>
        <w:rPr>
          <w:rFonts w:ascii="Times New Roman" w:hAnsi="Times New Roman"/>
          <w:sz w:val="20"/>
        </w:rPr>
      </w:pPr>
      <w:r>
        <w:rPr>
          <w:rFonts w:ascii="Arial" w:hAnsi="Arial"/>
          <w:color w:val="000000"/>
          <w:sz w:val="20"/>
        </w:rPr>
        <w:t>In November 2020, the Company entered into a five-year</w:t>
      </w:r>
      <w:r>
        <w:rPr>
          <w:rFonts w:ascii="Times New Roman" w:hAnsi="Times New Roman"/>
          <w:color w:val="000000"/>
          <w:sz w:val="20"/>
        </w:rPr>
        <w:t xml:space="preserve"> </w:t>
      </w:r>
      <w:r>
        <w:rPr>
          <w:rFonts w:ascii="Arial" w:hAnsi="Arial"/>
          <w:color w:val="000000"/>
          <w:sz w:val="20"/>
        </w:rPr>
        <w:t>$280</w:t>
      </w:r>
      <w:r>
        <w:rPr>
          <w:rFonts w:ascii="Times New Roman" w:hAnsi="Times New Roman"/>
          <w:color w:val="000000"/>
          <w:sz w:val="20"/>
        </w:rPr>
        <w:t xml:space="preserve"> </w:t>
      </w:r>
      <w:r>
        <w:rPr>
          <w:rFonts w:ascii="Arial" w:hAnsi="Arial"/>
          <w:color w:val="000000"/>
          <w:sz w:val="20"/>
        </w:rPr>
        <w:t>million senior secured revolving credit facility (the “Revolving Credit Facility”). If the Company is able to secure additional lender commitments and satisfy certain other conditions, the aggregate facility commitments can be increased by up to $100</w:t>
      </w:r>
      <w:r>
        <w:rPr>
          <w:rFonts w:ascii="Times New Roman" w:hAnsi="Times New Roman"/>
          <w:color w:val="000000"/>
          <w:sz w:val="20"/>
        </w:rPr>
        <w:t xml:space="preserve"> </w:t>
      </w:r>
      <w:r>
        <w:rPr>
          <w:rFonts w:ascii="Arial" w:hAnsi="Arial"/>
          <w:color w:val="000000"/>
          <w:sz w:val="20"/>
        </w:rPr>
        <w:t>million through an accordion option. The Company also enters into letters of credit from time to time, which reduces its borrowing capacity under the Revolving Credit Facility. Interest on any borrowings under the Revolving Credit Facility accrues at either adjusted LIBOR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 be drawn under any letters of credit outstanding under the Revolving Credit Facility. In March 2024, the Company executed a letter to reduce the Revolving Credit Facility from an aggregate principal amount of $280</w:t>
      </w:r>
      <w:r>
        <w:rPr>
          <w:rFonts w:ascii="Times New Roman" w:hAnsi="Times New Roman"/>
          <w:color w:val="000000"/>
          <w:sz w:val="20"/>
        </w:rPr>
        <w:t xml:space="preserve"> </w:t>
      </w:r>
      <w:r>
        <w:rPr>
          <w:rFonts w:ascii="Arial" w:hAnsi="Arial"/>
          <w:color w:val="000000"/>
          <w:sz w:val="20"/>
        </w:rPr>
        <w:t>million to $7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Revolving Credit Facility contains customary conditions to borrowing, events of default and covenants, including covenants that restrict the Company’s ability (and the ability of certain of the Company’s subsidiaries) to incur indebtedness, grant liens, make certain fundamental changes and asset sales, make distributions to stockholders, make investments or engage in transactions with affiliates. It also contains a minimum liquidity financial covenant of $350</w:t>
      </w:r>
      <w:r>
        <w:rPr>
          <w:rFonts w:ascii="Times New Roman" w:hAnsi="Times New Roman"/>
          <w:color w:val="000000"/>
          <w:sz w:val="20"/>
        </w:rPr>
        <w:t xml:space="preserve"> </w:t>
      </w:r>
      <w:r>
        <w:rPr>
          <w:rFonts w:ascii="Arial" w:hAnsi="Arial"/>
          <w:color w:val="000000"/>
          <w:sz w:val="20"/>
        </w:rPr>
        <w:t>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(the "Letter of Credit") in the amount of approximately $7</w:t>
      </w:r>
      <w:r>
        <w:rPr>
          <w:rFonts w:ascii="Times New Roman" w:hAnsi="Times New Roman"/>
          <w:color w:val="000000"/>
          <w:sz w:val="20"/>
        </w:rPr>
        <w:t xml:space="preserve"> </w:t>
      </w:r>
      <w:r>
        <w:rPr>
          <w:rFonts w:ascii="Arial" w:hAnsi="Arial"/>
          <w:color w:val="000000"/>
          <w:sz w:val="20"/>
        </w:rPr>
        <w:t>million has been issued under the Revolving Credit Facility in conjunction with the lease of the Company’s previous headquarters in San Francisco, California. As of March 31, 2024, the Company had not made any borrowings under the Revolving Credit Facility and it was in compliance with the related financial covenants. Fees incurred under the Revolving Credit Facility were insignificant for the three months ended March 31, 2024 and 2023.</w:t>
      </w:r>
    </w:p>
    <w:p>
      <w:pPr>
        <w:pStyle w:val="TextBody"/>
        <w:bidi w:val="0"/>
        <w:spacing w:before="180" w:after="283"/>
        <w:jc w:val="both"/>
        <w:rPr>
          <w:rFonts w:ascii="Times New Roman" w:hAnsi="Times New Roman"/>
          <w:sz w:val="20"/>
        </w:rPr>
      </w:pPr>
      <w:r>
        <w:rPr>
          <w:rFonts w:ascii="Arial" w:hAnsi="Arial"/>
          <w:color w:val="000000"/>
          <w:sz w:val="20"/>
        </w:rPr>
        <w:t>At the closing of the Asset Sale on April 19, 2024, we terminated the Revolving Credit Facility. At that closing, the Letter of Credit ceased to be issued and under the Revolving Credit Facility and was cash collateralized in equal amounts by the Company and the Buyer. Furthermore, the Company's previous headquarters have been transferred to the Buyer, which has assumed the Company's obligations under the lease for those headquarters. Refer to Note 13 – Subsequent Events.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Purchase Obligations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Effective September 1, 2022, the Company entered into an amendment to a colocation and cloud services arrangement committing the Company to make payments of $85</w:t>
      </w:r>
      <w:r>
        <w:rPr>
          <w:rFonts w:ascii="Times New Roman" w:hAnsi="Times New Roman"/>
          <w:color w:val="000000"/>
          <w:sz w:val="20"/>
        </w:rPr>
        <w:t xml:space="preserve"> </w:t>
      </w:r>
      <w:r>
        <w:rPr>
          <w:rFonts w:ascii="Arial" w:hAnsi="Arial"/>
          <w:color w:val="000000"/>
          <w:sz w:val="20"/>
        </w:rPr>
        <w:t>million for services over 3</w:t>
      </w:r>
      <w:r>
        <w:rPr>
          <w:rFonts w:ascii="Times New Roman" w:hAnsi="Times New Roman"/>
          <w:color w:val="000000"/>
          <w:sz w:val="20"/>
        </w:rPr>
        <w:t xml:space="preserve"> </w:t>
      </w:r>
      <w:r>
        <w:rPr>
          <w:rFonts w:ascii="Arial" w:hAnsi="Arial"/>
          <w:color w:val="000000"/>
          <w:sz w:val="20"/>
        </w:rPr>
        <w:t>years. As of March 31, 2024, the remaining commitment under this amended agreement was approximately $41</w:t>
      </w:r>
      <w:r>
        <w:rPr>
          <w:rFonts w:ascii="Times New Roman" w:hAnsi="Times New Roman"/>
          <w:color w:val="000000"/>
          <w:sz w:val="20"/>
        </w:rPr>
        <w:t xml:space="preserve"> </w:t>
      </w:r>
      <w:r>
        <w:rPr>
          <w:rFonts w:ascii="Arial" w:hAnsi="Arial"/>
          <w:color w:val="000000"/>
          <w:sz w:val="20"/>
        </w:rPr>
        <w:t>million and is payable within the next 1 year and 5 months.</w:t>
      </w:r>
    </w:p>
    <w:p>
      <w:pPr>
        <w:pStyle w:val="TextBody"/>
        <w:bidi w:val="0"/>
        <w:spacing w:before="180" w:after="283"/>
        <w:jc w:val="both"/>
        <w:rPr>
          <w:rFonts w:ascii="Arial" w:hAnsi="Arial"/>
          <w:b/>
          <w:i/>
          <w:color w:val="000000"/>
          <w:sz w:val="20"/>
        </w:rPr>
      </w:pPr>
      <w:r>
        <w:rPr>
          <w:rFonts w:ascii="Arial" w:hAnsi="Arial"/>
          <w:b/>
          <w:i/>
          <w:color w:val="000000"/>
          <w:sz w:val="20"/>
        </w:rPr>
        <w:t>Legal Contingencies and Proceedings</w:t>
      </w:r>
    </w:p>
    <w:p>
      <w:pPr>
        <w:pStyle w:val="TextBody"/>
        <w:bidi w:val="0"/>
        <w:spacing w:before="180" w:after="283"/>
        <w:jc w:val="both"/>
        <w:rPr>
          <w:rFonts w:ascii="Times New Roman" w:hAnsi="Times New Roman"/>
          <w:sz w:val="20"/>
        </w:rPr>
      </w:pPr>
      <w:r>
        <w:rPr>
          <w:rFonts w:ascii="Arial" w:hAnsi="Arial"/>
          <w:color w:val="000000"/>
          <w:sz w:val="20"/>
        </w:rPr>
        <w:t>Beginning in May 2021, four</w:t>
      </w:r>
      <w:r>
        <w:rPr>
          <w:rFonts w:ascii="Times New Roman" w:hAnsi="Times New Roman"/>
          <w:color w:val="000000"/>
          <w:sz w:val="20"/>
        </w:rPr>
        <w:t xml:space="preserve"> </w:t>
      </w:r>
      <w:r>
        <w:rPr>
          <w:rFonts w:ascii="Arial" w:hAnsi="Arial"/>
          <w:color w:val="000000"/>
          <w:sz w:val="20"/>
        </w:rPr>
        <w:t>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w:t>
      </w:r>
      <w:r>
        <w:rPr>
          <w:rFonts w:ascii="Times New Roman" w:hAnsi="Times New Roman"/>
          <w:color w:val="000000"/>
          <w:sz w:val="20"/>
        </w:rPr>
        <w:t xml:space="preserve"> </w:t>
      </w:r>
      <w:r>
        <w:rPr>
          <w:rFonts w:ascii="Arial" w:hAnsi="Arial"/>
          <w:color w:val="000000"/>
          <w:sz w:val="20"/>
        </w:rPr>
        <w:t>of these cases has since been dismissed by the plaintiff and the remaining three</w:t>
      </w:r>
      <w:r>
        <w:rPr>
          <w:rFonts w:ascii="Times New Roman" w:hAnsi="Times New Roman"/>
          <w:color w:val="000000"/>
          <w:sz w:val="20"/>
        </w:rPr>
        <w:t xml:space="preserve"> </w:t>
      </w:r>
      <w:r>
        <w:rPr>
          <w:rFonts w:ascii="Arial" w:hAnsi="Arial"/>
          <w:color w:val="000000"/>
          <w:sz w:val="20"/>
        </w:rPr>
        <w:t>have been coordinated and consolidated. In May 2022, the Court appointed lead plaintiffs, who subsequently filed an amended consolidated class action complaint pursuant to Sections 11 and 15 of the Securities Act and Sections 10(b) and 20(a) of the Exchange Act. On April 10, 2023, the plaintiffs filed an amended complaint and asserted only claims made under Sections 11 and 15 of the Securities Act. In December 2023, the Court granted Defendants' motion to dismiss the first amended consolidated complaint. In February 2024, plaintiffs filed a second amended consolidated complaint, which Defendants have moved to dismiss. The Company believes these lawsuits are without merit and intends to vigorously defend them. Based on the preliminary nature of the proceedings in these cases, the Company cannot estimate a range of potential losses at this point in time.</w:t>
      </w:r>
    </w:p>
    <w:p>
      <w:pPr>
        <w:pStyle w:val="TextBody"/>
        <w:bidi w:val="0"/>
        <w:spacing w:before="180" w:after="283"/>
        <w:jc w:val="both"/>
        <w:rPr>
          <w:rFonts w:ascii="Times New Roman" w:hAnsi="Times New Roman"/>
          <w:sz w:val="20"/>
        </w:rPr>
      </w:pPr>
      <w:r>
        <w:rPr>
          <w:rFonts w:ascii="Arial" w:hAnsi="Arial"/>
          <w:color w:val="000000"/>
          <w:sz w:val="20"/>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Company cannot estimate a range of potential losses at this point in time.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As of March 31, 2024,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 xml:space="preserve">NOTE 8. </w:t>
      </w:r>
      <w:r>
        <w:rPr>
          <w:rFonts w:ascii="Arial" w:hAnsi="Arial"/>
          <w:b/>
          <w:caps/>
          <w:color w:val="000000"/>
          <w:sz w:val="20"/>
        </w:rPr>
        <w:t>EQUITY Award activity and STOCK-based compensation</w:t>
      </w:r>
    </w:p>
    <w:p>
      <w:pPr>
        <w:pStyle w:val="TextBody"/>
        <w:bidi w:val="0"/>
        <w:spacing w:before="180" w:after="283"/>
        <w:jc w:val="both"/>
        <w:rPr>
          <w:rFonts w:ascii="Times New Roman" w:hAnsi="Times New Roman"/>
          <w:sz w:val="20"/>
        </w:rPr>
      </w:pPr>
      <w:r>
        <w:rPr>
          <w:rFonts w:ascii="Arial" w:hAnsi="Arial"/>
          <w:b/>
          <w:i/>
          <w:color w:val="000000"/>
          <w:sz w:val="20"/>
        </w:rPr>
        <w:t>Equity Award Activity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 summary of activity under the equity plans and related information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73"/>
        <w:gridCol w:w="146"/>
        <w:gridCol w:w="293"/>
        <w:gridCol w:w="854"/>
        <w:gridCol w:w="146"/>
        <w:gridCol w:w="146"/>
        <w:gridCol w:w="259"/>
        <w:gridCol w:w="702"/>
        <w:gridCol w:w="146"/>
        <w:gridCol w:w="146"/>
        <w:gridCol w:w="319"/>
        <w:gridCol w:w="792"/>
        <w:gridCol w:w="146"/>
        <w:gridCol w:w="146"/>
        <w:gridCol w:w="232"/>
        <w:gridCol w:w="915"/>
        <w:gridCol w:w="166"/>
        <w:gridCol w:w="146"/>
        <w:gridCol w:w="684"/>
        <w:gridCol w:w="1855"/>
        <w:gridCol w:w="193"/>
      </w:tblGrid>
      <w:tr>
        <w:trPr/>
        <w:tc>
          <w:tcPr>
            <w:tcW w:w="1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77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RSUs Outstanding</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 of</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br/>
              <w:t>Average</w:t>
              <w:br/>
              <w:t>Remaining</w:t>
              <w:br/>
              <w:t>Contractual</w:t>
              <w:br/>
              <w:t>Term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 of</w:t>
              <w:b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Weighted-Average Grant Date Fair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gridSpan w:val="2"/>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(in thousands)</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9" w:type="dxa"/>
            <w:gridSpan w:val="2"/>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77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5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30.05</w:t>
            </w:r>
          </w:p>
        </w:tc>
        <w:tc>
          <w:tcPr>
            <w:tcW w:w="193" w:type="dxa"/>
            <w:tcBorders/>
            <w:shd w:fill="CFF0FC" w:val="clear"/>
            <w:vAlign w:val="center"/>
          </w:tcPr>
          <w:p>
            <w:pPr>
              <w:pStyle w:val="TableContents"/>
              <w:bidi w:val="0"/>
              <w:spacing w:before="0" w:after="283"/>
              <w:jc w:val="left"/>
              <w:rPr/>
            </w:pPr>
            <w:r>
              <w:rPr/>
              <w:t> </w:t>
            </w:r>
          </w:p>
        </w:tc>
      </w:tr>
      <w:tr>
        <w:trPr/>
        <w:tc>
          <w:tcPr>
            <w:tcW w:w="177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55"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177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Vested</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6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5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38.94</w:t>
            </w:r>
          </w:p>
        </w:tc>
        <w:tc>
          <w:tcPr>
            <w:tcW w:w="193" w:type="dxa"/>
            <w:tcBorders/>
            <w:shd w:fill="CFF0FC" w:val="clear"/>
            <w:vAlign w:val="center"/>
          </w:tcPr>
          <w:p>
            <w:pPr>
              <w:pStyle w:val="TableContents"/>
              <w:bidi w:val="0"/>
              <w:spacing w:before="0" w:after="283"/>
              <w:jc w:val="left"/>
              <w:rPr/>
            </w:pPr>
            <w:r>
              <w:rPr/>
              <w:t> </w:t>
            </w:r>
          </w:p>
        </w:tc>
      </w:tr>
      <w:tr>
        <w:trPr/>
        <w:tc>
          <w:tcPr>
            <w:tcW w:w="177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Forfeited or cancelled</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6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5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54.23</w:t>
            </w:r>
          </w:p>
        </w:tc>
        <w:tc>
          <w:tcPr>
            <w:tcW w:w="193" w:type="dxa"/>
            <w:tcBorders/>
            <w:shd w:fill="FFFFFF" w:val="clear"/>
            <w:vAlign w:val="center"/>
          </w:tcPr>
          <w:p>
            <w:pPr>
              <w:pStyle w:val="TableContents"/>
              <w:bidi w:val="0"/>
              <w:spacing w:before="0" w:after="283"/>
              <w:jc w:val="left"/>
              <w:rPr/>
            </w:pPr>
            <w:r>
              <w:rPr/>
              <w:t> </w:t>
            </w:r>
          </w:p>
        </w:tc>
      </w:tr>
      <w:tr>
        <w:trPr/>
        <w:tc>
          <w:tcPr>
            <w:tcW w:w="177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Balances at March 31, 2024</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5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28.01</w:t>
            </w:r>
          </w:p>
        </w:tc>
        <w:tc>
          <w:tcPr>
            <w:tcW w:w="193"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both"/>
        <w:rPr>
          <w:rFonts w:ascii="Times New Roman" w:hAnsi="Times New Roman"/>
          <w:sz w:val="20"/>
        </w:rPr>
      </w:pPr>
      <w:r>
        <w:rPr>
          <w:rFonts w:ascii="Arial" w:hAnsi="Arial"/>
          <w:color w:val="000000"/>
          <w:sz w:val="20"/>
        </w:rPr>
        <w:t>The weighted-average grant date fair value of restricted stock was $25.92</w:t>
      </w:r>
      <w:r>
        <w:rPr>
          <w:rFonts w:ascii="Times New Roman" w:hAnsi="Times New Roman"/>
          <w:color w:val="000000"/>
          <w:sz w:val="20"/>
        </w:rPr>
        <w:t xml:space="preserve"> </w:t>
      </w:r>
      <w:r>
        <w:rPr>
          <w:rFonts w:ascii="Arial" w:hAnsi="Arial"/>
          <w:color w:val="000000"/>
          <w:sz w:val="20"/>
        </w:rPr>
        <w:t>per share for the three months ended March 31, 2023. There were no</w:t>
      </w:r>
      <w:r>
        <w:rPr>
          <w:rFonts w:ascii="Times New Roman" w:hAnsi="Times New Roman"/>
          <w:color w:val="000000"/>
          <w:sz w:val="20"/>
        </w:rPr>
        <w:t xml:space="preserve"> </w:t>
      </w:r>
      <w:r>
        <w:rPr>
          <w:rFonts w:ascii="Arial" w:hAnsi="Arial"/>
          <w:color w:val="000000"/>
          <w:sz w:val="20"/>
        </w:rPr>
        <w:t>restricted stock grants in the three months ended March 31, 2024. As of March 31, 2024, 3,441</w:t>
      </w:r>
      <w:r>
        <w:rPr>
          <w:rFonts w:ascii="Times New Roman" w:hAnsi="Times New Roman"/>
          <w:color w:val="000000"/>
          <w:sz w:val="20"/>
        </w:rPr>
        <w:t xml:space="preserve"> </w:t>
      </w:r>
      <w:r>
        <w:rPr>
          <w:rFonts w:ascii="Arial" w:hAnsi="Arial"/>
          <w:color w:val="000000"/>
          <w:sz w:val="20"/>
        </w:rPr>
        <w:t>thousand shares remained available for grant under the Company’s equity incentive plans. In connection with the closing of the Asset Sale, all outstanding equity awards became fully vested at the closing.</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CEO Transition</w:t>
      </w:r>
    </w:p>
    <w:p>
      <w:pPr>
        <w:pStyle w:val="TextBody"/>
        <w:bidi w:val="0"/>
        <w:spacing w:before="180" w:after="283"/>
        <w:jc w:val="both"/>
        <w:rPr>
          <w:rFonts w:ascii="Times New Roman" w:hAnsi="Times New Roman"/>
          <w:sz w:val="20"/>
        </w:rPr>
      </w:pPr>
      <w:r>
        <w:rPr>
          <w:rFonts w:ascii="Arial" w:hAnsi="Arial"/>
          <w:color w:val="000000"/>
          <w:sz w:val="20"/>
        </w:rPr>
        <w:t>In February 2023, the Board appointed Jun Yan as the Company's CEO, who was then serving as the Company's interim CEO. According to the terms of his new employment agreement, Mr. Yan was granted (i) 167</w:t>
      </w:r>
      <w:r>
        <w:rPr>
          <w:rFonts w:ascii="Times New Roman" w:hAnsi="Times New Roman"/>
          <w:color w:val="000000"/>
          <w:sz w:val="20"/>
        </w:rPr>
        <w:t xml:space="preserve"> </w:t>
      </w:r>
      <w:r>
        <w:rPr>
          <w:rFonts w:ascii="Arial" w:hAnsi="Arial"/>
          <w:color w:val="000000"/>
          <w:sz w:val="20"/>
        </w:rPr>
        <w:t>thousand RSUs with an aggregate grant date fair value of $3</w:t>
      </w:r>
      <w:r>
        <w:rPr>
          <w:rFonts w:ascii="Times New Roman" w:hAnsi="Times New Roman"/>
          <w:color w:val="000000"/>
          <w:sz w:val="20"/>
        </w:rPr>
        <w:t xml:space="preserve"> </w:t>
      </w:r>
      <w:r>
        <w:rPr>
          <w:rFonts w:ascii="Arial" w:hAnsi="Arial"/>
          <w:color w:val="000000"/>
          <w:sz w:val="20"/>
        </w:rPr>
        <w:t>million and (ii) options to purchase 299</w:t>
      </w:r>
      <w:r>
        <w:rPr>
          <w:rFonts w:ascii="Times New Roman" w:hAnsi="Times New Roman"/>
          <w:color w:val="000000"/>
          <w:sz w:val="20"/>
        </w:rPr>
        <w:t xml:space="preserve"> </w:t>
      </w:r>
      <w:r>
        <w:rPr>
          <w:rFonts w:ascii="Arial" w:hAnsi="Arial"/>
          <w:color w:val="000000"/>
          <w:sz w:val="20"/>
        </w:rPr>
        <w:t>thousand shares of the Company's common stock at an exercise price $15.03</w:t>
      </w:r>
      <w:r>
        <w:rPr>
          <w:rFonts w:ascii="Times New Roman" w:hAnsi="Times New Roman"/>
          <w:color w:val="000000"/>
          <w:sz w:val="20"/>
        </w:rPr>
        <w:t xml:space="preserve"> </w:t>
      </w:r>
      <w:r>
        <w:rPr>
          <w:rFonts w:ascii="Arial" w:hAnsi="Arial"/>
          <w:color w:val="000000"/>
          <w:sz w:val="20"/>
        </w:rPr>
        <w:t>per share with an aggregate grant date fair value of $3</w:t>
      </w:r>
      <w:r>
        <w:rPr>
          <w:rFonts w:ascii="Times New Roman" w:hAnsi="Times New Roman"/>
          <w:color w:val="000000"/>
          <w:sz w:val="20"/>
        </w:rPr>
        <w:t xml:space="preserve"> </w:t>
      </w:r>
      <w:r>
        <w:rPr>
          <w:rFonts w:ascii="Arial" w:hAnsi="Arial"/>
          <w:color w:val="000000"/>
          <w:sz w:val="20"/>
        </w:rPr>
        <w:t>million. These RSUs and options will become vested and exercisable, respectively, in periodic installments over a 2-year term, subject to the CEO's continued service with the Company. The option award has a term of 10</w:t>
      </w:r>
      <w:r>
        <w:rPr>
          <w:rFonts w:ascii="Times New Roman" w:hAnsi="Times New Roman"/>
          <w:color w:val="000000"/>
          <w:sz w:val="20"/>
        </w:rPr>
        <w:t xml:space="preserve"> </w:t>
      </w:r>
      <w:r>
        <w:rPr>
          <w:rFonts w:ascii="Arial" w:hAnsi="Arial"/>
          <w:color w:val="000000"/>
          <w:sz w:val="20"/>
        </w:rPr>
        <w:t>years. Mr. Yan's equity awards granted under his previous employment agreement as interim CEO will continue to vest according to the terms of that agreement. In connection with the closing of the Asset Sale, all of Mr. Yan's outstanding equity awards became fully vested at the closing.</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Stock Option Valuation</w:t>
      </w:r>
    </w:p>
    <w:p>
      <w:pPr>
        <w:pStyle w:val="TextBody"/>
        <w:bidi w:val="0"/>
        <w:spacing w:before="180" w:after="283"/>
        <w:jc w:val="both"/>
        <w:rPr>
          <w:rFonts w:ascii="Arial" w:hAnsi="Arial"/>
          <w:color w:val="000000"/>
          <w:sz w:val="20"/>
        </w:rPr>
      </w:pPr>
      <w:r>
        <w:rPr>
          <w:rFonts w:ascii="Arial" w:hAnsi="Arial"/>
          <w:color w:val="000000"/>
          <w:sz w:val="20"/>
        </w:rPr>
        <w:t>The fair value of options was estimated using the Black-Scholes option pricing model which takes into account inputs such as the exercise price, the value of the underlying shares as of the grant date, expected term, expected volatility, risk free interest rate, and dividend yield. The fair value of the options was determined using the methods and assumptions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expected term of the options was determined using the “simplified” method as prescribed in the SEC’s Staff Accounting Bulletin No. 107, whereby the expected life equals the arithmetic average of the vesting term and the original contractual term of the option due to the Company’s lack of sufficient historical data.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risk-free interest rate was based on the interest rate payable on the U.S. Treasury securities in effect at the time of grant for a period that is commensurate with the assumed expected term.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expected volatility was based on the historical volatility of the publicly traded common stock of peer group companies blended with the limited historical volatility of the Company’s own common stock weighted to reflect the short trading period of the Company’s stock since its IPO in December 2020.</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expected dividend yield was zero because the Company has not historically paid and does not expect to pay a dividend on its ordinary shares in the foreseeable future.</w:t>
      </w:r>
    </w:p>
    <w:p>
      <w:pPr>
        <w:pStyle w:val="TextBody"/>
        <w:bidi w:val="0"/>
        <w:spacing w:before="180" w:after="283"/>
        <w:jc w:val="both"/>
        <w:rPr>
          <w:rFonts w:ascii="Times New Roman" w:hAnsi="Times New Roman"/>
          <w:sz w:val="20"/>
        </w:rPr>
      </w:pPr>
      <w:r>
        <w:rPr>
          <w:rFonts w:ascii="Arial" w:hAnsi="Arial"/>
          <w:color w:val="000000"/>
          <w:sz w:val="20"/>
        </w:rPr>
        <w:t>A summary of the assumptions used in the Black-Scholes option pricing model to determine the fair value of the options is as follows:</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291" w:type="dxa"/>
        <w:jc w:val="left"/>
        <w:tblInd w:w="0" w:type="dxa"/>
        <w:tblLayout w:type="fixed"/>
        <w:tblCellMar>
          <w:top w:w="28" w:type="dxa"/>
          <w:left w:w="28" w:type="dxa"/>
          <w:bottom w:w="28" w:type="dxa"/>
          <w:right w:w="28" w:type="dxa"/>
        </w:tblCellMar>
      </w:tblPr>
      <w:tblGrid>
        <w:gridCol w:w="2731"/>
        <w:gridCol w:w="146"/>
        <w:gridCol w:w="192"/>
        <w:gridCol w:w="456"/>
        <w:gridCol w:w="192"/>
        <w:gridCol w:w="192"/>
        <w:gridCol w:w="278"/>
        <w:gridCol w:w="773"/>
        <w:gridCol w:w="33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right"/>
              <w:rPr>
                <w:color w:val="000000"/>
              </w:rPr>
            </w:pPr>
            <w:r>
              <w:rPr>
                <w:color w:val="000000"/>
              </w:rPr>
              <w:t>—</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5.55</w:t>
            </w:r>
          </w:p>
        </w:tc>
        <w:tc>
          <w:tcPr>
            <w:tcW w:w="33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Risk free interest rate</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4.15</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right"/>
              <w:rPr>
                <w:color w:val="000000"/>
              </w:rPr>
            </w:pPr>
            <w:r>
              <w:rPr>
                <w:color w:val="000000"/>
              </w:rPr>
              <w:t>—</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91.51</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Estimated fair value per share</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right"/>
              <w:rPr>
                <w:color w:val="000000"/>
              </w:rPr>
            </w:pPr>
            <w:r>
              <w:rPr>
                <w:color w:val="000000"/>
              </w:rPr>
              <w:t>—</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11.27</w:t>
            </w:r>
          </w:p>
        </w:tc>
        <w:tc>
          <w:tcPr>
            <w:tcW w:w="33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*No new options were granted during the three months ended March 31, 2024</w:t>
      </w:r>
    </w:p>
    <w:p>
      <w:pPr>
        <w:pStyle w:val="TextBody"/>
        <w:bidi w:val="0"/>
        <w:spacing w:before="180" w:after="283"/>
        <w:jc w:val="both"/>
        <w:rPr>
          <w:rFonts w:ascii="Arial" w:hAnsi="Arial"/>
          <w:b/>
          <w:i/>
          <w:color w:val="000000"/>
          <w:sz w:val="20"/>
        </w:rPr>
      </w:pPr>
      <w:r>
        <w:rPr>
          <w:rFonts w:ascii="Arial" w:hAnsi="Arial"/>
          <w:b/>
          <w:i/>
          <w:color w:val="000000"/>
          <w:sz w:val="20"/>
        </w:rPr>
        <w:t>Modification of Equity Awards</w:t>
      </w:r>
    </w:p>
    <w:p>
      <w:pPr>
        <w:pStyle w:val="TextBody"/>
        <w:bidi w:val="0"/>
        <w:spacing w:before="180" w:after="283"/>
        <w:jc w:val="both"/>
        <w:rPr>
          <w:rFonts w:ascii="Times New Roman" w:hAnsi="Times New Roman"/>
          <w:sz w:val="20"/>
        </w:rPr>
      </w:pPr>
      <w:r>
        <w:rPr>
          <w:rFonts w:ascii="Arial" w:hAnsi="Arial"/>
          <w:color w:val="000000"/>
          <w:sz w:val="20"/>
        </w:rPr>
        <w:t>In February 2024, the Company modified its outstanding stock options to extend the expiration date of any option vested as of the date of employment termination from a 90-day</w:t>
      </w:r>
      <w:r>
        <w:rPr>
          <w:rFonts w:ascii="Times New Roman" w:hAnsi="Times New Roman"/>
          <w:color w:val="000000"/>
          <w:sz w:val="20"/>
        </w:rPr>
        <w:t xml:space="preserve"> </w:t>
      </w:r>
      <w:r>
        <w:rPr>
          <w:rFonts w:ascii="Arial" w:hAnsi="Arial"/>
          <w:color w:val="000000"/>
          <w:sz w:val="20"/>
        </w:rPr>
        <w:t>period to a two-year</w:t>
      </w:r>
      <w:r>
        <w:rPr>
          <w:rFonts w:ascii="Times New Roman" w:hAnsi="Times New Roman"/>
          <w:color w:val="000000"/>
          <w:sz w:val="20"/>
        </w:rPr>
        <w:t xml:space="preserve"> </w:t>
      </w:r>
      <w:r>
        <w:rPr>
          <w:rFonts w:ascii="Arial" w:hAnsi="Arial"/>
          <w:color w:val="000000"/>
          <w:sz w:val="20"/>
        </w:rPr>
        <w:t>period. The Company concluded that the extension of the expiration date of the stock options constituted a Type I modification. The stock based compensation impact of the modification is insignificant. Further, in February 2024, the Board of Directors, as permitted by the terms of the Company's equity incentive plans, modified all outstanding restricted stock awards and options, to add a change-in-control provision whereby all unvested awards would become fully vested upon the occurrence of a change in control. The impact of these modifications to stock-based compensation expense for the period ended March 31, 2024 was insignificant.</w:t>
      </w:r>
    </w:p>
    <w:p>
      <w:pPr>
        <w:pStyle w:val="TextBody"/>
        <w:bidi w:val="0"/>
        <w:spacing w:before="180" w:after="283"/>
        <w:jc w:val="both"/>
        <w:rPr>
          <w:rFonts w:ascii="Times New Roman" w:hAnsi="Times New Roman"/>
          <w:sz w:val="20"/>
        </w:rPr>
      </w:pPr>
      <w:r>
        <w:rPr>
          <w:rFonts w:ascii="Arial" w:hAnsi="Arial"/>
          <w:b/>
          <w:i/>
          <w:color w:val="000000"/>
          <w:sz w:val="20"/>
        </w:rPr>
        <w:t>Stock-Based Compensation Expense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Total stock-based compensation expense included in the condensed consolidated statements of operations is as follows:</w:t>
      </w:r>
      <w:r>
        <w:rPr>
          <w:rFonts w:ascii="Times New Roman" w:hAnsi="Times New Roman"/>
          <w:color w:val="000000"/>
          <w:sz w:val="20"/>
        </w:rPr>
        <w:t xml:space="preserve"> </w:t>
      </w:r>
    </w:p>
    <w:tbl>
      <w:tblPr>
        <w:tblW w:w="5890" w:type="dxa"/>
        <w:jc w:val="left"/>
        <w:tblInd w:w="0" w:type="dxa"/>
        <w:tblLayout w:type="fixed"/>
        <w:tblCellMar>
          <w:top w:w="28" w:type="dxa"/>
          <w:left w:w="28" w:type="dxa"/>
          <w:bottom w:w="28" w:type="dxa"/>
          <w:right w:w="28" w:type="dxa"/>
        </w:tblCellMar>
      </w:tblPr>
      <w:tblGrid>
        <w:gridCol w:w="3236"/>
        <w:gridCol w:w="146"/>
        <w:gridCol w:w="312"/>
        <w:gridCol w:w="513"/>
        <w:gridCol w:w="216"/>
        <w:gridCol w:w="216"/>
        <w:gridCol w:w="312"/>
        <w:gridCol w:w="468"/>
        <w:gridCol w:w="47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7"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r>
          </w:p>
        </w:tc>
        <w:tc>
          <w:tcPr>
            <w:tcW w:w="471" w:type="dxa"/>
            <w:tcBorders/>
            <w:shd w:fill="FFFFFF" w:val="cle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7"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32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3" w:type="dxa"/>
            <w:tcBorders/>
            <w:shd w:fill="CFF0FC" w:val="clear"/>
            <w:vAlign w:val="center"/>
          </w:tcPr>
          <w:p>
            <w:pPr>
              <w:pStyle w:val="TableContents"/>
              <w:bidi w:val="0"/>
              <w:spacing w:before="0" w:after="283"/>
              <w:jc w:val="right"/>
              <w:rPr>
                <w:color w:val="000000"/>
              </w:rPr>
            </w:pPr>
            <w:r>
              <w:rPr>
                <w:color w:val="000000"/>
              </w:rPr>
              <w:t>—</w:t>
            </w:r>
          </w:p>
        </w:tc>
        <w:tc>
          <w:tcPr>
            <w:tcW w:w="21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1" w:type="dxa"/>
            <w:tcBorders/>
            <w:shd w:fill="CFF0FC" w:val="cle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1" w:type="dxa"/>
            <w:tcBorders/>
            <w:shd w:fill="FFFFFF" w:val="clear"/>
            <w:vAlign w:val="center"/>
          </w:tcPr>
          <w:p>
            <w:pPr>
              <w:pStyle w:val="TableContents"/>
              <w:bidi w:val="0"/>
              <w:spacing w:before="0" w:after="283"/>
              <w:jc w:val="left"/>
              <w:rPr/>
            </w:pPr>
            <w:r>
              <w:rPr/>
              <w:t> </w:t>
            </w:r>
          </w:p>
        </w:tc>
      </w:tr>
      <w:tr>
        <w:trPr/>
        <w:tc>
          <w:tcPr>
            <w:tcW w:w="32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1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46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471" w:type="dxa"/>
            <w:tcBorders/>
            <w:shd w:fill="CFF0FC" w:val="cle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3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both"/>
        <w:rPr>
          <w:rFonts w:ascii="Times New Roman" w:hAnsi="Times New Roman"/>
          <w:sz w:val="20"/>
        </w:rPr>
      </w:pPr>
      <w:r>
        <w:rPr>
          <w:rFonts w:ascii="Arial" w:hAnsi="Arial"/>
          <w:color w:val="000000"/>
          <w:sz w:val="20"/>
        </w:rPr>
        <w:t>The Company will recognize the remaining $1</w:t>
      </w:r>
      <w:r>
        <w:rPr>
          <w:rFonts w:ascii="Times New Roman" w:hAnsi="Times New Roman"/>
          <w:color w:val="000000"/>
          <w:sz w:val="20"/>
        </w:rPr>
        <w:t xml:space="preserve"> </w:t>
      </w:r>
      <w:r>
        <w:rPr>
          <w:rFonts w:ascii="Arial" w:hAnsi="Arial"/>
          <w:color w:val="000000"/>
          <w:sz w:val="20"/>
        </w:rPr>
        <w:t>million and $43</w:t>
      </w:r>
      <w:r>
        <w:rPr>
          <w:rFonts w:ascii="Times New Roman" w:hAnsi="Times New Roman"/>
          <w:color w:val="000000"/>
          <w:sz w:val="20"/>
        </w:rPr>
        <w:t xml:space="preserve"> </w:t>
      </w:r>
      <w:r>
        <w:rPr>
          <w:rFonts w:ascii="Arial" w:hAnsi="Arial"/>
          <w:color w:val="000000"/>
          <w:sz w:val="20"/>
        </w:rPr>
        <w:t>million of unrecognized stock-based compensation expense over a weighted-average period of approximately 0.9</w:t>
      </w:r>
      <w:r>
        <w:rPr>
          <w:rFonts w:ascii="Times New Roman" w:hAnsi="Times New Roman"/>
          <w:color w:val="000000"/>
          <w:sz w:val="20"/>
        </w:rPr>
        <w:t xml:space="preserve"> </w:t>
      </w:r>
      <w:r>
        <w:rPr>
          <w:rFonts w:ascii="Arial" w:hAnsi="Arial"/>
          <w:color w:val="000000"/>
          <w:sz w:val="20"/>
        </w:rPr>
        <w:t>years and 1.8</w:t>
      </w:r>
      <w:r>
        <w:rPr>
          <w:rFonts w:ascii="Times New Roman" w:hAnsi="Times New Roman"/>
          <w:color w:val="000000"/>
          <w:sz w:val="20"/>
        </w:rPr>
        <w:t xml:space="preserve"> </w:t>
      </w:r>
      <w:r>
        <w:rPr>
          <w:rFonts w:ascii="Arial" w:hAnsi="Arial"/>
          <w:color w:val="000000"/>
          <w:sz w:val="20"/>
        </w:rPr>
        <w:t>years related to options and RSUs, respectively. In connection with the closing of the Asset Sale, all outstanding equity awards became fully vested at the closing.</w:t>
      </w:r>
      <w:r>
        <w:rPr>
          <w:rFonts w:ascii="Times New Roman" w:hAnsi="Times New Roman"/>
          <w:color w:val="000000"/>
          <w:sz w:val="20"/>
        </w:rPr>
        <w:t xml:space="preserve"> </w:t>
      </w:r>
    </w:p>
    <w:p>
      <w:pPr>
        <w:pStyle w:val="TextBody"/>
        <w:bidi w:val="0"/>
        <w:spacing w:before="1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0000"/>
          <w:sz w:val="20"/>
        </w:rPr>
      </w:pPr>
      <w:r>
        <w:rPr>
          <w:rFonts w:ascii="Arial" w:hAnsi="Arial"/>
          <w:b/>
          <w:color w:val="000000"/>
          <w:sz w:val="20"/>
        </w:rPr>
        <w:t>NOTE 9. INCOME TAXES</w:t>
      </w:r>
    </w:p>
    <w:p>
      <w:pPr>
        <w:pStyle w:val="TextBody"/>
        <w:bidi w:val="0"/>
        <w:spacing w:before="180" w:after="283"/>
        <w:jc w:val="both"/>
        <w:rPr>
          <w:rFonts w:ascii="Arial" w:hAnsi="Arial"/>
          <w:color w:val="000000"/>
          <w:sz w:val="20"/>
        </w:rPr>
      </w:pPr>
      <w:r>
        <w:rPr>
          <w:rFonts w:ascii="Arial" w:hAnsi="Arial"/>
          <w:color w:val="000000"/>
          <w:sz w:val="20"/>
        </w:rPr>
        <w:t>The Company’s tax provision for the interim periods is determined using an estimate of the annual effective tax rate, adjusted for discrete items, if any, that arise during the period. Each quarter, the Company assesses its estimate of the annual effective tax rate, and if the estimated annual effective tax rate changes, the Company makes a cumulative adjustment in the period of change.</w:t>
      </w:r>
    </w:p>
    <w:p>
      <w:pPr>
        <w:pStyle w:val="TextBody"/>
        <w:bidi w:val="0"/>
        <w:spacing w:before="180" w:after="283"/>
        <w:jc w:val="both"/>
        <w:rPr>
          <w:rFonts w:ascii="Arial" w:hAnsi="Arial"/>
          <w:color w:val="000000"/>
          <w:sz w:val="20"/>
        </w:rPr>
      </w:pPr>
      <w:r>
        <w:rPr>
          <w:rFonts w:ascii="Arial" w:hAnsi="Arial"/>
          <w:color w:val="000000"/>
          <w:sz w:val="20"/>
        </w:rPr>
        <w:t>The Company’s quarterly tax provision and the estimate of the annual effective tax rate is subject to fluctuation due to several factors, including variability in pre-tax earnings, the geographic distribution of the pre-tax earnings, tax law changes, non-deductible expenses, such as stock-based compensation, and changes in the estimate of the valuation allowance.</w:t>
      </w:r>
    </w:p>
    <w:p>
      <w:pPr>
        <w:pStyle w:val="TextBody"/>
        <w:bidi w:val="0"/>
        <w:spacing w:before="180" w:after="283"/>
        <w:jc w:val="both"/>
        <w:rPr>
          <w:rFonts w:ascii="Times New Roman" w:hAnsi="Times New Roman"/>
          <w:sz w:val="20"/>
        </w:rPr>
      </w:pPr>
      <w:r>
        <w:rPr>
          <w:rFonts w:ascii="Arial" w:hAnsi="Arial"/>
          <w:color w:val="000000"/>
          <w:sz w:val="20"/>
        </w:rPr>
        <w:t>The provision for income taxes was $6</w:t>
      </w:r>
      <w:r>
        <w:rPr>
          <w:rFonts w:ascii="Times New Roman" w:hAnsi="Times New Roman"/>
          <w:color w:val="000000"/>
          <w:sz w:val="20"/>
        </w:rPr>
        <w:t xml:space="preserve"> </w:t>
      </w:r>
      <w:r>
        <w:rPr>
          <w:rFonts w:ascii="Arial" w:hAnsi="Arial"/>
          <w:color w:val="000000"/>
          <w:sz w:val="20"/>
        </w:rPr>
        <w:t>million and $0</w:t>
      </w:r>
      <w:r>
        <w:rPr>
          <w:rFonts w:ascii="Times New Roman" w:hAnsi="Times New Roman"/>
          <w:color w:val="000000"/>
          <w:sz w:val="20"/>
        </w:rPr>
        <w:t xml:space="preserve"> </w:t>
      </w:r>
      <w:r>
        <w:rPr>
          <w:rFonts w:ascii="Arial" w:hAnsi="Arial"/>
          <w:color w:val="000000"/>
          <w:sz w:val="20"/>
        </w:rPr>
        <w:t>million for the three months ended March 31, 2024 and 2023, respectively. The year-over-year increase in provision for income taxes was primarily due to withholding taxes accrued on certain intercompany dividends. The Company continues to maintain a valuation allowance on its domestic net deferred tax assets which is excluded from the annual effective tax rate estimate.</w:t>
      </w:r>
    </w:p>
    <w:p>
      <w:pPr>
        <w:pStyle w:val="TextBody"/>
        <w:bidi w:val="0"/>
        <w:spacing w:before="180" w:after="283"/>
        <w:jc w:val="both"/>
        <w:rPr>
          <w:rFonts w:ascii="Times New Roman" w:hAnsi="Times New Roman"/>
          <w:sz w:val="20"/>
        </w:rPr>
      </w:pPr>
      <w:r>
        <w:rPr>
          <w:rFonts w:ascii="Arial" w:hAnsi="Arial"/>
          <w:color w:val="000000"/>
          <w:sz w:val="20"/>
        </w:rPr>
        <w:t>The Company had $4</w:t>
      </w:r>
      <w:r>
        <w:rPr>
          <w:rFonts w:ascii="Times New Roman" w:hAnsi="Times New Roman"/>
          <w:color w:val="000000"/>
          <w:sz w:val="20"/>
        </w:rPr>
        <w:t xml:space="preserve"> </w:t>
      </w:r>
      <w:r>
        <w:rPr>
          <w:rFonts w:ascii="Arial" w:hAnsi="Arial"/>
          <w:color w:val="000000"/>
          <w:sz w:val="20"/>
        </w:rPr>
        <w:t>million of unrecognized tax benefits as of March 31, 2024 and December 31, 2023. These unrecognized tax benefits, if recognized, would affect the effective tax rate. The interest and penalties associated with the unrecognized tax benefits for each of the three months ended March 31, 2024 and December 31, 2023 were immaterial.</w:t>
      </w:r>
    </w:p>
    <w:p>
      <w:pPr>
        <w:pStyle w:val="TextBody"/>
        <w:bidi w:val="0"/>
        <w:spacing w:before="180" w:after="283"/>
        <w:jc w:val="both"/>
        <w:rPr>
          <w:rFonts w:ascii="Arial" w:hAnsi="Arial"/>
          <w:color w:val="000000"/>
          <w:sz w:val="20"/>
        </w:rPr>
      </w:pPr>
      <w:r>
        <w:rPr>
          <w:rFonts w:ascii="Arial" w:hAnsi="Arial"/>
          <w:color w:val="000000"/>
          <w:sz w:val="20"/>
        </w:rPr>
        <w:t>The Company files income tax returns in the U.S. federal jurisdiction and various state and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10. </w:t>
      </w:r>
      <w:r>
        <w:rPr>
          <w:rFonts w:ascii="Arial" w:hAnsi="Arial"/>
          <w:b/>
          <w:caps/>
          <w:color w:val="000000"/>
          <w:sz w:val="20"/>
        </w:rPr>
        <w:t>Net loss per share</w:t>
      </w:r>
      <w:r>
        <w:rPr>
          <w:rFonts w:ascii="Times New Roman" w:hAnsi="Times New Roman"/>
          <w:caps/>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sets forth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5722"/>
        <w:gridCol w:w="146"/>
        <w:gridCol w:w="385"/>
        <w:gridCol w:w="1262"/>
        <w:gridCol w:w="303"/>
        <w:gridCol w:w="266"/>
        <w:gridCol w:w="385"/>
        <w:gridCol w:w="1262"/>
        <w:gridCol w:w="474"/>
      </w:tblGrid>
      <w:tr>
        <w:trPr/>
        <w:tc>
          <w:tcPr>
            <w:tcW w:w="5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57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March 31,</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left"/>
              <w:rPr/>
            </w:pPr>
            <w:r>
              <w:rPr/>
              <w:t> </w:t>
            </w:r>
          </w:p>
        </w:tc>
        <w:tc>
          <w:tcPr>
            <w:tcW w:w="1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63"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 shares in thousands, except per share data)</w:t>
            </w:r>
          </w:p>
        </w:tc>
        <w:tc>
          <w:tcPr>
            <w:tcW w:w="474" w:type="dxa"/>
            <w:tcBorders/>
            <w:shd w:fill="FFFFFF" w:val="clear"/>
            <w:vAlign w:val="center"/>
          </w:tcPr>
          <w:p>
            <w:pPr>
              <w:pStyle w:val="TableContents"/>
              <w:bidi w:val="0"/>
              <w:spacing w:before="0" w:after="283"/>
              <w:jc w:val="center"/>
              <w:rPr/>
            </w:pPr>
            <w:r>
              <w:rPr/>
              <w:t> </w:t>
            </w:r>
          </w:p>
        </w:tc>
      </w:tr>
      <w:tr>
        <w:trPr/>
        <w:tc>
          <w:tcPr>
            <w:tcW w:w="5722"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647" w:type="dxa"/>
            <w:gridSpan w:val="2"/>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647" w:type="dxa"/>
            <w:gridSpan w:val="2"/>
            <w:tcBorders/>
            <w:shd w:fill="CFF0FC" w:val="clear"/>
            <w:vAlign w:val="center"/>
          </w:tcPr>
          <w:p>
            <w:pPr>
              <w:pStyle w:val="TableContents"/>
              <w:bidi w:val="0"/>
              <w:spacing w:before="0" w:after="283"/>
              <w:jc w:val="left"/>
              <w:rPr/>
            </w:pPr>
            <w:r>
              <w:rPr/>
              <w:t> </w:t>
            </w:r>
          </w:p>
        </w:tc>
        <w:tc>
          <w:tcPr>
            <w:tcW w:w="474" w:type="dxa"/>
            <w:tcBorders/>
            <w:shd w:fill="CFF0FC" w:val="clear"/>
            <w:vAlign w:val="center"/>
          </w:tcPr>
          <w:p>
            <w:pPr>
              <w:pStyle w:val="TableContents"/>
              <w:bidi w:val="0"/>
              <w:spacing w:before="0" w:after="283"/>
              <w:ind w:left="0" w:right="0" w:firstLine="280"/>
              <w:jc w:val="left"/>
              <w:rPr/>
            </w:pPr>
            <w:r>
              <w:rPr/>
              <w:t> </w:t>
            </w:r>
          </w:p>
        </w:tc>
      </w:tr>
      <w:tr>
        <w:trPr/>
        <w:tc>
          <w:tcPr>
            <w:tcW w:w="572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6" w:type="dxa"/>
            <w:tcBorders/>
            <w:shd w:fill="FFFFFF" w:val="cle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22"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647" w:type="dxa"/>
            <w:gridSpan w:val="2"/>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647" w:type="dxa"/>
            <w:gridSpan w:val="2"/>
            <w:tcBorders/>
            <w:shd w:fill="CFF0FC" w:val="clear"/>
            <w:vAlign w:val="center"/>
          </w:tcPr>
          <w:p>
            <w:pPr>
              <w:pStyle w:val="TableContents"/>
              <w:bidi w:val="0"/>
              <w:spacing w:before="0" w:after="283"/>
              <w:jc w:val="left"/>
              <w:rPr/>
            </w:pPr>
            <w:r>
              <w:rPr/>
              <w:t> </w:t>
            </w:r>
          </w:p>
        </w:tc>
        <w:tc>
          <w:tcPr>
            <w:tcW w:w="474" w:type="dxa"/>
            <w:tcBorders/>
            <w:shd w:fill="CFF0FC" w:val="clear"/>
            <w:vAlign w:val="center"/>
          </w:tcPr>
          <w:p>
            <w:pPr>
              <w:pStyle w:val="TableContents"/>
              <w:bidi w:val="0"/>
              <w:spacing w:before="0" w:after="283"/>
              <w:ind w:left="0" w:right="0" w:firstLine="280"/>
              <w:jc w:val="left"/>
              <w:rPr/>
            </w:pPr>
            <w:r>
              <w:rPr/>
              <w:t> </w:t>
            </w:r>
          </w:p>
        </w:tc>
      </w:tr>
      <w:tr>
        <w:trPr/>
        <w:tc>
          <w:tcPr>
            <w:tcW w:w="572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Weighted-average shares used in computing 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24,315</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23,246</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6" w:type="dxa"/>
            <w:tcBorders/>
            <w:shd w:fill="CFF0FC" w:val="cle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80" w:after="283"/>
        <w:jc w:val="both"/>
        <w:rPr>
          <w:rFonts w:ascii="Arial" w:hAnsi="Arial"/>
          <w:color w:val="000000"/>
          <w:sz w:val="20"/>
        </w:rPr>
      </w:pPr>
      <w:r>
        <w:rPr>
          <w:rFonts w:ascii="Arial" w:hAnsi="Arial"/>
          <w:color w:val="000000"/>
          <w:sz w:val="20"/>
        </w:rPr>
        <w:t>The following outstanding shares of potentially dilutive securities were excluded from the computation of diluted net loss per share because including them would have had an anti-dilutive effect:</w:t>
      </w:r>
    </w:p>
    <w:p>
      <w:pPr>
        <w:pStyle w:val="TextBody"/>
        <w:bidi w:val="0"/>
        <w:jc w:val="both"/>
        <w:rPr/>
      </w:pPr>
      <w:r>
        <w:rPr/>
        <w:t> </w:t>
      </w:r>
    </w:p>
    <w:tbl>
      <w:tblPr>
        <w:tblW w:w="5994" w:type="dxa"/>
        <w:jc w:val="left"/>
        <w:tblInd w:w="0" w:type="dxa"/>
        <w:tblLayout w:type="fixed"/>
        <w:tblCellMar>
          <w:top w:w="28" w:type="dxa"/>
          <w:left w:w="28" w:type="dxa"/>
          <w:bottom w:w="28" w:type="dxa"/>
          <w:right w:w="28" w:type="dxa"/>
        </w:tblCellMar>
      </w:tblPr>
      <w:tblGrid>
        <w:gridCol w:w="3901"/>
        <w:gridCol w:w="146"/>
        <w:gridCol w:w="146"/>
        <w:gridCol w:w="586"/>
        <w:gridCol w:w="146"/>
        <w:gridCol w:w="146"/>
        <w:gridCol w:w="146"/>
        <w:gridCol w:w="586"/>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units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2,735</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11. </w:t>
      </w:r>
      <w:r>
        <w:rPr>
          <w:rFonts w:ascii="Arial" w:hAnsi="Arial"/>
          <w:b/>
          <w:caps/>
          <w:color w:val="000000"/>
          <w:sz w:val="20"/>
        </w:rPr>
        <w:t>GEOGRAPHICAL INFORMATION</w:t>
      </w:r>
    </w:p>
    <w:p>
      <w:pPr>
        <w:pStyle w:val="TextBody"/>
        <w:bidi w:val="0"/>
        <w:spacing w:before="180" w:after="283"/>
        <w:jc w:val="both"/>
        <w:rPr>
          <w:rFonts w:ascii="Times New Roman" w:hAnsi="Times New Roman"/>
          <w:sz w:val="20"/>
        </w:rPr>
      </w:pPr>
      <w:r>
        <w:rPr>
          <w:rFonts w:ascii="Arial" w:hAnsi="Arial"/>
          <w:color w:val="000000"/>
          <w:sz w:val="20"/>
        </w:rPr>
        <w:t>The Company believes it is relevant to disclose geographical revenue information on both a demand basis, determined by the ship-to address of the user, and on a supply basis, determined by the location of the merchants’ operations.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Core marketplace revenue by geographic area based on the ship-to address of the user was as follows:</w:t>
      </w:r>
    </w:p>
    <w:p>
      <w:pPr>
        <w:pStyle w:val="TextBody"/>
        <w:bidi w:val="0"/>
        <w:jc w:val="both"/>
        <w:rPr/>
      </w:pPr>
      <w:r>
        <w:rPr/>
        <w:t> </w:t>
      </w:r>
    </w:p>
    <w:tbl>
      <w:tblPr>
        <w:tblW w:w="6837" w:type="dxa"/>
        <w:jc w:val="left"/>
        <w:tblInd w:w="0" w:type="dxa"/>
        <w:tblLayout w:type="fixed"/>
        <w:tblCellMar>
          <w:top w:w="28" w:type="dxa"/>
          <w:left w:w="28" w:type="dxa"/>
          <w:bottom w:w="28" w:type="dxa"/>
          <w:right w:w="28" w:type="dxa"/>
        </w:tblCellMar>
      </w:tblPr>
      <w:tblGrid>
        <w:gridCol w:w="2846"/>
        <w:gridCol w:w="146"/>
        <w:gridCol w:w="211"/>
        <w:gridCol w:w="346"/>
        <w:gridCol w:w="146"/>
        <w:gridCol w:w="146"/>
        <w:gridCol w:w="146"/>
        <w:gridCol w:w="421"/>
        <w:gridCol w:w="286"/>
        <w:gridCol w:w="146"/>
        <w:gridCol w:w="211"/>
        <w:gridCol w:w="316"/>
        <w:gridCol w:w="146"/>
        <w:gridCol w:w="146"/>
        <w:gridCol w:w="146"/>
        <w:gridCol w:w="421"/>
        <w:gridCol w:w="611"/>
      </w:tblGrid>
      <w:tr>
        <w:trPr/>
        <w:tc>
          <w:tcPr>
            <w:tcW w:w="2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34"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 except percentages)</w:t>
            </w:r>
          </w:p>
        </w:tc>
        <w:tc>
          <w:tcPr>
            <w:tcW w:w="611" w:type="dxa"/>
            <w:tcBorders/>
            <w:shd w:fill="FFFFFF" w:val="clear"/>
            <w:vAlign w:val="center"/>
          </w:tcPr>
          <w:p>
            <w:pPr>
              <w:pStyle w:val="TableContents"/>
              <w:bidi w:val="0"/>
              <w:spacing w:before="0" w:after="283"/>
              <w:jc w:val="center"/>
              <w:rPr/>
            </w:pPr>
            <w:r>
              <w:rPr/>
              <w:t> </w:t>
            </w:r>
          </w:p>
        </w:tc>
      </w:tr>
      <w:tr>
        <w:trPr/>
        <w:tc>
          <w:tcPr>
            <w:tcW w:w="28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Europe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46"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North America</w:t>
            </w:r>
            <w:r>
              <w:rPr>
                <w:rFonts w:ascii="Arial" w:hAnsi="Arial"/>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6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South America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46"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Core marketplace revenue</w:t>
            </w:r>
            <w:r>
              <w:rPr>
                <w:rFonts w:ascii="Arial" w:hAnsi="Arial"/>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120" w:after="283"/>
        <w:jc w:val="left"/>
        <w:rPr>
          <w:rFonts w:ascii="Arial" w:hAnsi="Arial"/>
          <w:color w:val="000000"/>
          <w:sz w:val="16"/>
        </w:rPr>
      </w:pPr>
      <w:r>
        <w:rPr>
          <w:rFonts w:ascii="Arial" w:hAnsi="Arial"/>
          <w:color w:val="000000"/>
          <w:sz w:val="16"/>
        </w:rPr>
        <w:t>(1)</w:t>
      </w:r>
    </w:p>
    <w:p>
      <w:pPr>
        <w:pStyle w:val="TextBody"/>
        <w:bidi w:val="0"/>
        <w:spacing w:before="120" w:after="283"/>
        <w:jc w:val="left"/>
        <w:rPr>
          <w:rFonts w:ascii="Arial" w:hAnsi="Arial"/>
          <w:sz w:val="20"/>
        </w:rPr>
      </w:pPr>
      <w:r>
        <w:rPr>
          <w:rFonts w:ascii="Arial" w:hAnsi="Arial"/>
          <w:color w:val="000000"/>
          <w:sz w:val="16"/>
        </w:rPr>
        <w:t>United States accounted for $3</w:t>
      </w:r>
      <w:r>
        <w:rPr>
          <w:rFonts w:ascii="Arial" w:hAnsi="Arial"/>
          <w:color w:val="000000"/>
          <w:sz w:val="20"/>
        </w:rPr>
        <w:t xml:space="preserve"> </w:t>
      </w:r>
      <w:r>
        <w:rPr>
          <w:rFonts w:ascii="Arial" w:hAnsi="Arial"/>
          <w:color w:val="000000"/>
          <w:sz w:val="16"/>
        </w:rPr>
        <w:t>million and $8</w:t>
      </w:r>
      <w:r>
        <w:rPr>
          <w:rFonts w:ascii="Arial" w:hAnsi="Arial"/>
          <w:color w:val="000000"/>
          <w:sz w:val="20"/>
        </w:rPr>
        <w:t xml:space="preserve"> </w:t>
      </w:r>
      <w:r>
        <w:rPr>
          <w:rFonts w:ascii="Arial" w:hAnsi="Arial"/>
          <w:color w:val="000000"/>
          <w:sz w:val="16"/>
        </w:rPr>
        <w:t>million of core marketplace revenue for the three months ended March 31, 2024 and 2023, respectively.</w:t>
      </w:r>
    </w:p>
    <w:p>
      <w:pPr>
        <w:pStyle w:val="TextBody"/>
        <w:bidi w:val="0"/>
        <w:spacing w:before="120" w:after="283"/>
        <w:jc w:val="left"/>
        <w:rPr>
          <w:rFonts w:ascii="Arial" w:hAnsi="Arial"/>
          <w:color w:val="000000"/>
          <w:sz w:val="16"/>
        </w:rPr>
      </w:pPr>
      <w:r>
        <w:rPr>
          <w:rFonts w:ascii="Arial" w:hAnsi="Arial"/>
          <w:color w:val="000000"/>
          <w:sz w:val="16"/>
        </w:rPr>
        <w:t>(2)</w:t>
      </w:r>
    </w:p>
    <w:p>
      <w:pPr>
        <w:pStyle w:val="TextBody"/>
        <w:bidi w:val="0"/>
        <w:spacing w:before="120" w:after="283"/>
        <w:jc w:val="left"/>
        <w:rPr>
          <w:rFonts w:ascii="Arial" w:hAnsi="Arial"/>
          <w:sz w:val="20"/>
        </w:rPr>
      </w:pPr>
      <w:r>
        <w:rPr>
          <w:rFonts w:ascii="Arial" w:hAnsi="Arial"/>
          <w:color w:val="000000"/>
          <w:sz w:val="16"/>
        </w:rPr>
        <w:t>Core marketplace revenue included a net gain of zero</w:t>
      </w:r>
      <w:r>
        <w:rPr>
          <w:rFonts w:ascii="Arial" w:hAnsi="Arial"/>
          <w:color w:val="000000"/>
          <w:sz w:val="20"/>
        </w:rPr>
        <w:t xml:space="preserve"> </w:t>
      </w:r>
      <w:r>
        <w:rPr>
          <w:rFonts w:ascii="Arial" w:hAnsi="Arial"/>
          <w:color w:val="000000"/>
          <w:sz w:val="16"/>
        </w:rPr>
        <w:t>and $2</w:t>
      </w:r>
      <w:r>
        <w:rPr>
          <w:rFonts w:ascii="Arial" w:hAnsi="Arial"/>
          <w:color w:val="000000"/>
          <w:sz w:val="20"/>
        </w:rPr>
        <w:t xml:space="preserve"> </w:t>
      </w:r>
      <w:r>
        <w:rPr>
          <w:rFonts w:ascii="Arial" w:hAnsi="Arial"/>
          <w:color w:val="000000"/>
          <w:sz w:val="16"/>
        </w:rPr>
        <w:t>million for the three months ended March 31, 2024 and 2023, respectively, from our cash flow hedging program.</w:t>
      </w:r>
    </w:p>
    <w:p>
      <w:pPr>
        <w:pStyle w:val="TextBody"/>
        <w:bidi w:val="0"/>
        <w:spacing w:before="180" w:after="283"/>
        <w:jc w:val="both"/>
        <w:rPr>
          <w:rFonts w:ascii="Times New Roman" w:hAnsi="Times New Roman"/>
          <w:sz w:val="20"/>
        </w:rPr>
      </w:pPr>
      <w:r>
        <w:rPr>
          <w:rFonts w:ascii="Arial" w:hAnsi="Arial"/>
          <w:color w:val="000000"/>
          <w:sz w:val="20"/>
        </w:rPr>
        <w:t>China accounted for substantially all of marketplace and logistics revenue during the three months ended March 31, 2024 and 2023 based on the location of the merchants’ operations. Marketplace and logistics revenue from merchants based in the United States was immaterial in both periods presented.</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Company’s long-lived tangible assets, which consist of property and equipment, net and operating lease right-of-use assets, net, was as follows:</w:t>
      </w:r>
    </w:p>
    <w:p>
      <w:pPr>
        <w:pStyle w:val="TextBody"/>
        <w:bidi w:val="0"/>
        <w:jc w:val="both"/>
        <w:rPr/>
      </w:pPr>
      <w:r>
        <w:rPr/>
        <w:t> </w:t>
      </w:r>
    </w:p>
    <w:tbl>
      <w:tblPr>
        <w:tblW w:w="9262" w:type="dxa"/>
        <w:jc w:val="left"/>
        <w:tblInd w:w="0" w:type="dxa"/>
        <w:tblLayout w:type="fixed"/>
        <w:tblCellMar>
          <w:top w:w="28" w:type="dxa"/>
          <w:left w:w="28" w:type="dxa"/>
          <w:bottom w:w="28" w:type="dxa"/>
          <w:right w:w="28" w:type="dxa"/>
        </w:tblCellMar>
      </w:tblPr>
      <w:tblGrid>
        <w:gridCol w:w="5381"/>
        <w:gridCol w:w="146"/>
        <w:gridCol w:w="211"/>
        <w:gridCol w:w="346"/>
        <w:gridCol w:w="146"/>
        <w:gridCol w:w="146"/>
        <w:gridCol w:w="146"/>
        <w:gridCol w:w="421"/>
        <w:gridCol w:w="286"/>
        <w:gridCol w:w="146"/>
        <w:gridCol w:w="211"/>
        <w:gridCol w:w="346"/>
        <w:gridCol w:w="146"/>
        <w:gridCol w:w="146"/>
        <w:gridCol w:w="146"/>
        <w:gridCol w:w="421"/>
        <w:gridCol w:w="471"/>
      </w:tblGrid>
      <w:tr>
        <w:trPr/>
        <w:tc>
          <w:tcPr>
            <w:tcW w:w="5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r>
          </w:p>
        </w:tc>
        <w:tc>
          <w:tcPr>
            <w:tcW w:w="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5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64"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 except percentages)</w:t>
            </w:r>
          </w:p>
        </w:tc>
        <w:tc>
          <w:tcPr>
            <w:tcW w:w="471" w:type="dxa"/>
            <w:tcBorders/>
            <w:shd w:fill="FFFFFF" w:val="clear"/>
            <w:vAlign w:val="center"/>
          </w:tcPr>
          <w:p>
            <w:pPr>
              <w:pStyle w:val="TableContents"/>
              <w:bidi w:val="0"/>
              <w:spacing w:before="0" w:after="283"/>
              <w:jc w:val="center"/>
              <w:rPr/>
            </w:pPr>
            <w:r>
              <w:rPr/>
              <w:t> </w:t>
            </w:r>
          </w:p>
        </w:tc>
      </w:tr>
      <w:tr>
        <w:trPr/>
        <w:tc>
          <w:tcPr>
            <w:tcW w:w="5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8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Other</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3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property and equipment, net and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left"/>
        <w:rPr>
          <w:rFonts w:ascii="Arial" w:hAnsi="Arial"/>
          <w:color w:val="000000"/>
          <w:sz w:val="16"/>
        </w:rPr>
      </w:pPr>
      <w:r>
        <w:rPr>
          <w:rFonts w:ascii="Arial" w:hAnsi="Arial"/>
          <w:color w:val="000000"/>
          <w:sz w:val="16"/>
        </w:rPr>
        <w:t>(1)</w:t>
      </w:r>
    </w:p>
    <w:p>
      <w:pPr>
        <w:pStyle w:val="TextBody"/>
        <w:bidi w:val="0"/>
        <w:spacing w:before="120" w:after="283"/>
        <w:jc w:val="left"/>
        <w:rPr>
          <w:rFonts w:ascii="Arial" w:hAnsi="Arial"/>
          <w:color w:val="000000"/>
          <w:sz w:val="16"/>
        </w:rPr>
      </w:pPr>
      <w:r>
        <w:rPr>
          <w:rFonts w:ascii="Arial" w:hAnsi="Arial"/>
          <w:color w:val="000000"/>
          <w:sz w:val="16"/>
        </w:rPr>
        <w:t>Long-lived tangible assets outside the United States and China were primarily located in Canada.</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12. REDUCTION IN WORKFORCE</w:t>
      </w:r>
    </w:p>
    <w:p>
      <w:pPr>
        <w:pStyle w:val="TextBody"/>
        <w:bidi w:val="0"/>
        <w:spacing w:before="180" w:after="283"/>
        <w:jc w:val="both"/>
        <w:rPr>
          <w:rFonts w:ascii="Times New Roman" w:hAnsi="Times New Roman"/>
          <w:sz w:val="20"/>
        </w:rPr>
      </w:pPr>
      <w:r>
        <w:rPr>
          <w:rFonts w:ascii="Arial" w:hAnsi="Arial"/>
          <w:color w:val="000000"/>
          <w:sz w:val="20"/>
        </w:rPr>
        <w:t>In January 2023 and August 2023, the Company announced plans to reduce its workforce ("RIF") by up to 150</w:t>
      </w:r>
      <w:r>
        <w:rPr>
          <w:rFonts w:ascii="Times New Roman" w:hAnsi="Times New Roman"/>
          <w:color w:val="000000"/>
          <w:sz w:val="20"/>
        </w:rPr>
        <w:t xml:space="preserve"> </w:t>
      </w:r>
      <w:r>
        <w:rPr>
          <w:rFonts w:ascii="Arial" w:hAnsi="Arial"/>
          <w:color w:val="000000"/>
          <w:sz w:val="20"/>
        </w:rPr>
        <w:t>and 255</w:t>
      </w:r>
      <w:r>
        <w:rPr>
          <w:rFonts w:ascii="Times New Roman" w:hAnsi="Times New Roman"/>
          <w:color w:val="000000"/>
          <w:sz w:val="20"/>
        </w:rPr>
        <w:t xml:space="preserve"> </w:t>
      </w:r>
      <w:r>
        <w:rPr>
          <w:rFonts w:ascii="Arial" w:hAnsi="Arial"/>
          <w:color w:val="000000"/>
          <w:sz w:val="20"/>
        </w:rPr>
        <w:t>employees, respectively, representing approximately 17% and 34%, respectively, of the Company’s then global workforce (“2023 RIFs”). In connection with the 2023 RIFs, the Company incurred charges of approximately $13</w:t>
      </w:r>
      <w:r>
        <w:rPr>
          <w:rFonts w:ascii="Times New Roman" w:hAnsi="Times New Roman"/>
          <w:color w:val="000000"/>
          <w:sz w:val="20"/>
        </w:rPr>
        <w:t xml:space="preserve"> </w:t>
      </w:r>
      <w:r>
        <w:rPr>
          <w:rFonts w:ascii="Arial" w:hAnsi="Arial"/>
          <w:color w:val="000000"/>
          <w:sz w:val="20"/>
        </w:rPr>
        <w:t>million in severance and other personnel reductions costs for terminated employees. The 2023 RIFs were intended to refocus the Company’s operations to support its ongoing business prioritization efforts, better align resources, and improve operational efficiencies. Substantially all related severance payments were paid as of December 31, 2023.</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13. SUBSEQUENT EVENTS</w:t>
      </w:r>
    </w:p>
    <w:p>
      <w:pPr>
        <w:pStyle w:val="TextBody"/>
        <w:bidi w:val="0"/>
        <w:spacing w:before="180" w:after="283"/>
        <w:jc w:val="both"/>
        <w:rPr>
          <w:rFonts w:ascii="Times New Roman" w:hAnsi="Times New Roman"/>
          <w:sz w:val="20"/>
        </w:rPr>
      </w:pPr>
      <w:r>
        <w:rPr>
          <w:rFonts w:ascii="Arial" w:hAnsi="Arial"/>
          <w:color w:val="000000"/>
          <w:sz w:val="20"/>
        </w:rPr>
        <w:t>On April 19, 2024 the Company completed the sale of substantially all of its assets to Qube Network Pte. Ltd. (“Buyer”), an affiliate of Qoo10 Inc., formed after the Asset Purchase Agreement was announced on February 12, 2024, a Delaware corporation (“Qoo10 Delaware”), other than (A) federal income tax net operating loss carryforwards and certain other tax attributes of the Company, (B) the Company’s marketable securities and (C) certain of the Company’s cash and cash equivalents (“Asset Sale”) pursuant to the terms of the Asset Purchase Agreement, dated February 10, 2024, by and among the Company, Qoo10 Delaware and, for certain specified purposes, Qoo10 Pte. Ltd., a Singapore private limited company and the parent of both Qoo10 Delaware and the Buyer (as amended or modified, the “Asset Purchase Agreement”). As a result of the Asset Sale, the Company had approximately $161</w:t>
      </w:r>
      <w:r>
        <w:rPr>
          <w:rFonts w:ascii="Times New Roman" w:hAnsi="Times New Roman"/>
          <w:color w:val="000000"/>
          <w:sz w:val="20"/>
        </w:rPr>
        <w:t xml:space="preserve"> </w:t>
      </w:r>
      <w:r>
        <w:rPr>
          <w:rFonts w:ascii="Arial" w:hAnsi="Arial"/>
          <w:color w:val="000000"/>
          <w:sz w:val="20"/>
        </w:rPr>
        <w:t>million in cash, cash equivalents and marketable securities (consisting of government securities) immediately following the closing of that transaction ("Post-Closing Cash") as well as the NOLs and other tax attributes described above. As required by the Asset Purchase Agreement, the Buyer assumed substantially all the liabilities of the Company.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On April 12, 2024, the Company held a special meeting of stockholders (“Special Meeting”) to consider certain proposals related to the Asset Purchase Agreement that was convened and adjourned without conducting any business. The adjourned Special Meeting reconvened on April 18, 2024. The ContextLogic stockholders approved the Asset Sale, with the holders of approximately 51.5% of the outstanding shares of Common Stock voting in favor of the Asset Sale (representing approximately 97% of the shares voted at the Special Meeting).</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On April 19, 2024, the Company terminated its Revolving Credit Agreement, dated as of November 20, 2020, by and among the Company, as the Borrower, the Lenders party thereto, the Issuing Banks party thereto, and JPMorgan Chase Bank, N.A., as the Administrative Agent (“Revolving Credit Facility”), as well as the related security agreements. The Revolving Credit Facility enabled the Company to borrow up to $280</w:t>
      </w:r>
      <w:r>
        <w:rPr>
          <w:rFonts w:ascii="Times New Roman" w:hAnsi="Times New Roman"/>
          <w:color w:val="000000"/>
          <w:sz w:val="20"/>
        </w:rPr>
        <w:t xml:space="preserve"> </w:t>
      </w:r>
      <w:r>
        <w:rPr>
          <w:rFonts w:ascii="Arial" w:hAnsi="Arial"/>
          <w:color w:val="000000"/>
          <w:sz w:val="20"/>
        </w:rPr>
        <w:t>million and contained a minimum liquidity financial covenant of $350</w:t>
      </w:r>
      <w:r>
        <w:rPr>
          <w:rFonts w:ascii="Times New Roman" w:hAnsi="Times New Roman"/>
          <w:color w:val="000000"/>
          <w:sz w:val="20"/>
        </w:rPr>
        <w:t xml:space="preserve"> </w:t>
      </w:r>
      <w:r>
        <w:rPr>
          <w:rFonts w:ascii="Arial" w:hAnsi="Arial"/>
          <w:color w:val="000000"/>
          <w:sz w:val="20"/>
        </w:rPr>
        <w:t>million, which included unrestricted cash and any available borrowing capacity under the Revolving Credit Facility.</w:t>
      </w:r>
    </w:p>
    <w:p>
      <w:pPr>
        <w:pStyle w:val="TextBody"/>
        <w:bidi w:val="0"/>
        <w:spacing w:before="180" w:after="283"/>
        <w:jc w:val="both"/>
        <w:rPr>
          <w:rFonts w:ascii="Arial" w:hAnsi="Arial"/>
          <w:color w:val="000000"/>
          <w:sz w:val="20"/>
        </w:rPr>
      </w:pPr>
      <w:r>
        <w:rPr>
          <w:rFonts w:ascii="Arial" w:hAnsi="Arial"/>
          <w:color w:val="000000"/>
          <w:sz w:val="20"/>
        </w:rPr>
        <w:t>On April 19, 2024, the acceleration of vesting occurred for all outstanding unvested restricted awards and stock options for employees and directors, resulting in each award being fully vested.</w:t>
      </w:r>
    </w:p>
    <w:p>
      <w:pPr>
        <w:pStyle w:val="TextBody"/>
        <w:bidi w:val="0"/>
        <w:spacing w:before="180" w:after="283"/>
        <w:jc w:val="both"/>
        <w:rPr>
          <w:rFonts w:ascii="Arial" w:hAnsi="Arial"/>
          <w:color w:val="000000"/>
          <w:sz w:val="20"/>
        </w:rPr>
      </w:pPr>
      <w:r>
        <w:rPr>
          <w:rFonts w:ascii="Arial" w:hAnsi="Arial"/>
          <w:color w:val="000000"/>
          <w:sz w:val="20"/>
        </w:rPr>
        <w:t>Following the closing of the Asset Sale, the Company began to review strategic opportunities for the use of its Post-Closing Cash and will develop a process and procedures for the review of strategic opportunities.</w:t>
      </w:r>
    </w:p>
    <w:p>
      <w:pPr>
        <w:pStyle w:val="TextBody"/>
        <w:bidi w:val="0"/>
        <w:spacing w:before="180" w:after="283"/>
        <w:jc w:val="both"/>
        <w:rPr/>
      </w:pPr>
      <w:r>
        <w:rPr/>
        <w:t>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Arial" w:hAnsi="Arial"/>
          <w:b/>
          <w:color w:val="000000"/>
          <w:sz w:val="20"/>
        </w:rPr>
        <w:t>Item 2. Management’s Discussion and Analysis of</w:t>
      </w:r>
      <w:r>
        <w:rPr>
          <w:rFonts w:ascii="Times New Roman" w:hAnsi="Times New Roman"/>
          <w:color w:val="000000"/>
          <w:sz w:val="20"/>
        </w:rPr>
        <w:t xml:space="preserve"> </w:t>
      </w:r>
      <w:r>
        <w:rPr>
          <w:rFonts w:ascii="Arial" w:hAnsi="Arial"/>
          <w:b/>
          <w:color w:val="000000"/>
          <w:sz w:val="20"/>
        </w:rPr>
        <w:t>Financial Condition and Results of Operations</w:t>
      </w:r>
    </w:p>
    <w:p>
      <w:pPr>
        <w:pStyle w:val="TextBody"/>
        <w:bidi w:val="0"/>
        <w:spacing w:before="180" w:after="283"/>
        <w:jc w:val="both"/>
        <w:rPr>
          <w:rFonts w:ascii="Arial" w:hAnsi="Arial"/>
          <w:i/>
          <w:color w:val="000000"/>
          <w:sz w:val="20"/>
        </w:rPr>
      </w:pPr>
      <w:r>
        <w:rPr>
          <w:rFonts w:ascii="Arial" w:hAnsi="Arial"/>
          <w:i/>
          <w:color w:val="000000"/>
          <w:sz w:val="20"/>
        </w:rPr>
        <w:t>The following discussion and analysis of our financial condition, results of operations and cash flows should be read in conjunction with (1) the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2023 included in our Annual Report on Form 10-K for the year ended December 31, 2023 (the "2023 Form 10-K"). Unless otherwise indicated, all results presented are prepared in a manner that complies, in all material respects, with U.S. GAAP. Additionally, unless otherwise indicated, all changes identified for the current-period results represent comparisons to results for the prior corresponding fiscal period.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Part II, Item 1A of this Quarterly Report on Form 10-Q, the Special Note Regarding Forward-Looking Statements in this Quarterly Report on Form 10-Q, and elsewhere in this Quarterly Report on Form 10-Q.</w:t>
      </w:r>
    </w:p>
    <w:p>
      <w:pPr>
        <w:pStyle w:val="TextBody"/>
        <w:bidi w:val="0"/>
        <w:spacing w:before="180" w:after="283"/>
        <w:jc w:val="both"/>
        <w:rPr>
          <w:rFonts w:ascii="Arial" w:hAnsi="Arial"/>
          <w:b/>
          <w:color w:val="000000"/>
          <w:sz w:val="20"/>
        </w:rPr>
      </w:pPr>
      <w:r>
        <w:rPr>
          <w:rFonts w:ascii="Arial" w:hAnsi="Arial"/>
          <w:b/>
          <w:color w:val="000000"/>
          <w:sz w:val="20"/>
        </w:rPr>
        <w:t>Asset Sale</w:t>
      </w:r>
    </w:p>
    <w:p>
      <w:pPr>
        <w:pStyle w:val="TextBody"/>
        <w:bidi w:val="0"/>
        <w:spacing w:before="180" w:after="283"/>
        <w:jc w:val="both"/>
        <w:rPr>
          <w:rFonts w:ascii="Arial" w:hAnsi="Arial"/>
          <w:color w:val="000000"/>
          <w:sz w:val="20"/>
        </w:rPr>
      </w:pPr>
      <w:r>
        <w:rPr>
          <w:rFonts w:ascii="Arial" w:hAnsi="Arial"/>
          <w:color w:val="000000"/>
          <w:sz w:val="20"/>
        </w:rPr>
        <w:t>On February 10, 2024, we entered into an asset purchase agreement (the “Asset Purchase Agreement”) with Qoo10 Inc., a Delaware corporation (“Qoo10 Delaware”), and, for certain specified purposes, Qoo10 Pte. Ltd., a Singapore private limited company and Qoo10 Delaware’s parent company (“Qoo10”), pursuant to which (i) we agreed to sell substantially all of its assets to Qoo10 Delaware or an affiliate designated by Qoo10 Delaware (such designated affiliate, the “Buyer”), other than (A) our net operating losses (“NOLs”) and certain other tax attributes, (B) our marketable securities and (C) certain of our cash and cash equivalents, and (ii) Qoo10 agreed to acquire those assets and assume substantially all of our liabilities as specified in the Asset Purchase Agreement (the “Asset Sale”). On April 18, 2024, the holders of a majority of the outstanding shares of our common stock voted to approve the Asset Sale. Pursuant to such vote and satisfaction of other customary closing conditions, the Asset Sale closed on April 19, 2024, and as a result of Asset Sale, we had approximately $161 million in cash, cash equivalents and marketable securities (consisting of government securities) immediately following the closing of that transaction, as well as the NOLs and other tax attributes described above.</w:t>
      </w:r>
    </w:p>
    <w:p>
      <w:pPr>
        <w:pStyle w:val="TextBody"/>
        <w:bidi w:val="0"/>
        <w:spacing w:before="180" w:after="283"/>
        <w:jc w:val="both"/>
        <w:rPr>
          <w:rFonts w:ascii="Arial" w:hAnsi="Arial"/>
          <w:color w:val="000000"/>
          <w:sz w:val="20"/>
        </w:rPr>
      </w:pPr>
      <w:r>
        <w:rPr>
          <w:rFonts w:ascii="Arial" w:hAnsi="Arial"/>
          <w:color w:val="000000"/>
          <w:sz w:val="20"/>
        </w:rPr>
        <w:t>Following the completion of the Asset Sale, ContextLogic has exited the operation of our e-commerce business and other historical operations. However, we do not currently intend to liquidate. We have begun to review strategic opportunities for the use of our Post-Closing Cash. We will develop a process and procedures for evaluating alternatives for the use of our Post-Closing Cash, and reviewing, identifying and executing strategic opportunities for the benefit of ContextLogic and its stockholders. Those alternatives are currently expected to include using the Post-Closing Cash to fund, at least in part, the acquisition of assets that will potentially allow the Company to utilize the NOLs and certain other tax attributes.</w:t>
      </w:r>
    </w:p>
    <w:p>
      <w:pPr>
        <w:pStyle w:val="TextBody"/>
        <w:bidi w:val="0"/>
        <w:spacing w:before="180" w:after="283"/>
        <w:jc w:val="both"/>
        <w:rPr>
          <w:rFonts w:ascii="Arial" w:hAnsi="Arial"/>
          <w:b/>
          <w:color w:val="000000"/>
          <w:sz w:val="20"/>
        </w:rPr>
      </w:pPr>
      <w:r>
        <w:rPr>
          <w:rFonts w:ascii="Arial" w:hAnsi="Arial"/>
          <w:b/>
          <w:color w:val="000000"/>
          <w:sz w:val="20"/>
        </w:rPr>
        <w:t>Overview</w:t>
      </w:r>
    </w:p>
    <w:p>
      <w:pPr>
        <w:pStyle w:val="TextBody"/>
        <w:bidi w:val="0"/>
        <w:spacing w:before="180" w:after="283"/>
        <w:jc w:val="both"/>
        <w:rPr>
          <w:rFonts w:ascii="Times New Roman" w:hAnsi="Times New Roman"/>
          <w:sz w:val="20"/>
        </w:rPr>
      </w:pPr>
      <w:r>
        <w:rPr>
          <w:rFonts w:ascii="Arial" w:hAnsi="Arial"/>
          <w:color w:val="000000"/>
          <w:sz w:val="20"/>
        </w:rPr>
        <w:t>Prior to the completion of the Asset Sale, we were an e-commerce business that connected merchants and consumers from around the world. Since the Asset Sale was consummated, we have had no sources of operating revenue. Although our Board of Directors is evaluating various alternatives regarding the use of the proceeds from the Asset Sale with a goal to maximize stockholder value through our NOLs, it has not yet identified any particular acquisitions or investments or committed to making any such decision by a particular date. We can provide no assurance that our Board of Directors and management will be able to attract the businesses we identify as viable for our objectives, due to competitive forces in the marketplace beyond our control, or consummate strategic transactions, including the acquisition of assets or businesses, on terms and conditions that we believe will be in the best interests of ContextLogic and its stockholders.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color w:val="000000"/>
          <w:sz w:val="20"/>
        </w:rPr>
        <w:t>Key Financial and Performance Metrics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Prior to the completion of the Asset Sale, in addition to the measures presented in our condensed consolidated financial statements, we monitored the following key metrics and other financial information to measure our performance, identify trends affecting our business, and make strategic decisions.</w:t>
      </w:r>
    </w:p>
    <w:p>
      <w:pPr>
        <w:pStyle w:val="TextBody"/>
        <w:bidi w:val="0"/>
        <w:jc w:val="both"/>
        <w:rPr/>
      </w:pPr>
      <w:r>
        <w:rPr/>
        <w:t> </w:t>
      </w:r>
    </w:p>
    <w:tbl>
      <w:tblPr>
        <w:tblW w:w="4852" w:type="dxa"/>
        <w:jc w:val="left"/>
        <w:tblInd w:w="0" w:type="dxa"/>
        <w:tblLayout w:type="fixed"/>
        <w:tblCellMar>
          <w:top w:w="28" w:type="dxa"/>
          <w:left w:w="28" w:type="dxa"/>
          <w:bottom w:w="28" w:type="dxa"/>
          <w:right w:w="28" w:type="dxa"/>
        </w:tblCellMar>
      </w:tblPr>
      <w:tblGrid>
        <w:gridCol w:w="1636"/>
        <w:gridCol w:w="146"/>
        <w:gridCol w:w="378"/>
        <w:gridCol w:w="547"/>
        <w:gridCol w:w="378"/>
        <w:gridCol w:w="378"/>
        <w:gridCol w:w="378"/>
        <w:gridCol w:w="820"/>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79"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191" w:type="dxa"/>
            <w:tcBorders/>
            <w:shd w:fill="FFFFFF" w:val="clear"/>
            <w:vAlign w:val="center"/>
          </w:tcPr>
          <w:p>
            <w:pPr>
              <w:pStyle w:val="TableContents"/>
              <w:bidi w:val="0"/>
              <w:spacing w:before="0" w:after="283"/>
              <w:jc w:val="center"/>
              <w:rPr/>
            </w:pPr>
            <w:r>
              <w:rPr/>
              <w:t> </w:t>
            </w:r>
          </w:p>
        </w:tc>
      </w:tr>
      <w:tr>
        <w:trPr/>
        <w:tc>
          <w:tcPr>
            <w:tcW w:w="1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8" w:type="dxa"/>
            <w:tcBorders/>
            <w:shd w:fill="FFFFFF" w:val="cle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9"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 except percentages)</w:t>
            </w:r>
          </w:p>
        </w:tc>
        <w:tc>
          <w:tcPr>
            <w:tcW w:w="191" w:type="dxa"/>
            <w:tcBorders/>
            <w:shd w:fill="FFFFFF" w:val="clear"/>
            <w:vAlign w:val="center"/>
          </w:tcPr>
          <w:p>
            <w:pPr>
              <w:pStyle w:val="TableContents"/>
              <w:bidi w:val="0"/>
              <w:spacing w:before="0" w:after="283"/>
              <w:jc w:val="center"/>
              <w:rPr/>
            </w:pPr>
            <w:r>
              <w:rPr/>
              <w:t> </w:t>
            </w:r>
          </w:p>
        </w:tc>
      </w:tr>
      <w:tr>
        <w:trPr/>
        <w:tc>
          <w:tcPr>
            <w:tcW w:w="1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MAU</w:t>
            </w:r>
          </w:p>
        </w:tc>
        <w:tc>
          <w:tcPr>
            <w:tcW w:w="146" w:type="dxa"/>
            <w:tcBorders/>
            <w:shd w:fill="CFF0FC" w:val="clear"/>
            <w:vAlign w:val="center"/>
          </w:tcPr>
          <w:p>
            <w:pPr>
              <w:pStyle w:val="TableContents"/>
              <w:bidi w:val="0"/>
              <w:spacing w:before="0" w:after="283"/>
              <w:jc w:val="left"/>
              <w:rPr/>
            </w:pPr>
            <w:r>
              <w:rPr/>
              <w:t> </w:t>
            </w:r>
          </w:p>
        </w:tc>
        <w:tc>
          <w:tcPr>
            <w:tcW w:w="378"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378" w:type="dxa"/>
            <w:tcBorders/>
            <w:shd w:fill="CFF0FC" w:val="clear"/>
            <w:vAlign w:val="center"/>
          </w:tcPr>
          <w:p>
            <w:pPr>
              <w:pStyle w:val="TableContents"/>
              <w:bidi w:val="0"/>
              <w:spacing w:before="0" w:after="283"/>
              <w:jc w:val="left"/>
              <w:rPr/>
            </w:pPr>
            <w:r>
              <w:rPr/>
              <w:t> </w:t>
            </w:r>
          </w:p>
        </w:tc>
        <w:tc>
          <w:tcPr>
            <w:tcW w:w="378" w:type="dxa"/>
            <w:tcBorders/>
            <w:shd w:fill="CFF0FC" w:val="clear"/>
            <w:vAlign w:val="center"/>
          </w:tcPr>
          <w:p>
            <w:pPr>
              <w:pStyle w:val="TableContents"/>
              <w:bidi w:val="0"/>
              <w:spacing w:before="0" w:after="283"/>
              <w:jc w:val="left"/>
              <w:rPr/>
            </w:pPr>
            <w:r>
              <w:rPr/>
              <w:t> </w:t>
            </w:r>
          </w:p>
        </w:tc>
        <w:tc>
          <w:tcPr>
            <w:tcW w:w="378"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91" w:type="dxa"/>
            <w:tcBorders/>
            <w:shd w:fill="CFF0FC" w:val="clear"/>
            <w:vAlign w:val="center"/>
          </w:tcPr>
          <w:p>
            <w:pPr>
              <w:pStyle w:val="TableContents"/>
              <w:bidi w:val="0"/>
              <w:spacing w:before="0" w:after="283"/>
              <w:jc w:val="left"/>
              <w:rPr/>
            </w:pPr>
            <w:r>
              <w:rPr/>
              <w:t> </w:t>
            </w:r>
          </w:p>
        </w:tc>
      </w:tr>
      <w:tr>
        <w:trPr/>
        <w:tc>
          <w:tcPr>
            <w:tcW w:w="16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LTM Active Buyers</w:t>
            </w:r>
          </w:p>
        </w:tc>
        <w:tc>
          <w:tcPr>
            <w:tcW w:w="146"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378"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both"/>
        <w:rPr/>
      </w:pPr>
      <w:r>
        <w:rPr/>
        <w:t> </w:t>
      </w:r>
    </w:p>
    <w:p>
      <w:pPr>
        <w:pStyle w:val="TextBody"/>
        <w:bidi w:val="0"/>
        <w:spacing w:before="180" w:after="283"/>
        <w:jc w:val="both"/>
        <w:rPr/>
      </w:pPr>
      <w:r>
        <w:rPr/>
        <w:t> </w:t>
      </w:r>
    </w:p>
    <w:p>
      <w:pPr>
        <w:pStyle w:val="TextBody"/>
        <w:bidi w:val="0"/>
        <w:spacing w:before="180" w:after="283"/>
        <w:jc w:val="both"/>
        <w:rPr>
          <w:rFonts w:ascii="Times New Roman" w:hAnsi="Times New Roman"/>
          <w:sz w:val="20"/>
        </w:rPr>
      </w:pPr>
      <w:r>
        <w:rPr>
          <w:rFonts w:ascii="Arial" w:hAnsi="Arial"/>
          <w:b/>
          <w:color w:val="000000"/>
          <w:sz w:val="20"/>
        </w:rPr>
        <w:t>Monthly Active Users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We define MAUs as the number of unique users that visited the Wish platform, either on our mobile app, mobile web, or on a desktop, during the month. MAUs for a given reporting period equal the average of the MAUs for that period. An active user is identified by a unique email-address; a single person can have multiple user accounts via multiple email addresses. The change in MAUs in a reported period captures both the inflow of new users as well as the outflow of existing users who did not visit the platform in a given month. We view the number of MAUs as a key driver of revenue growth as well as a key indicator of user engagement and brand awareness.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MAUs decreased approximately 57% for the three months ended March 31, 2024, respectively, compared to the same period in 2023. We believe this decline was primarily driven by our decision to significantly reduce our digital advertising expenditures.</w:t>
      </w:r>
    </w:p>
    <w:p>
      <w:pPr>
        <w:pStyle w:val="TextBody"/>
        <w:bidi w:val="0"/>
        <w:spacing w:before="180" w:after="283"/>
        <w:jc w:val="both"/>
        <w:rPr>
          <w:rFonts w:ascii="Times New Roman" w:hAnsi="Times New Roman"/>
          <w:sz w:val="20"/>
        </w:rPr>
      </w:pPr>
      <w:r>
        <w:rPr>
          <w:rFonts w:ascii="Arial" w:hAnsi="Arial"/>
          <w:b/>
          <w:color w:val="000000"/>
          <w:sz w:val="20"/>
        </w:rPr>
        <w:t>LTM Active Buyers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the last date of each reported period, we determine our number of unique last-twelve-months active buyers ("LTM active buyers") by counting the total number of individual users who have placed at least one order on the Wish platform, either on our mobile app, mobile web, or on a desktop, during the preceding 12 months. We, however, exclude from the computation those buyers whose order is canceled before the item is shipped and the purchase price is refunded. The number of LTM active buyers is an indicator of our ability to attract and monetize a large user base to our platform and of our ability to convert visits into purchases. We believe that increasing our LTM active buyers will be a significant driver to our future revenue growth.</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LTM Active Buyers decreased approximately 42% for the three months ended March 31, 2024 compared to the three months ended March 31, 2023. We believe this decline was primarily driven by lower MAUs which we believe was driven by reduced digital advertising expenditures.</w:t>
      </w:r>
    </w:p>
    <w:p>
      <w:pPr>
        <w:pStyle w:val="TextBody"/>
        <w:bidi w:val="0"/>
        <w:spacing w:before="180" w:after="283"/>
        <w:jc w:val="both"/>
        <w:rPr>
          <w:rFonts w:ascii="Arial" w:hAnsi="Arial"/>
          <w:b/>
          <w:color w:val="000000"/>
          <w:sz w:val="20"/>
        </w:rPr>
      </w:pPr>
      <w:r>
        <w:rPr>
          <w:rFonts w:ascii="Arial" w:hAnsi="Arial"/>
          <w:b/>
          <w:color w:val="000000"/>
          <w:sz w:val="20"/>
        </w:rPr>
        <w:t>A Note About Metrics</w:t>
      </w:r>
    </w:p>
    <w:p>
      <w:pPr>
        <w:pStyle w:val="TextBody"/>
        <w:bidi w:val="0"/>
        <w:spacing w:before="180" w:after="283"/>
        <w:jc w:val="both"/>
        <w:rPr>
          <w:rFonts w:ascii="Arial" w:hAnsi="Arial"/>
          <w:color w:val="000000"/>
          <w:sz w:val="20"/>
        </w:rPr>
      </w:pPr>
      <w:r>
        <w:rPr>
          <w:rFonts w:ascii="Arial" w:hAnsi="Arial"/>
          <w:color w:val="000000"/>
          <w:sz w:val="20"/>
        </w:rPr>
        <w:t>The numbers for some of our metrics, including MAUs, are calculated and tracked with internal tools, which are not independently verified by any third party. We use these metrics to assess the growth and health of our overall business. While these numbers are based on what we believe to be reasonable estimates of our user or merchant base for the applicable period of measurement, there are inherent challenges in measurement as the methodologies used require significant judgment and may be susceptible to algorithm or other technical errors. In addition, we regularly review and adjust our processes for calculating metrics to improve their accuracy, and our estimates may change due to improvements or changes in technology or our methodology.</w:t>
      </w:r>
    </w:p>
    <w:p>
      <w:pPr>
        <w:pStyle w:val="TextBody"/>
        <w:bidi w:val="0"/>
        <w:spacing w:before="180" w:after="283"/>
        <w:jc w:val="both"/>
        <w:rPr>
          <w:rFonts w:ascii="Arial" w:hAnsi="Arial"/>
          <w:b/>
          <w:color w:val="000000"/>
          <w:sz w:val="20"/>
        </w:rPr>
      </w:pPr>
      <w:r>
        <w:rPr>
          <w:rFonts w:ascii="Arial" w:hAnsi="Arial"/>
          <w:b/>
          <w:color w:val="000000"/>
          <w:sz w:val="20"/>
        </w:rPr>
        <w:t>Results of Operations</w:t>
      </w:r>
    </w:p>
    <w:p>
      <w:pPr>
        <w:pStyle w:val="TextBody"/>
        <w:bidi w:val="0"/>
        <w:spacing w:before="180" w:after="283"/>
        <w:jc w:val="both"/>
        <w:rPr>
          <w:rFonts w:ascii="Arial" w:hAnsi="Arial"/>
          <w:color w:val="000000"/>
          <w:sz w:val="20"/>
        </w:rPr>
      </w:pPr>
      <w:r>
        <w:rPr>
          <w:rFonts w:ascii="Arial" w:hAnsi="Arial"/>
          <w:color w:val="000000"/>
          <w:sz w:val="20"/>
        </w:rPr>
        <w:t>The following table shows our results of operations for the periods presented and expresses the relationship of certain line items as a percentage of revenue for those periods. The period-to-period comparison of financial results is not necessarily indicative of future results, especially in light of the Asset Sale which was completed in April 2024.</w:t>
      </w:r>
    </w:p>
    <w:p>
      <w:pPr>
        <w:pStyle w:val="TextBody"/>
        <w:bidi w:val="0"/>
        <w:jc w:val="both"/>
        <w:rPr/>
      </w:pPr>
      <w:r>
        <w:rPr/>
        <w:t> </w:t>
      </w:r>
    </w:p>
    <w:tbl>
      <w:tblPr>
        <w:tblW w:w="8619" w:type="dxa"/>
        <w:jc w:val="left"/>
        <w:tblInd w:w="0" w:type="dxa"/>
        <w:tblLayout w:type="fixed"/>
        <w:tblCellMar>
          <w:top w:w="28" w:type="dxa"/>
          <w:left w:w="28" w:type="dxa"/>
          <w:bottom w:w="28" w:type="dxa"/>
          <w:right w:w="28" w:type="dxa"/>
        </w:tblCellMar>
      </w:tblPr>
      <w:tblGrid>
        <w:gridCol w:w="3536"/>
        <w:gridCol w:w="706"/>
        <w:gridCol w:w="706"/>
        <w:gridCol w:w="876"/>
        <w:gridCol w:w="706"/>
        <w:gridCol w:w="706"/>
        <w:gridCol w:w="211"/>
        <w:gridCol w:w="421"/>
        <w:gridCol w:w="751"/>
      </w:tblGrid>
      <w:tr>
        <w:trPr/>
        <w:tc>
          <w:tcPr>
            <w:tcW w:w="35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536"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3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March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1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362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751" w:type="dxa"/>
            <w:tcBorders/>
            <w:shd w:fill="FFFFFF" w:val="clear"/>
            <w:vAlign w:val="center"/>
          </w:tcPr>
          <w:p>
            <w:pPr>
              <w:pStyle w:val="TableContents"/>
              <w:bidi w:val="0"/>
              <w:spacing w:before="0" w:after="283"/>
              <w:jc w:val="center"/>
              <w:rPr/>
            </w:pPr>
            <w:r>
              <w:rPr/>
              <w:t> </w:t>
            </w:r>
          </w:p>
        </w:tc>
      </w:tr>
      <w:tr>
        <w:trPr/>
        <w:tc>
          <w:tcPr>
            <w:tcW w:w="35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70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70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96</w:t>
            </w:r>
          </w:p>
        </w:tc>
        <w:tc>
          <w:tcPr>
            <w:tcW w:w="751" w:type="dxa"/>
            <w:tcBorders/>
            <w:shd w:fill="CFF0FC" w:val="clear"/>
            <w:vAlign w:val="center"/>
          </w:tcPr>
          <w:p>
            <w:pPr>
              <w:pStyle w:val="TableContents"/>
              <w:bidi w:val="0"/>
              <w:spacing w:before="0" w:after="283"/>
              <w:jc w:val="left"/>
              <w:rPr/>
            </w:pPr>
            <w:r>
              <w:rPr/>
              <w:t> </w:t>
            </w:r>
          </w:p>
        </w:tc>
      </w:tr>
      <w:tr>
        <w:trPr/>
        <w:tc>
          <w:tcPr>
            <w:tcW w:w="3536" w:type="dxa"/>
            <w:tcBorders/>
            <w:shd w:fill="FFFFFF" w:val="clear"/>
            <w:vAlign w:val="center"/>
          </w:tcPr>
          <w:p>
            <w:pPr>
              <w:pStyle w:val="TableContents"/>
              <w:bidi w:val="0"/>
              <w:spacing w:before="0" w:after="283"/>
              <w:jc w:val="left"/>
              <w:rPr>
                <w:rFonts w:ascii="Times New Roman" w:hAnsi="Times New Roman"/>
                <w:sz w:val="18"/>
              </w:rPr>
            </w:pPr>
            <w:r>
              <w:rPr>
                <w:rFonts w:ascii="Arial" w:hAnsi="Arial"/>
                <w:color w:val="000000"/>
                <w:sz w:val="18"/>
              </w:rPr>
              <w:t>Cost of revenue</w:t>
            </w:r>
            <w:r>
              <w:rPr>
                <w:rFonts w:ascii="Arial" w:hAnsi="Arial"/>
                <w:color w:val="000000"/>
                <w:sz w:val="12"/>
              </w:rPr>
              <w:t>(1)</w:t>
            </w:r>
          </w:p>
        </w:tc>
        <w:tc>
          <w:tcPr>
            <w:tcW w:w="706" w:type="dxa"/>
            <w:tcBorders/>
            <w:shd w:fill="FFFFFF" w:val="cle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53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Gross profit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706" w:type="dxa"/>
            <w:tcBorders/>
            <w:shd w:fill="CFF0FC" w:val="clear"/>
            <w:vAlign w:val="center"/>
          </w:tcPr>
          <w:p>
            <w:pPr>
              <w:pStyle w:val="TableContents"/>
              <w:bidi w:val="0"/>
              <w:spacing w:before="0" w:after="283"/>
              <w:ind w:left="0" w:right="0" w:firstLine="280"/>
              <w:jc w:val="left"/>
              <w:rPr/>
            </w:pPr>
            <w:r>
              <w:rPr/>
              <w:t> </w:t>
            </w:r>
          </w:p>
        </w:tc>
        <w:tc>
          <w:tcPr>
            <w:tcW w:w="876" w:type="dxa"/>
            <w:tcBorders/>
            <w:shd w:fill="CFF0FC" w:val="clear"/>
            <w:vAlign w:val="center"/>
          </w:tcPr>
          <w:p>
            <w:pPr>
              <w:pStyle w:val="TableContents"/>
              <w:bidi w:val="0"/>
              <w:spacing w:before="0" w:after="283"/>
              <w:ind w:left="280" w:right="0" w:firstLine="280"/>
              <w:jc w:val="right"/>
              <w:rPr>
                <w:rFonts w:ascii="Arial" w:hAnsi="Arial"/>
                <w:color w:val="000000"/>
                <w:sz w:val="18"/>
              </w:rPr>
            </w:pPr>
            <w:r>
              <w:rPr>
                <w:rFonts w:ascii="Arial" w:hAnsi="Arial"/>
                <w:color w:val="000000"/>
                <w:sz w:val="18"/>
              </w:rPr>
              <w:t>6</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751" w:type="dxa"/>
            <w:tcBorders/>
            <w:shd w:fill="CFF0FC" w:val="clear"/>
            <w:vAlign w:val="center"/>
          </w:tcPr>
          <w:p>
            <w:pPr>
              <w:pStyle w:val="TableContents"/>
              <w:bidi w:val="0"/>
              <w:spacing w:before="0" w:after="283"/>
              <w:jc w:val="left"/>
              <w:rPr/>
            </w:pPr>
            <w:r>
              <w:rPr/>
              <w:t> </w:t>
            </w:r>
          </w:p>
        </w:tc>
      </w:tr>
      <w:tr>
        <w:trPr/>
        <w:tc>
          <w:tcPr>
            <w:tcW w:w="35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706" w:type="dxa"/>
            <w:tcBorders/>
            <w:shd w:fill="FFFFFF" w:val="clear"/>
            <w:vAlign w:val="center"/>
          </w:tcPr>
          <w:p>
            <w:pPr>
              <w:pStyle w:val="TableContents"/>
              <w:bidi w:val="0"/>
              <w:spacing w:before="0" w:after="283"/>
              <w:jc w:val="left"/>
              <w:rPr/>
            </w:pPr>
            <w:r>
              <w:rPr/>
              <w:t> </w:t>
            </w:r>
          </w:p>
        </w:tc>
        <w:tc>
          <w:tcPr>
            <w:tcW w:w="1582"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536" w:type="dxa"/>
            <w:tcBorders/>
            <w:shd w:fill="CFF0FC" w:val="clear"/>
            <w:vAlign w:val="center"/>
          </w:tcPr>
          <w:p>
            <w:pPr>
              <w:pStyle w:val="TableContents"/>
              <w:bidi w:val="0"/>
              <w:spacing w:before="0" w:after="283"/>
              <w:ind w:left="0" w:right="0" w:firstLine="280"/>
              <w:jc w:val="left"/>
              <w:rPr>
                <w:rFonts w:ascii="Times New Roman" w:hAnsi="Times New Roman"/>
                <w:sz w:val="18"/>
              </w:rPr>
            </w:pPr>
            <w:r>
              <w:rPr>
                <w:rFonts w:ascii="Arial" w:hAnsi="Arial"/>
                <w:color w:val="000000"/>
                <w:sz w:val="18"/>
              </w:rPr>
              <w:t>Sales and marketing</w:t>
            </w:r>
            <w:r>
              <w:rPr>
                <w:rFonts w:ascii="Arial" w:hAnsi="Arial"/>
                <w:color w:val="000000"/>
                <w:sz w:val="12"/>
              </w:rPr>
              <w:t>(1)</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706" w:type="dxa"/>
            <w:tcBorders/>
            <w:shd w:fill="CFF0FC" w:val="clear"/>
            <w:vAlign w:val="center"/>
          </w:tcPr>
          <w:p>
            <w:pPr>
              <w:pStyle w:val="TableContents"/>
              <w:bidi w:val="0"/>
              <w:spacing w:before="0" w:after="283"/>
              <w:ind w:left="0" w:right="0" w:firstLine="280"/>
              <w:jc w:val="left"/>
              <w:rPr/>
            </w:pPr>
            <w:r>
              <w:rPr/>
              <w:t> </w:t>
            </w:r>
          </w:p>
        </w:tc>
        <w:tc>
          <w:tcPr>
            <w:tcW w:w="876" w:type="dxa"/>
            <w:tcBorders/>
            <w:shd w:fill="CFF0FC" w:val="clear"/>
            <w:vAlign w:val="center"/>
          </w:tcPr>
          <w:p>
            <w:pPr>
              <w:pStyle w:val="TableContents"/>
              <w:bidi w:val="0"/>
              <w:spacing w:before="0" w:after="283"/>
              <w:ind w:left="280" w:right="0" w:firstLine="280"/>
              <w:jc w:val="right"/>
              <w:rPr>
                <w:rFonts w:ascii="Arial" w:hAnsi="Arial"/>
                <w:color w:val="000000"/>
                <w:sz w:val="18"/>
              </w:rPr>
            </w:pPr>
            <w:r>
              <w:rPr>
                <w:rFonts w:ascii="Arial" w:hAnsi="Arial"/>
                <w:color w:val="000000"/>
                <w:sz w:val="18"/>
              </w:rPr>
              <w:t>15</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536" w:type="dxa"/>
            <w:tcBorders/>
            <w:shd w:fill="FFFFFF" w:val="clear"/>
            <w:vAlign w:val="center"/>
          </w:tcPr>
          <w:p>
            <w:pPr>
              <w:pStyle w:val="TableContents"/>
              <w:bidi w:val="0"/>
              <w:spacing w:before="0" w:after="283"/>
              <w:ind w:left="0" w:right="0" w:firstLine="280"/>
              <w:jc w:val="left"/>
              <w:rPr>
                <w:rFonts w:ascii="Times New Roman" w:hAnsi="Times New Roman"/>
                <w:sz w:val="18"/>
              </w:rPr>
            </w:pPr>
            <w:r>
              <w:rPr>
                <w:rFonts w:ascii="Arial" w:hAnsi="Arial"/>
                <w:color w:val="000000"/>
                <w:sz w:val="18"/>
              </w:rPr>
              <w:t>Product development</w:t>
            </w:r>
            <w:r>
              <w:rPr>
                <w:rFonts w:ascii="Arial" w:hAnsi="Arial"/>
                <w:color w:val="000000"/>
                <w:sz w:val="12"/>
              </w:rPr>
              <w:t>(1)</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706" w:type="dxa"/>
            <w:tcBorders/>
            <w:shd w:fill="FFFFFF" w:val="clear"/>
            <w:vAlign w:val="center"/>
          </w:tcPr>
          <w:p>
            <w:pPr>
              <w:pStyle w:val="TableContents"/>
              <w:bidi w:val="0"/>
              <w:spacing w:before="0" w:after="283"/>
              <w:ind w:left="0" w:right="0" w:firstLine="280"/>
              <w:jc w:val="left"/>
              <w:rPr/>
            </w:pPr>
            <w:r>
              <w:rPr/>
              <w:t> </w:t>
            </w:r>
          </w:p>
        </w:tc>
        <w:tc>
          <w:tcPr>
            <w:tcW w:w="876" w:type="dxa"/>
            <w:tcBorders/>
            <w:shd w:fill="FFFFFF" w:val="clear"/>
            <w:vAlign w:val="center"/>
          </w:tcPr>
          <w:p>
            <w:pPr>
              <w:pStyle w:val="TableContents"/>
              <w:bidi w:val="0"/>
              <w:spacing w:before="0" w:after="283"/>
              <w:ind w:left="280" w:right="0" w:firstLine="280"/>
              <w:jc w:val="right"/>
              <w:rPr>
                <w:rFonts w:ascii="Arial" w:hAnsi="Arial"/>
                <w:color w:val="000000"/>
                <w:sz w:val="18"/>
              </w:rPr>
            </w:pPr>
            <w:r>
              <w:rPr>
                <w:rFonts w:ascii="Arial" w:hAnsi="Arial"/>
                <w:color w:val="000000"/>
                <w:sz w:val="18"/>
              </w:rPr>
              <w:t>22</w:t>
            </w:r>
          </w:p>
        </w:tc>
        <w:tc>
          <w:tcPr>
            <w:tcW w:w="706" w:type="dxa"/>
            <w:tcBorders/>
            <w:shd w:fill="FFFFFF" w:val="cle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536" w:type="dxa"/>
            <w:tcBorders/>
            <w:shd w:fill="CFF0FC" w:val="clear"/>
            <w:vAlign w:val="center"/>
          </w:tcPr>
          <w:p>
            <w:pPr>
              <w:pStyle w:val="TableContents"/>
              <w:bidi w:val="0"/>
              <w:spacing w:before="0" w:after="283"/>
              <w:ind w:left="0" w:right="0" w:firstLine="280"/>
              <w:jc w:val="left"/>
              <w:rPr>
                <w:rFonts w:ascii="Times New Roman" w:hAnsi="Times New Roman"/>
                <w:sz w:val="18"/>
              </w:rPr>
            </w:pPr>
            <w:r>
              <w:rPr>
                <w:rFonts w:ascii="Arial" w:hAnsi="Arial"/>
                <w:color w:val="000000"/>
                <w:sz w:val="18"/>
              </w:rPr>
              <w:t>General and administrative</w:t>
            </w:r>
            <w:r>
              <w:rPr>
                <w:rFonts w:ascii="Arial" w:hAnsi="Arial"/>
                <w:color w:val="000000"/>
                <w:sz w:val="12"/>
              </w:rPr>
              <w:t>(1)</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right"/>
              <w:rPr>
                <w:rFonts w:ascii="Arial" w:hAnsi="Arial"/>
                <w:color w:val="000000"/>
                <w:sz w:val="18"/>
              </w:rPr>
            </w:pPr>
            <w:r>
              <w:rPr>
                <w:rFonts w:ascii="Arial" w:hAnsi="Arial"/>
                <w:color w:val="000000"/>
                <w:sz w:val="18"/>
              </w:rPr>
              <w:t>22</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536" w:type="dxa"/>
            <w:tcBorders/>
            <w:shd w:fill="FFFFFF"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Total operating expenses</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706" w:type="dxa"/>
            <w:tcBorders/>
            <w:shd w:fill="FFFFFF" w:val="clear"/>
            <w:vAlign w:val="center"/>
          </w:tcPr>
          <w:p>
            <w:pPr>
              <w:pStyle w:val="TableContents"/>
              <w:bidi w:val="0"/>
              <w:spacing w:before="0" w:after="283"/>
              <w:ind w:left="0" w:right="0" w:firstLine="560"/>
              <w:jc w:val="left"/>
              <w:rPr/>
            </w:pPr>
            <w:r>
              <w:rPr/>
              <w:t> </w:t>
            </w:r>
          </w:p>
        </w:tc>
        <w:tc>
          <w:tcPr>
            <w:tcW w:w="876" w:type="dxa"/>
            <w:tcBorders/>
            <w:shd w:fill="FFFFFF" w:val="clear"/>
            <w:vAlign w:val="center"/>
          </w:tcPr>
          <w:p>
            <w:pPr>
              <w:pStyle w:val="TableContents"/>
              <w:bidi w:val="0"/>
              <w:spacing w:before="0" w:after="283"/>
              <w:ind w:left="560" w:right="0" w:firstLine="560"/>
              <w:jc w:val="right"/>
              <w:rPr>
                <w:rFonts w:ascii="Arial" w:hAnsi="Arial"/>
                <w:color w:val="000000"/>
                <w:sz w:val="18"/>
              </w:rPr>
            </w:pPr>
            <w:r>
              <w:rPr>
                <w:rFonts w:ascii="Arial" w:hAnsi="Arial"/>
                <w:color w:val="000000"/>
                <w:sz w:val="18"/>
              </w:rPr>
              <w:t>59</w:t>
            </w:r>
          </w:p>
        </w:tc>
        <w:tc>
          <w:tcPr>
            <w:tcW w:w="706" w:type="dxa"/>
            <w:tcBorders/>
            <w:shd w:fill="FFFFFF" w:val="clear"/>
            <w:vAlign w:val="center"/>
          </w:tcPr>
          <w:p>
            <w:pPr>
              <w:pStyle w:val="TableContents"/>
              <w:bidi w:val="0"/>
              <w:spacing w:before="0" w:after="283"/>
              <w:ind w:left="0" w:right="0" w:firstLine="560"/>
              <w:jc w:val="left"/>
              <w:rPr/>
            </w:pPr>
            <w:r>
              <w:rPr/>
              <w:t> </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751" w:type="dxa"/>
            <w:tcBorders/>
            <w:shd w:fill="FFFFFF" w:val="clear"/>
            <w:vAlign w:val="center"/>
          </w:tcPr>
          <w:p>
            <w:pPr>
              <w:pStyle w:val="TableContents"/>
              <w:bidi w:val="0"/>
              <w:spacing w:before="0" w:after="283"/>
              <w:jc w:val="left"/>
              <w:rPr/>
            </w:pPr>
            <w:r>
              <w:rPr/>
              <w:t> </w:t>
            </w:r>
          </w:p>
        </w:tc>
      </w:tr>
      <w:tr>
        <w:trPr/>
        <w:tc>
          <w:tcPr>
            <w:tcW w:w="35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70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70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7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5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706" w:type="dxa"/>
            <w:tcBorders/>
            <w:shd w:fill="FFFFFF" w:val="clear"/>
            <w:vAlign w:val="center"/>
          </w:tcPr>
          <w:p>
            <w:pPr>
              <w:pStyle w:val="TableContents"/>
              <w:bidi w:val="0"/>
              <w:spacing w:before="0" w:after="283"/>
              <w:jc w:val="left"/>
              <w:rPr/>
            </w:pPr>
            <w:r>
              <w:rPr/>
              <w:t> </w:t>
            </w:r>
          </w:p>
        </w:tc>
        <w:tc>
          <w:tcPr>
            <w:tcW w:w="1582"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53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Interest and other income, net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right"/>
              <w:rPr>
                <w:color w:val="000000"/>
              </w:rPr>
            </w:pPr>
            <w:r>
              <w:rPr>
                <w:color w:val="00000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53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Loss before provision for income taxes</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706" w:type="dxa"/>
            <w:tcBorders/>
            <w:shd w:fill="FFFFFF" w:val="clear"/>
            <w:vAlign w:val="center"/>
          </w:tcPr>
          <w:p>
            <w:pPr>
              <w:pStyle w:val="TableContents"/>
              <w:bidi w:val="0"/>
              <w:spacing w:before="0" w:after="283"/>
              <w:ind w:left="0" w:right="0" w:firstLine="280"/>
              <w:jc w:val="left"/>
              <w:rPr/>
            </w:pPr>
            <w:r>
              <w:rPr/>
              <w:t> </w:t>
            </w:r>
          </w:p>
        </w:tc>
        <w:tc>
          <w:tcPr>
            <w:tcW w:w="876" w:type="dxa"/>
            <w:tcBorders/>
            <w:shd w:fill="FFFFFF" w:val="clear"/>
            <w:vAlign w:val="center"/>
          </w:tcPr>
          <w:p>
            <w:pPr>
              <w:pStyle w:val="TableContents"/>
              <w:bidi w:val="0"/>
              <w:spacing w:before="0" w:after="283"/>
              <w:ind w:left="280" w:right="0" w:firstLine="280"/>
              <w:jc w:val="right"/>
              <w:rPr>
                <w:rFonts w:ascii="Arial" w:hAnsi="Arial"/>
                <w:color w:val="000000"/>
                <w:sz w:val="18"/>
              </w:rPr>
            </w:pPr>
            <w:r>
              <w:rPr>
                <w:rFonts w:ascii="Arial" w:hAnsi="Arial"/>
                <w:color w:val="000000"/>
                <w:sz w:val="18"/>
              </w:rPr>
              <w:t>(53</w:t>
            </w:r>
          </w:p>
        </w:tc>
        <w:tc>
          <w:tcPr>
            <w:tcW w:w="70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7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5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706" w:type="dxa"/>
            <w:tcBorders/>
            <w:shd w:fill="CFF0FC" w:val="cle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706" w:type="dxa"/>
            <w:tcBorders/>
            <w:shd w:fill="FFFFFF" w:val="cle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0" w:after="180"/>
        <w:jc w:val="both"/>
        <w:rPr>
          <w:rFonts w:ascii="Arial" w:hAnsi="Arial"/>
          <w:color w:val="000000"/>
          <w:sz w:val="20"/>
        </w:rPr>
      </w:pPr>
      <w:r>
        <w:rPr>
          <w:rFonts w:ascii="Arial" w:hAnsi="Arial"/>
          <w:color w:val="000000"/>
          <w:sz w:val="20"/>
        </w:rPr>
        <w:t>(1)</w:t>
      </w:r>
    </w:p>
    <w:p>
      <w:pPr>
        <w:pStyle w:val="TextBody"/>
        <w:bidi w:val="0"/>
        <w:spacing w:before="0" w:after="180"/>
        <w:jc w:val="both"/>
        <w:rPr>
          <w:rFonts w:ascii="Arial" w:hAnsi="Arial"/>
          <w:color w:val="000000"/>
          <w:sz w:val="20"/>
        </w:rPr>
      </w:pPr>
      <w:r>
        <w:rPr>
          <w:rFonts w:ascii="Arial" w:hAnsi="Arial"/>
          <w:color w:val="000000"/>
          <w:sz w:val="20"/>
        </w:rPr>
        <w:t xml:space="preserve">Includes stock-based compensation expense as follows: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516" w:type="dxa"/>
        <w:jc w:val="left"/>
        <w:tblInd w:w="0" w:type="dxa"/>
        <w:tblLayout w:type="fixed"/>
        <w:tblCellMar>
          <w:top w:w="28" w:type="dxa"/>
          <w:left w:w="28" w:type="dxa"/>
          <w:bottom w:w="28" w:type="dxa"/>
          <w:right w:w="28" w:type="dxa"/>
        </w:tblCellMar>
      </w:tblPr>
      <w:tblGrid>
        <w:gridCol w:w="3041"/>
        <w:gridCol w:w="146"/>
        <w:gridCol w:w="285"/>
        <w:gridCol w:w="467"/>
        <w:gridCol w:w="197"/>
        <w:gridCol w:w="197"/>
        <w:gridCol w:w="285"/>
        <w:gridCol w:w="427"/>
        <w:gridCol w:w="471"/>
      </w:tblGrid>
      <w:tr>
        <w:trPr/>
        <w:tc>
          <w:tcPr>
            <w:tcW w:w="3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8"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471" w:type="dxa"/>
            <w:tcBorders/>
            <w:shd w:fill="FFFFFF" w:val="clear"/>
            <w:vAlign w:val="center"/>
          </w:tcPr>
          <w:p>
            <w:pPr>
              <w:pStyle w:val="TableContents"/>
              <w:bidi w:val="0"/>
              <w:spacing w:before="0" w:after="283"/>
              <w:jc w:val="center"/>
              <w:rPr/>
            </w:pPr>
            <w:r>
              <w:rPr/>
              <w:t> </w:t>
            </w:r>
          </w:p>
        </w:tc>
      </w:tr>
      <w:tr>
        <w:trPr/>
        <w:tc>
          <w:tcPr>
            <w:tcW w:w="3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left"/>
              <w:rPr/>
            </w:pPr>
            <w:r>
              <w:rPr/>
              <w:t> </w:t>
            </w:r>
          </w:p>
        </w:tc>
        <w:tc>
          <w:tcPr>
            <w:tcW w:w="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8"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471" w:type="dxa"/>
            <w:tcBorders/>
            <w:shd w:fill="FFFFFF" w:val="clear"/>
            <w:vAlign w:val="center"/>
          </w:tcPr>
          <w:p>
            <w:pPr>
              <w:pStyle w:val="TableContents"/>
              <w:bidi w:val="0"/>
              <w:spacing w:before="0" w:after="283"/>
              <w:jc w:val="center"/>
              <w:rPr/>
            </w:pPr>
            <w:r>
              <w:rPr/>
              <w:t> </w:t>
            </w:r>
          </w:p>
        </w:tc>
      </w:tr>
      <w:tr>
        <w:trPr/>
        <w:tc>
          <w:tcPr>
            <w:tcW w:w="30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97"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71" w:type="dxa"/>
            <w:tcBorders/>
            <w:shd w:fill="CFF0FC" w:val="clear"/>
            <w:vAlign w:val="center"/>
          </w:tcPr>
          <w:p>
            <w:pPr>
              <w:pStyle w:val="TableContents"/>
              <w:bidi w:val="0"/>
              <w:spacing w:before="0" w:after="283"/>
              <w:jc w:val="left"/>
              <w:rPr/>
            </w:pPr>
            <w:r>
              <w:rPr/>
              <w:t> </w:t>
            </w:r>
          </w:p>
        </w:tc>
      </w:tr>
      <w:tr>
        <w:trPr/>
        <w:tc>
          <w:tcPr>
            <w:tcW w:w="30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Sales and marketing</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97"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71" w:type="dxa"/>
            <w:tcBorders/>
            <w:shd w:fill="FFFFFF" w:val="clear"/>
            <w:vAlign w:val="center"/>
          </w:tcPr>
          <w:p>
            <w:pPr>
              <w:pStyle w:val="TableContents"/>
              <w:bidi w:val="0"/>
              <w:spacing w:before="0" w:after="283"/>
              <w:jc w:val="left"/>
              <w:rPr/>
            </w:pPr>
            <w:r>
              <w:rPr/>
              <w:t> </w:t>
            </w:r>
          </w:p>
        </w:tc>
      </w:tr>
      <w:tr>
        <w:trPr/>
        <w:tc>
          <w:tcPr>
            <w:tcW w:w="30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Product development</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97"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471" w:type="dxa"/>
            <w:tcBorders/>
            <w:shd w:fill="CFF0FC" w:val="clear"/>
            <w:vAlign w:val="center"/>
          </w:tcPr>
          <w:p>
            <w:pPr>
              <w:pStyle w:val="TableContents"/>
              <w:bidi w:val="0"/>
              <w:spacing w:before="0" w:after="283"/>
              <w:jc w:val="left"/>
              <w:rPr/>
            </w:pPr>
            <w:r>
              <w:rPr/>
              <w:t> </w:t>
            </w:r>
          </w:p>
        </w:tc>
      </w:tr>
      <w:tr>
        <w:trPr/>
        <w:tc>
          <w:tcPr>
            <w:tcW w:w="30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General and administrative</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041"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The following table presents the components of our condensed consolidated statements of operations as a percentage of revenue:</w:t>
      </w:r>
      <w:r>
        <w:rPr>
          <w:rFonts w:ascii="Times New Roman" w:hAnsi="Times New Roman"/>
          <w:color w:val="000000"/>
          <w:sz w:val="20"/>
        </w:rPr>
        <w:t xml:space="preserve"> </w:t>
      </w:r>
    </w:p>
    <w:p>
      <w:pPr>
        <w:pStyle w:val="TextBody"/>
        <w:bidi w:val="0"/>
        <w:jc w:val="both"/>
        <w:rPr/>
      </w:pPr>
      <w:r>
        <w:rPr/>
        <w:t> </w:t>
      </w:r>
    </w:p>
    <w:tbl>
      <w:tblPr>
        <w:tblW w:w="7483" w:type="dxa"/>
        <w:jc w:val="left"/>
        <w:tblInd w:w="0" w:type="dxa"/>
        <w:tblLayout w:type="fixed"/>
        <w:tblCellMar>
          <w:top w:w="28" w:type="dxa"/>
          <w:left w:w="28" w:type="dxa"/>
          <w:bottom w:w="28" w:type="dxa"/>
          <w:right w:w="28" w:type="dxa"/>
        </w:tblCellMar>
      </w:tblPr>
      <w:tblGrid>
        <w:gridCol w:w="3816"/>
        <w:gridCol w:w="146"/>
        <w:gridCol w:w="481"/>
        <w:gridCol w:w="891"/>
        <w:gridCol w:w="706"/>
        <w:gridCol w:w="146"/>
        <w:gridCol w:w="421"/>
        <w:gridCol w:w="876"/>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vAlign w:val="center"/>
          </w:tcPr>
          <w:p>
            <w:pPr>
              <w:pStyle w:val="TableContents"/>
              <w:bidi w:val="0"/>
              <w:spacing w:before="0" w:after="283"/>
              <w:jc w:val="center"/>
              <w:rPr/>
            </w:pPr>
            <w:r>
              <w:rPr/>
              <w:t> </w:t>
            </w:r>
          </w:p>
        </w:tc>
        <w:tc>
          <w:tcPr>
            <w:tcW w:w="2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March 31,</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8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8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381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89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8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627"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ind w:left="0" w:right="0" w:firstLine="280"/>
              <w:jc w:val="left"/>
              <w:rPr/>
            </w:pPr>
            <w:r>
              <w:rPr/>
              <w:t> </w:t>
            </w:r>
          </w:p>
        </w:tc>
      </w:tr>
      <w:tr>
        <w:trPr/>
        <w:tc>
          <w:tcPr>
            <w:tcW w:w="381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Sales and marketing</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89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87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3816"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Product development</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89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87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381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General and administrative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r>
      <w:tr>
        <w:trPr/>
        <w:tc>
          <w:tcPr>
            <w:tcW w:w="3816" w:type="dxa"/>
            <w:tcBorders/>
            <w:shd w:fill="FFFFFF" w:val="clear"/>
            <w:vAlign w:val="center"/>
          </w:tcPr>
          <w:p>
            <w:pPr>
              <w:pStyle w:val="TableContents"/>
              <w:bidi w:val="0"/>
              <w:spacing w:before="0" w:after="283"/>
              <w:ind w:left="560" w:right="0" w:firstLine="560"/>
              <w:jc w:val="left"/>
              <w:rPr>
                <w:rFonts w:ascii="Arial" w:hAnsi="Arial"/>
                <w:color w:val="000000"/>
                <w:sz w:val="18"/>
              </w:rPr>
            </w:pPr>
            <w:r>
              <w:rPr>
                <w:rFonts w:ascii="Arial" w:hAnsi="Arial"/>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c>
          <w:tcPr>
            <w:tcW w:w="891" w:type="dxa"/>
            <w:tcBorders/>
            <w:shd w:fill="FFFFFF"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87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(147</w:t>
            </w:r>
          </w:p>
        </w:tc>
        <w:tc>
          <w:tcPr>
            <w:tcW w:w="8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8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627"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ind w:left="0" w:right="0" w:firstLine="280"/>
              <w:jc w:val="left"/>
              <w:rPr/>
            </w:pPr>
            <w:r>
              <w:rPr/>
              <w:t> </w:t>
            </w:r>
          </w:p>
        </w:tc>
      </w:tr>
      <w:tr>
        <w:trPr/>
        <w:tc>
          <w:tcPr>
            <w:tcW w:w="3816"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Interest and other income,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r>
      <w:tr>
        <w:trPr/>
        <w:tc>
          <w:tcPr>
            <w:tcW w:w="3816" w:type="dxa"/>
            <w:tcBorders/>
            <w:shd w:fill="FFFFFF" w:val="clear"/>
            <w:vAlign w:val="center"/>
          </w:tcPr>
          <w:p>
            <w:pPr>
              <w:pStyle w:val="TableContents"/>
              <w:bidi w:val="0"/>
              <w:spacing w:before="0" w:after="283"/>
              <w:ind w:left="560" w:right="0" w:firstLine="560"/>
              <w:jc w:val="left"/>
              <w:rPr>
                <w:rFonts w:ascii="Arial" w:hAnsi="Arial"/>
                <w:color w:val="000000"/>
                <w:sz w:val="18"/>
              </w:rPr>
            </w:pPr>
            <w:r>
              <w:rPr>
                <w:rFonts w:ascii="Arial" w:hAnsi="Arial"/>
                <w:color w:val="000000"/>
                <w:sz w:val="18"/>
              </w:rPr>
              <w:t>Loss before provision for income taxes</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(147</w:t>
            </w:r>
          </w:p>
        </w:tc>
        <w:tc>
          <w:tcPr>
            <w:tcW w:w="891" w:type="dxa"/>
            <w:tcBorders/>
            <w:shd w:fill="FFFFFF"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87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80" w:after="283"/>
        <w:jc w:val="both"/>
        <w:rPr>
          <w:rFonts w:ascii="Arial" w:hAnsi="Arial"/>
          <w:b/>
          <w:i/>
          <w:color w:val="000000"/>
          <w:sz w:val="20"/>
        </w:rPr>
      </w:pPr>
      <w:r>
        <w:rPr>
          <w:rFonts w:ascii="Arial" w:hAnsi="Arial"/>
          <w:b/>
          <w:i/>
          <w:color w:val="000000"/>
          <w:sz w:val="20"/>
        </w:rPr>
        <w:t>Comparison of Three Months Ended March 31, 2024 and 2023</w:t>
      </w:r>
    </w:p>
    <w:p>
      <w:pPr>
        <w:pStyle w:val="TextBody"/>
        <w:bidi w:val="0"/>
        <w:spacing w:before="180" w:after="283"/>
        <w:jc w:val="both"/>
        <w:rPr>
          <w:rFonts w:ascii="Arial" w:hAnsi="Arial"/>
          <w:b/>
          <w:i/>
          <w:color w:val="000000"/>
          <w:sz w:val="20"/>
        </w:rPr>
      </w:pPr>
      <w:r>
        <w:rPr>
          <w:rFonts w:ascii="Arial" w:hAnsi="Arial"/>
          <w:b/>
          <w:i/>
          <w:color w:val="000000"/>
          <w:sz w:val="20"/>
        </w:rPr>
        <w:t>Revenue</w:t>
      </w:r>
    </w:p>
    <w:p>
      <w:pPr>
        <w:pStyle w:val="TextBody"/>
        <w:bidi w:val="0"/>
        <w:jc w:val="both"/>
        <w:rPr/>
      </w:pPr>
      <w:r>
        <w:rPr/>
        <w:t> </w:t>
      </w:r>
    </w:p>
    <w:tbl>
      <w:tblPr>
        <w:tblW w:w="7667" w:type="dxa"/>
        <w:jc w:val="left"/>
        <w:tblInd w:w="0" w:type="dxa"/>
        <w:tblLayout w:type="fixed"/>
        <w:tblCellMar>
          <w:top w:w="28" w:type="dxa"/>
          <w:left w:w="28" w:type="dxa"/>
          <w:bottom w:w="28" w:type="dxa"/>
          <w:right w:w="28" w:type="dxa"/>
        </w:tblCellMar>
      </w:tblPr>
      <w:tblGrid>
        <w:gridCol w:w="2726"/>
        <w:gridCol w:w="146"/>
        <w:gridCol w:w="322"/>
        <w:gridCol w:w="483"/>
        <w:gridCol w:w="222"/>
        <w:gridCol w:w="222"/>
        <w:gridCol w:w="322"/>
        <w:gridCol w:w="483"/>
        <w:gridCol w:w="161"/>
        <w:gridCol w:w="161"/>
        <w:gridCol w:w="233"/>
        <w:gridCol w:w="416"/>
        <w:gridCol w:w="166"/>
        <w:gridCol w:w="146"/>
        <w:gridCol w:w="146"/>
        <w:gridCol w:w="376"/>
        <w:gridCol w:w="936"/>
      </w:tblGrid>
      <w:tr>
        <w:trPr/>
        <w:tc>
          <w:tcPr>
            <w:tcW w:w="2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2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br/>
              <w:t>March 31,</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14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25" w:type="dxa"/>
            <w:gridSpan w:val="1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ind w:left="0" w:right="0" w:firstLine="280"/>
              <w:jc w:val="left"/>
              <w:rPr/>
            </w:pPr>
            <w:r>
              <w:rPr/>
              <w:t> </w:t>
            </w:r>
          </w:p>
        </w:tc>
      </w:tr>
      <w:tr>
        <w:trPr/>
        <w:tc>
          <w:tcPr>
            <w:tcW w:w="2726" w:type="dxa"/>
            <w:tcBorders/>
            <w:shd w:fill="CFF0FC" w:val="clear"/>
            <w:vAlign w:val="center"/>
          </w:tcPr>
          <w:p>
            <w:pPr>
              <w:pStyle w:val="TableContents"/>
              <w:bidi w:val="0"/>
              <w:spacing w:before="0" w:after="283"/>
              <w:ind w:left="280" w:right="0" w:firstLine="280"/>
              <w:jc w:val="left"/>
              <w:rPr>
                <w:rFonts w:ascii="Times New Roman" w:hAnsi="Times New Roman"/>
                <w:sz w:val="18"/>
              </w:rPr>
            </w:pPr>
            <w:r>
              <w:rPr>
                <w:rFonts w:ascii="Arial" w:hAnsi="Arial"/>
                <w:color w:val="000000"/>
                <w:sz w:val="18"/>
              </w:rPr>
              <w:t>Core marketplace revenue</w:t>
            </w:r>
            <w:r>
              <w:rPr>
                <w:rFonts w:ascii="Arial" w:hAnsi="Arial"/>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222"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93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2726"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ProductBoost revenue</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9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Marketplace revenue</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222"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9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Logistics revenue</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936" w:type="dxa"/>
            <w:tcBorders/>
            <w:shd w:fill="FFFFFF"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r>
      <w:tr>
        <w:trPr/>
        <w:tc>
          <w:tcPr>
            <w:tcW w:w="2726" w:type="dxa"/>
            <w:tcBorders/>
            <w:shd w:fill="CFF0FC" w:val="clear"/>
            <w:vAlign w:val="center"/>
          </w:tcPr>
          <w:p>
            <w:pPr>
              <w:pStyle w:val="TableContents"/>
              <w:bidi w:val="0"/>
              <w:spacing w:before="0" w:after="283"/>
              <w:ind w:left="560" w:right="0" w:firstLine="560"/>
              <w:jc w:val="left"/>
              <w:rPr>
                <w:rFonts w:ascii="Arial" w:hAnsi="Arial"/>
                <w:color w:val="000000"/>
                <w:sz w:val="18"/>
              </w:rPr>
            </w:pPr>
            <w:r>
              <w:rPr>
                <w:rFonts w:ascii="Arial" w:hAnsi="Arial"/>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9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jc w:val="both"/>
        <w:rPr>
          <w:rFonts w:ascii="Arial" w:hAnsi="Arial"/>
          <w:color w:val="000000"/>
          <w:sz w:val="16"/>
        </w:rPr>
      </w:pPr>
      <w:r>
        <w:rPr>
          <w:rFonts w:ascii="Arial" w:hAnsi="Arial"/>
          <w:color w:val="000000"/>
          <w:sz w:val="16"/>
        </w:rPr>
        <w:t>Core marketplace revenue included a net gain of zero and $2 million for the three months ended March 31, 2024, and 2023, respectively, from our cash flow hedging program.</w:t>
      </w:r>
    </w:p>
    <w:p>
      <w:pPr>
        <w:pStyle w:val="TextBody"/>
        <w:bidi w:val="0"/>
        <w:spacing w:before="180" w:after="283"/>
        <w:jc w:val="both"/>
        <w:rPr>
          <w:rFonts w:ascii="Arial" w:hAnsi="Arial"/>
          <w:color w:val="000000"/>
          <w:sz w:val="20"/>
        </w:rPr>
      </w:pPr>
      <w:r>
        <w:rPr>
          <w:rFonts w:ascii="Arial" w:hAnsi="Arial"/>
          <w:color w:val="000000"/>
          <w:sz w:val="20"/>
        </w:rPr>
        <w:t>Revenue decreased $60 million, or 63%, to $36 million for the three months ended March 31, 2024 as compared to $96 million for the three months ended March 31, 2023. The decreases were attributable to decreased marketplace and logistics revenue, as noted below.</w:t>
      </w:r>
    </w:p>
    <w:p>
      <w:pPr>
        <w:pStyle w:val="TextBody"/>
        <w:bidi w:val="0"/>
        <w:spacing w:before="180" w:after="283"/>
        <w:jc w:val="both"/>
        <w:rPr>
          <w:rFonts w:ascii="Times New Roman" w:hAnsi="Times New Roman"/>
          <w:sz w:val="20"/>
        </w:rPr>
      </w:pPr>
      <w:r>
        <w:rPr>
          <w:rFonts w:ascii="Arial" w:hAnsi="Arial"/>
          <w:color w:val="000000"/>
          <w:sz w:val="20"/>
        </w:rPr>
        <w:t>Marketplace revenue for the three months ended March 31, 2024 decreased $22 million, or 61% compared to the same period in 2023, primarily driven by lower order volumes associated with reduced MAUs and LTM Active Buyers.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Logistics revenue for the three months ended March 31, 2024 decreased $38 million, or 63%, compared to the same periods in 2023. Like marketplace revenue, the decrease was primarily driven by lower order volumes.</w:t>
      </w:r>
    </w:p>
    <w:p>
      <w:pPr>
        <w:pStyle w:val="TextBody"/>
        <w:bidi w:val="0"/>
        <w:spacing w:before="180" w:after="283"/>
        <w:jc w:val="both"/>
        <w:rPr>
          <w:rFonts w:ascii="Arial" w:hAnsi="Arial"/>
          <w:color w:val="000000"/>
          <w:sz w:val="20"/>
        </w:rPr>
      </w:pPr>
      <w:r>
        <w:rPr>
          <w:rFonts w:ascii="Arial" w:hAnsi="Arial"/>
          <w:color w:val="000000"/>
          <w:sz w:val="20"/>
        </w:rPr>
        <w:t>Since the consummation of Asset Sale on April 19, 2024, we expect to no longer earn operating revenue and incur related cost associated with the prior marketplace and logistics operations. We expect to incur minimal administrative costs in the course of overseeing and curating the remaining assets.</w:t>
      </w:r>
    </w:p>
    <w:p>
      <w:pPr>
        <w:pStyle w:val="TextBody"/>
        <w:bidi w:val="0"/>
        <w:spacing w:before="180" w:after="283"/>
        <w:jc w:val="both"/>
        <w:rPr>
          <w:rFonts w:ascii="Arial" w:hAnsi="Arial"/>
          <w:b/>
          <w:i/>
          <w:color w:val="000000"/>
          <w:sz w:val="20"/>
        </w:rPr>
      </w:pPr>
      <w:r>
        <w:rPr>
          <w:rFonts w:ascii="Arial" w:hAnsi="Arial"/>
          <w:b/>
          <w:i/>
          <w:color w:val="000000"/>
          <w:sz w:val="20"/>
        </w:rPr>
        <w:t>Cost of Revenue and Gross Margin</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922" w:type="dxa"/>
        <w:jc w:val="left"/>
        <w:tblInd w:w="0" w:type="dxa"/>
        <w:tblLayout w:type="fixed"/>
        <w:tblCellMar>
          <w:top w:w="28" w:type="dxa"/>
          <w:left w:w="28" w:type="dxa"/>
          <w:bottom w:w="28" w:type="dxa"/>
          <w:right w:w="28" w:type="dxa"/>
        </w:tblCellMar>
      </w:tblPr>
      <w:tblGrid>
        <w:gridCol w:w="2261"/>
        <w:gridCol w:w="146"/>
        <w:gridCol w:w="281"/>
        <w:gridCol w:w="422"/>
        <w:gridCol w:w="362"/>
        <w:gridCol w:w="195"/>
        <w:gridCol w:w="281"/>
        <w:gridCol w:w="422"/>
        <w:gridCol w:w="287"/>
        <w:gridCol w:w="154"/>
        <w:gridCol w:w="223"/>
        <w:gridCol w:w="398"/>
        <w:gridCol w:w="166"/>
        <w:gridCol w:w="146"/>
        <w:gridCol w:w="146"/>
        <w:gridCol w:w="376"/>
        <w:gridCol w:w="656"/>
      </w:tblGrid>
      <w:tr>
        <w:trPr/>
        <w:tc>
          <w:tcPr>
            <w:tcW w:w="2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br/>
              <w:t>March 31,</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14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c>
          <w:tcPr>
            <w:tcW w:w="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25" w:type="dxa"/>
            <w:gridSpan w:val="1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656" w:type="dxa"/>
            <w:tcBorders/>
            <w:shd w:fill="FFFFFF" w:val="clear"/>
            <w:vAlign w:val="center"/>
          </w:tcPr>
          <w:p>
            <w:pPr>
              <w:pStyle w:val="TableContents"/>
              <w:bidi w:val="0"/>
              <w:spacing w:before="0" w:after="283"/>
              <w:jc w:val="center"/>
              <w:rPr/>
            </w:pPr>
            <w:r>
              <w:rPr/>
              <w:t> </w:t>
            </w:r>
          </w:p>
        </w:tc>
      </w:tr>
      <w:tr>
        <w:trPr/>
        <w:tc>
          <w:tcPr>
            <w:tcW w:w="22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362"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28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9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65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2261"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Percentage of revenue</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36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5"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28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FFFFFF" w:val="clear"/>
            <w:vAlign w:val="center"/>
          </w:tcPr>
          <w:p>
            <w:pPr>
              <w:pStyle w:val="TableContents"/>
              <w:bidi w:val="0"/>
              <w:spacing w:before="0" w:after="283"/>
              <w:jc w:val="left"/>
              <w:rPr/>
            </w:pPr>
            <w:r>
              <w:rPr/>
              <w:t> </w:t>
            </w:r>
          </w:p>
        </w:tc>
        <w:tc>
          <w:tcPr>
            <w:tcW w:w="6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left"/>
              <w:rPr/>
            </w:pPr>
            <w:r>
              <w:rPr/>
              <w:t> </w:t>
            </w:r>
          </w:p>
        </w:tc>
      </w:tr>
      <w:tr>
        <w:trPr/>
        <w:tc>
          <w:tcPr>
            <w:tcW w:w="22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Gross Margin</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36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5"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8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CFF0FC" w:val="clear"/>
            <w:vAlign w:val="center"/>
          </w:tcPr>
          <w:p>
            <w:pPr>
              <w:pStyle w:val="TableContents"/>
              <w:bidi w:val="0"/>
              <w:spacing w:before="0" w:after="283"/>
              <w:jc w:val="left"/>
              <w:rPr/>
            </w:pPr>
            <w:r>
              <w:rPr/>
              <w:t> </w:t>
            </w:r>
          </w:p>
        </w:tc>
        <w:tc>
          <w:tcPr>
            <w:tcW w:w="62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Cost of revenue for the three months ended March 31, 2024 decreased $46 million or 61%, compared to the same periods in 2023. These decreases were primarily due to lower marketplace and logistics related costs as a result of lower order volumes.</w:t>
      </w:r>
    </w:p>
    <w:p>
      <w:pPr>
        <w:pStyle w:val="TextBody"/>
        <w:bidi w:val="0"/>
        <w:spacing w:before="180" w:after="283"/>
        <w:jc w:val="both"/>
        <w:rPr>
          <w:rFonts w:ascii="Times New Roman" w:hAnsi="Times New Roman"/>
          <w:sz w:val="20"/>
        </w:rPr>
      </w:pPr>
      <w:r>
        <w:rPr>
          <w:rFonts w:ascii="Arial" w:hAnsi="Arial"/>
          <w:color w:val="000000"/>
          <w:sz w:val="20"/>
        </w:rPr>
        <w:t>Gross margin decreased to 17% for the three months ended March 31, 2024, from 21% for the three months ended March 31, 2023. These decreases were primarily driven by a greater percentage of overall revenue coming from lower margin logistics services and revisions to our pricing strategy.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Since the consummation of Asset Sale on April 19, 2024, we expect to no longer earn operating revenue and incur related cost associated with the prior marketplace and logistics operations. We expect to incur minimal administrative costs in the course of overseeing and curating the remaining assets.</w:t>
      </w:r>
    </w:p>
    <w:p>
      <w:pPr>
        <w:pStyle w:val="TextBody"/>
        <w:bidi w:val="0"/>
        <w:spacing w:before="180" w:after="283"/>
        <w:jc w:val="both"/>
        <w:rPr>
          <w:rFonts w:ascii="Arial" w:hAnsi="Arial"/>
          <w:b/>
          <w:i/>
          <w:color w:val="000000"/>
          <w:sz w:val="20"/>
        </w:rPr>
      </w:pPr>
      <w:r>
        <w:rPr>
          <w:rFonts w:ascii="Arial" w:hAnsi="Arial"/>
          <w:b/>
          <w:i/>
          <w:color w:val="000000"/>
          <w:sz w:val="20"/>
        </w:rPr>
        <w:t>Sales and Marketing</w:t>
      </w:r>
    </w:p>
    <w:p>
      <w:pPr>
        <w:pStyle w:val="TextBody"/>
        <w:bidi w:val="0"/>
        <w:jc w:val="both"/>
        <w:rPr/>
      </w:pPr>
      <w:r>
        <w:rPr/>
        <w:t> </w:t>
      </w:r>
    </w:p>
    <w:tbl>
      <w:tblPr>
        <w:tblW w:w="8762" w:type="dxa"/>
        <w:jc w:val="left"/>
        <w:tblInd w:w="0" w:type="dxa"/>
        <w:tblLayout w:type="fixed"/>
        <w:tblCellMar>
          <w:top w:w="28" w:type="dxa"/>
          <w:left w:w="28" w:type="dxa"/>
          <w:bottom w:w="28" w:type="dxa"/>
          <w:right w:w="28" w:type="dxa"/>
        </w:tblCellMar>
      </w:tblPr>
      <w:tblGrid>
        <w:gridCol w:w="2261"/>
        <w:gridCol w:w="426"/>
        <w:gridCol w:w="426"/>
        <w:gridCol w:w="596"/>
        <w:gridCol w:w="551"/>
        <w:gridCol w:w="426"/>
        <w:gridCol w:w="426"/>
        <w:gridCol w:w="596"/>
        <w:gridCol w:w="551"/>
        <w:gridCol w:w="426"/>
        <w:gridCol w:w="211"/>
        <w:gridCol w:w="376"/>
        <w:gridCol w:w="166"/>
        <w:gridCol w:w="146"/>
        <w:gridCol w:w="146"/>
        <w:gridCol w:w="376"/>
        <w:gridCol w:w="656"/>
      </w:tblGrid>
      <w:tr>
        <w:trPr/>
        <w:tc>
          <w:tcPr>
            <w:tcW w:w="226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26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3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March 31,</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585" w:type="dxa"/>
            <w:gridSpan w:val="1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656" w:type="dxa"/>
            <w:tcBorders/>
            <w:shd w:fill="FFFFFF" w:val="clear"/>
            <w:vAlign w:val="center"/>
          </w:tcPr>
          <w:p>
            <w:pPr>
              <w:pStyle w:val="TableContents"/>
              <w:bidi w:val="0"/>
              <w:spacing w:before="0" w:after="283"/>
              <w:jc w:val="center"/>
              <w:rPr/>
            </w:pPr>
            <w:r>
              <w:rPr/>
              <w:t> </w:t>
            </w:r>
          </w:p>
        </w:tc>
      </w:tr>
      <w:tr>
        <w:trPr/>
        <w:tc>
          <w:tcPr>
            <w:tcW w:w="22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Sales and marketing</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65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226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Percentage of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596" w:type="dxa"/>
            <w:tcBorders/>
            <w:shd w:fill="FFFFFF" w:val="clear"/>
            <w:vAlign w:val="center"/>
          </w:tcPr>
          <w:p>
            <w:pPr>
              <w:pStyle w:val="TableContents"/>
              <w:bidi w:val="0"/>
              <w:spacing w:before="0" w:after="283"/>
              <w:ind w:left="280" w:right="0" w:firstLine="280"/>
              <w:jc w:val="right"/>
              <w:rPr>
                <w:rFonts w:ascii="Arial" w:hAnsi="Arial"/>
                <w:color w:val="000000"/>
                <w:sz w:val="18"/>
              </w:rPr>
            </w:pPr>
            <w:r>
              <w:rPr>
                <w:rFonts w:ascii="Arial" w:hAnsi="Arial"/>
                <w:color w:val="000000"/>
                <w:sz w:val="18"/>
              </w:rPr>
              <w:t>42</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596" w:type="dxa"/>
            <w:tcBorders/>
            <w:shd w:fill="FFFFFF" w:val="clear"/>
            <w:vAlign w:val="center"/>
          </w:tcPr>
          <w:p>
            <w:pPr>
              <w:pStyle w:val="TableContents"/>
              <w:bidi w:val="0"/>
              <w:spacing w:before="0" w:after="283"/>
              <w:ind w:left="280" w:right="0" w:firstLine="280"/>
              <w:jc w:val="right"/>
              <w:rPr>
                <w:rFonts w:ascii="Arial" w:hAnsi="Arial"/>
                <w:color w:val="000000"/>
                <w:sz w:val="18"/>
              </w:rPr>
            </w:pPr>
            <w:r>
              <w:rPr>
                <w:rFonts w:ascii="Arial" w:hAnsi="Arial"/>
                <w:color w:val="000000"/>
                <w:sz w:val="18"/>
              </w:rPr>
              <w:t>39</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Sales and marketing expense decreased $22 million, or 59% to $15 million for the three months ended March 31, 2024, compared to $37 million for the three months ended March 31, 2023. The decrease was primarily due to a $15 million reduction in advertising expenditures, $5 million reduction of employee-related costs due to lower headcount, and a $2 million reduction in customer support service as a result of lower order volumes.</w:t>
      </w:r>
    </w:p>
    <w:p>
      <w:pPr>
        <w:pStyle w:val="TextBody"/>
        <w:bidi w:val="0"/>
        <w:spacing w:before="180" w:after="283"/>
        <w:jc w:val="both"/>
        <w:rPr>
          <w:rFonts w:ascii="Arial" w:hAnsi="Arial"/>
          <w:color w:val="000000"/>
          <w:sz w:val="20"/>
        </w:rPr>
      </w:pPr>
      <w:r>
        <w:rPr>
          <w:rFonts w:ascii="Arial" w:hAnsi="Arial"/>
          <w:color w:val="000000"/>
          <w:sz w:val="20"/>
        </w:rPr>
        <w:t>Since the consummation of Asset Sale on April 19, 2024, we expect to no longer earn operating revenue and incur related cost associated with the prior marketplace and logistics operations. We expect to incur minimal administrative costs in the course of overseeing and curating the remaining assets.</w:t>
      </w:r>
    </w:p>
    <w:p>
      <w:pPr>
        <w:pStyle w:val="TextBody"/>
        <w:bidi w:val="0"/>
        <w:spacing w:before="180" w:after="283"/>
        <w:jc w:val="both"/>
        <w:rPr>
          <w:rFonts w:ascii="Arial" w:hAnsi="Arial"/>
          <w:b/>
          <w:i/>
          <w:color w:val="000000"/>
          <w:sz w:val="20"/>
        </w:rPr>
      </w:pPr>
      <w:r>
        <w:rPr>
          <w:rFonts w:ascii="Arial" w:hAnsi="Arial"/>
          <w:b/>
          <w:i/>
          <w:color w:val="000000"/>
          <w:sz w:val="20"/>
        </w:rPr>
        <w:t>Product Development</w:t>
      </w:r>
    </w:p>
    <w:p>
      <w:pPr>
        <w:pStyle w:val="TextBody"/>
        <w:bidi w:val="0"/>
        <w:jc w:val="both"/>
        <w:rPr/>
      </w:pPr>
      <w:r>
        <w:rPr/>
        <w:t> </w:t>
      </w:r>
    </w:p>
    <w:tbl>
      <w:tblPr>
        <w:tblW w:w="6922" w:type="dxa"/>
        <w:jc w:val="left"/>
        <w:tblInd w:w="0" w:type="dxa"/>
        <w:tblLayout w:type="fixed"/>
        <w:tblCellMar>
          <w:top w:w="28" w:type="dxa"/>
          <w:left w:w="28" w:type="dxa"/>
          <w:bottom w:w="28" w:type="dxa"/>
          <w:right w:w="28" w:type="dxa"/>
        </w:tblCellMar>
      </w:tblPr>
      <w:tblGrid>
        <w:gridCol w:w="2261"/>
        <w:gridCol w:w="146"/>
        <w:gridCol w:w="284"/>
        <w:gridCol w:w="426"/>
        <w:gridCol w:w="365"/>
        <w:gridCol w:w="196"/>
        <w:gridCol w:w="284"/>
        <w:gridCol w:w="426"/>
        <w:gridCol w:w="282"/>
        <w:gridCol w:w="152"/>
        <w:gridCol w:w="219"/>
        <w:gridCol w:w="391"/>
        <w:gridCol w:w="166"/>
        <w:gridCol w:w="146"/>
        <w:gridCol w:w="146"/>
        <w:gridCol w:w="376"/>
        <w:gridCol w:w="656"/>
      </w:tblGrid>
      <w:tr>
        <w:trPr/>
        <w:tc>
          <w:tcPr>
            <w:tcW w:w="2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March 31,</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25" w:type="dxa"/>
            <w:gridSpan w:val="1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left"/>
              <w:rPr/>
            </w:pPr>
            <w:r>
              <w:rPr/>
              <w:t> </w:t>
            </w:r>
          </w:p>
        </w:tc>
      </w:tr>
      <w:tr>
        <w:trPr/>
        <w:tc>
          <w:tcPr>
            <w:tcW w:w="22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Product development</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365"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28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65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2261"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Percentage of revenue</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36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28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Product development expense decreased $29 million, or 57% to $22 million for the three months ended March 31, 2024, compared to $51 million for the three months ended March 31, 2023. The decrease was primarily due to a $26 million reduction of employee-related costs including stock-based compensation due to lower headcount, and a $3 million decrease in other product-related expenditures.</w:t>
      </w:r>
    </w:p>
    <w:p>
      <w:pPr>
        <w:pStyle w:val="TextBody"/>
        <w:bidi w:val="0"/>
        <w:spacing w:before="180" w:after="283"/>
        <w:jc w:val="both"/>
        <w:rPr>
          <w:rFonts w:ascii="Arial" w:hAnsi="Arial"/>
          <w:color w:val="000000"/>
          <w:sz w:val="20"/>
        </w:rPr>
      </w:pPr>
      <w:r>
        <w:rPr>
          <w:rFonts w:ascii="Arial" w:hAnsi="Arial"/>
          <w:color w:val="000000"/>
          <w:sz w:val="20"/>
        </w:rPr>
        <w:t>Since the consummation of Asset Sale on April 19, 2024, we expect to no longer earn operating revenue and incur related cost associated with the prior marketplace and logistics operations. We expect to incur minimal administrative costs in the course of overseeing and curating the remaining assets.</w:t>
      </w:r>
    </w:p>
    <w:p>
      <w:pPr>
        <w:pStyle w:val="TextBody"/>
        <w:bidi w:val="0"/>
        <w:spacing w:before="180" w:after="283"/>
        <w:jc w:val="both"/>
        <w:rPr/>
      </w:pPr>
      <w:r>
        <w:rPr/>
        <w:t> </w:t>
      </w:r>
    </w:p>
    <w:p>
      <w:pPr>
        <w:pStyle w:val="TextBody"/>
        <w:bidi w:val="0"/>
        <w:spacing w:before="180" w:after="283"/>
        <w:jc w:val="both"/>
        <w:rPr/>
      </w:pPr>
      <w:r>
        <w:rPr/>
        <w:t> </w:t>
      </w:r>
    </w:p>
    <w:p>
      <w:pPr>
        <w:pStyle w:val="TextBody"/>
        <w:bidi w:val="0"/>
        <w:spacing w:before="180" w:after="283"/>
        <w:jc w:val="both"/>
        <w:rPr/>
      </w:pPr>
      <w:r>
        <w:rPr/>
        <w:t> </w:t>
      </w:r>
    </w:p>
    <w:p>
      <w:pPr>
        <w:pStyle w:val="TextBody"/>
        <w:bidi w:val="0"/>
        <w:spacing w:before="180" w:after="283"/>
        <w:jc w:val="both"/>
        <w:rPr>
          <w:rFonts w:ascii="Arial" w:hAnsi="Arial"/>
          <w:b/>
          <w:i/>
          <w:color w:val="000000"/>
          <w:sz w:val="20"/>
        </w:rPr>
      </w:pPr>
      <w:r>
        <w:rPr>
          <w:rFonts w:ascii="Arial" w:hAnsi="Arial"/>
          <w:b/>
          <w:i/>
          <w:color w:val="000000"/>
          <w:sz w:val="20"/>
        </w:rPr>
        <w:t>General and Administrative</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6989" w:type="dxa"/>
        <w:jc w:val="left"/>
        <w:tblInd w:w="0" w:type="dxa"/>
        <w:tblLayout w:type="fixed"/>
        <w:tblCellMar>
          <w:top w:w="28" w:type="dxa"/>
          <w:left w:w="28" w:type="dxa"/>
          <w:bottom w:w="28" w:type="dxa"/>
          <w:right w:w="28" w:type="dxa"/>
        </w:tblCellMar>
      </w:tblPr>
      <w:tblGrid>
        <w:gridCol w:w="2326"/>
        <w:gridCol w:w="146"/>
        <w:gridCol w:w="302"/>
        <w:gridCol w:w="452"/>
        <w:gridCol w:w="388"/>
        <w:gridCol w:w="209"/>
        <w:gridCol w:w="302"/>
        <w:gridCol w:w="452"/>
        <w:gridCol w:w="300"/>
        <w:gridCol w:w="161"/>
        <w:gridCol w:w="161"/>
        <w:gridCol w:w="300"/>
        <w:gridCol w:w="166"/>
        <w:gridCol w:w="146"/>
        <w:gridCol w:w="146"/>
        <w:gridCol w:w="376"/>
        <w:gridCol w:w="65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March 31,</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12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27" w:type="dxa"/>
            <w:gridSpan w:val="1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left"/>
              <w:rPr/>
            </w:pPr>
            <w:r>
              <w:rPr/>
              <w:t> </w:t>
            </w:r>
          </w:p>
        </w:tc>
      </w:tr>
      <w:tr>
        <w:trPr/>
        <w:tc>
          <w:tcPr>
            <w:tcW w:w="23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388"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300"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65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2326"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Percentage of revenue</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38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09"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30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1" w:type="dxa"/>
            <w:tcBorders/>
            <w:shd w:fill="FFFFFF" w:val="clear"/>
            <w:vAlign w:val="center"/>
          </w:tcPr>
          <w:p>
            <w:pPr>
              <w:pStyle w:val="TableContents"/>
              <w:bidi w:val="0"/>
              <w:spacing w:before="0" w:after="283"/>
              <w:jc w:val="left"/>
              <w:rPr/>
            </w:pPr>
            <w:r>
              <w:rPr/>
              <w:t> </w:t>
            </w:r>
          </w:p>
        </w:tc>
        <w:tc>
          <w:tcPr>
            <w:tcW w:w="46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General and administrative expense decreased $3 million, or 12% to $22 million for the three months ended March 31, 2024, compared to $25 million for the three months ended March 31, 2023. The decrease was primarily due to a $9 million reduction of employee-related costs, including stock-based compensation, due to lower headcount, a $2 million reduction in legal and insurance-related costs, and a $1 million decrease in impairment of lease assets and property and equipment. This decrease was offset in part by a $5 million increase in strategic alternative cost, and a $4 million increase in other general and administrative related expenditures.</w:t>
      </w:r>
    </w:p>
    <w:p>
      <w:pPr>
        <w:pStyle w:val="TextBody"/>
        <w:bidi w:val="0"/>
        <w:spacing w:before="180" w:after="283"/>
        <w:jc w:val="both"/>
        <w:rPr>
          <w:rFonts w:ascii="Arial" w:hAnsi="Arial"/>
          <w:color w:val="000000"/>
          <w:sz w:val="20"/>
        </w:rPr>
      </w:pPr>
      <w:r>
        <w:rPr>
          <w:rFonts w:ascii="Arial" w:hAnsi="Arial"/>
          <w:color w:val="000000"/>
          <w:sz w:val="20"/>
        </w:rPr>
        <w:t>Since the consummation of Asset Sale on April 19, 2024, we expect to no longer earn operating revenue and incur related cost associated with the prior marketplace and logistics operations. We expect to incur minimal administrative costs in the course of overseeing and curating the remaining assets.</w:t>
      </w:r>
    </w:p>
    <w:p>
      <w:pPr>
        <w:pStyle w:val="TextBody"/>
        <w:bidi w:val="0"/>
        <w:spacing w:before="180" w:after="283"/>
        <w:jc w:val="both"/>
        <w:rPr>
          <w:rFonts w:ascii="Arial" w:hAnsi="Arial"/>
          <w:b/>
          <w:i/>
          <w:color w:val="000000"/>
          <w:sz w:val="20"/>
        </w:rPr>
      </w:pPr>
      <w:r>
        <w:rPr>
          <w:rFonts w:ascii="Arial" w:hAnsi="Arial"/>
          <w:b/>
          <w:i/>
          <w:color w:val="000000"/>
          <w:sz w:val="20"/>
        </w:rPr>
        <w:t>Interest and Other Income, net</w:t>
      </w:r>
    </w:p>
    <w:p>
      <w:pPr>
        <w:pStyle w:val="TextBody"/>
        <w:bidi w:val="0"/>
        <w:spacing w:before="180" w:after="283"/>
        <w:jc w:val="both"/>
        <w:rPr/>
      </w:pPr>
      <w:r>
        <w:rPr/>
        <w:t> </w:t>
      </w:r>
    </w:p>
    <w:tbl>
      <w:tblPr>
        <w:tblW w:w="6991" w:type="dxa"/>
        <w:jc w:val="left"/>
        <w:tblInd w:w="0" w:type="dxa"/>
        <w:tblLayout w:type="fixed"/>
        <w:tblCellMar>
          <w:top w:w="28" w:type="dxa"/>
          <w:left w:w="28" w:type="dxa"/>
          <w:bottom w:w="28" w:type="dxa"/>
          <w:right w:w="28" w:type="dxa"/>
        </w:tblCellMar>
      </w:tblPr>
      <w:tblGrid>
        <w:gridCol w:w="2731"/>
        <w:gridCol w:w="146"/>
        <w:gridCol w:w="348"/>
        <w:gridCol w:w="571"/>
        <w:gridCol w:w="241"/>
        <w:gridCol w:w="241"/>
        <w:gridCol w:w="348"/>
        <w:gridCol w:w="348"/>
        <w:gridCol w:w="286"/>
        <w:gridCol w:w="146"/>
        <w:gridCol w:w="211"/>
        <w:gridCol w:w="271"/>
        <w:gridCol w:w="166"/>
        <w:gridCol w:w="146"/>
        <w:gridCol w:w="7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1"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 except percentages)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and other income, net</w:t>
            </w:r>
          </w:p>
        </w:tc>
        <w:tc>
          <w:tcPr>
            <w:tcW w:w="146" w:type="dxa"/>
            <w:tcBorders/>
            <w:shd w:fill="CFF0FC" w:val="clear"/>
            <w:vAlign w:val="center"/>
          </w:tcPr>
          <w:p>
            <w:pPr>
              <w:pStyle w:val="TableContents"/>
              <w:bidi w:val="0"/>
              <w:spacing w:before="0" w:after="283"/>
              <w:jc w:val="left"/>
              <w:rPr/>
            </w:pPr>
            <w:r>
              <w:rPr/>
              <w:t> </w:t>
            </w:r>
          </w:p>
        </w:tc>
        <w:tc>
          <w:tcPr>
            <w:tcW w:w="34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41"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34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ind w:left="0" w:right="0" w:firstLine="280"/>
              <w:jc w:val="center"/>
              <w:rPr>
                <w:rFonts w:ascii="Arial" w:hAnsi="Arial"/>
                <w:color w:val="000000"/>
                <w:sz w:val="20"/>
              </w:rPr>
            </w:pPr>
            <w:r>
              <w:rPr>
                <w:rFonts w:ascii="Arial" w:hAnsi="Arial"/>
                <w:color w:val="000000"/>
                <w:sz w:val="20"/>
              </w:rPr>
              <w:t>N/M</w:t>
            </w:r>
          </w:p>
        </w:tc>
      </w:tr>
      <w:tr>
        <w:trPr/>
        <w:tc>
          <w:tcPr>
            <w:tcW w:w="273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Percentage of revenue</w:t>
            </w:r>
          </w:p>
        </w:tc>
        <w:tc>
          <w:tcPr>
            <w:tcW w:w="146"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Interest and other income, net decreased $4 million, or N/M, to zero for the three months ended March 31, 2024 as compared to $4 million for the three months ended March 31, 2023. The net decrease was attributable to a $3 million decrease in interest income and foreign exchange net losses of $1 million.</w:t>
      </w:r>
    </w:p>
    <w:p>
      <w:pPr>
        <w:pStyle w:val="TextBody"/>
        <w:bidi w:val="0"/>
        <w:spacing w:before="180" w:after="283"/>
        <w:jc w:val="both"/>
        <w:rPr>
          <w:rFonts w:ascii="Arial" w:hAnsi="Arial"/>
          <w:color w:val="000000"/>
          <w:sz w:val="20"/>
        </w:rPr>
      </w:pPr>
      <w:r>
        <w:rPr>
          <w:rFonts w:ascii="Arial" w:hAnsi="Arial"/>
          <w:color w:val="000000"/>
          <w:sz w:val="20"/>
        </w:rPr>
        <w:t>Since the consummation of Asset Sale, we expect to earn interest income on cash and marketable securities that remain post the Asset Sale.</w:t>
      </w:r>
    </w:p>
    <w:p>
      <w:pPr>
        <w:pStyle w:val="TextBody"/>
        <w:bidi w:val="0"/>
        <w:spacing w:before="180" w:after="283"/>
        <w:jc w:val="both"/>
        <w:rPr>
          <w:rFonts w:ascii="Arial" w:hAnsi="Arial"/>
          <w:b/>
          <w:i/>
          <w:color w:val="000000"/>
          <w:sz w:val="20"/>
        </w:rPr>
      </w:pPr>
      <w:r>
        <w:rPr>
          <w:rFonts w:ascii="Arial" w:hAnsi="Arial"/>
          <w:b/>
          <w:i/>
          <w:color w:val="000000"/>
          <w:sz w:val="20"/>
        </w:rPr>
        <w:t>Provision for Income Taxes</w:t>
      </w:r>
    </w:p>
    <w:p>
      <w:pPr>
        <w:pStyle w:val="TextBody"/>
        <w:bidi w:val="0"/>
        <w:jc w:val="both"/>
        <w:rPr/>
      </w:pPr>
      <w:r>
        <w:rPr/>
        <w:t> </w:t>
      </w:r>
    </w:p>
    <w:tbl>
      <w:tblPr>
        <w:tblW w:w="6493" w:type="dxa"/>
        <w:jc w:val="left"/>
        <w:tblInd w:w="0" w:type="dxa"/>
        <w:tblLayout w:type="fixed"/>
        <w:tblCellMar>
          <w:top w:w="28" w:type="dxa"/>
          <w:left w:w="28" w:type="dxa"/>
          <w:bottom w:w="28" w:type="dxa"/>
          <w:right w:w="28" w:type="dxa"/>
        </w:tblCellMar>
      </w:tblPr>
      <w:tblGrid>
        <w:gridCol w:w="2266"/>
        <w:gridCol w:w="146"/>
        <w:gridCol w:w="309"/>
        <w:gridCol w:w="464"/>
        <w:gridCol w:w="398"/>
        <w:gridCol w:w="214"/>
        <w:gridCol w:w="309"/>
        <w:gridCol w:w="508"/>
        <w:gridCol w:w="169"/>
        <w:gridCol w:w="169"/>
        <w:gridCol w:w="244"/>
        <w:gridCol w:w="244"/>
        <w:gridCol w:w="146"/>
        <w:gridCol w:w="146"/>
        <w:gridCol w:w="76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March 31,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left"/>
              <w:rPr/>
            </w:pPr>
            <w:r>
              <w:rPr/>
              <w:t> </w:t>
            </w:r>
          </w:p>
        </w:tc>
        <w:tc>
          <w:tcPr>
            <w:tcW w:w="154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left"/>
              <w:rPr/>
            </w:pPr>
            <w:r>
              <w:rPr/>
              <w:t> </w:t>
            </w:r>
          </w:p>
        </w:tc>
        <w:tc>
          <w:tcPr>
            <w:tcW w:w="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28" w:type="dxa"/>
            <w:gridSpan w:val="1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39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right"/>
              <w:rPr/>
            </w:pPr>
            <w:r>
              <w:rPr/>
              <w:t> </w:t>
            </w:r>
          </w:p>
        </w:tc>
        <w:tc>
          <w:tcPr>
            <w:tcW w:w="30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08" w:type="dxa"/>
            <w:tcBorders/>
            <w:shd w:fill="CFF0FC" w:val="clear"/>
            <w:vAlign w:val="center"/>
          </w:tcPr>
          <w:p>
            <w:pPr>
              <w:pStyle w:val="TableContents"/>
              <w:bidi w:val="0"/>
              <w:spacing w:before="0" w:after="283"/>
              <w:jc w:val="right"/>
              <w:rPr>
                <w:color w:val="000000"/>
              </w:rPr>
            </w:pPr>
            <w:r>
              <w:rPr>
                <w:color w:val="000000"/>
              </w:rPr>
              <w:t>—</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ind w:left="0" w:right="0" w:firstLine="280"/>
              <w:jc w:val="center"/>
              <w:rPr>
                <w:rFonts w:ascii="Arial" w:hAnsi="Arial"/>
                <w:color w:val="000000"/>
                <w:sz w:val="18"/>
              </w:rPr>
            </w:pPr>
            <w:r>
              <w:rPr>
                <w:rFonts w:ascii="Arial" w:hAnsi="Arial"/>
                <w:color w:val="000000"/>
                <w:sz w:val="18"/>
              </w:rPr>
              <w:t>N/M</w:t>
            </w:r>
          </w:p>
        </w:tc>
      </w:tr>
      <w:tr>
        <w:trPr/>
        <w:tc>
          <w:tcPr>
            <w:tcW w:w="2266"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Percentage of revenue</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39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4" w:type="dxa"/>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Provision for income taxes for the three months ended March 31, 2024 increased by $6 million, as compared to the three months ended March 31, 2023. The change in provision for income taxes was primarily due to withholding taxes accrued on certain intercompany dividends.</w:t>
      </w:r>
    </w:p>
    <w:p>
      <w:pPr>
        <w:pStyle w:val="TextBody"/>
        <w:bidi w:val="0"/>
        <w:spacing w:before="180" w:after="283"/>
        <w:jc w:val="both"/>
        <w:rPr>
          <w:rFonts w:ascii="Arial" w:hAnsi="Arial"/>
          <w:color w:val="000000"/>
          <w:sz w:val="20"/>
        </w:rPr>
      </w:pPr>
      <w:r>
        <w:rPr>
          <w:rFonts w:ascii="Arial" w:hAnsi="Arial"/>
          <w:color w:val="000000"/>
          <w:sz w:val="20"/>
        </w:rPr>
        <w:t>Since the consummation of Asset Sale on April 19, 2024, we expect to no longer earn operating revenue and incur related cost associated with the prior marketplace and logistics operations. We expect to incur minimal administrative costs in the course of overseeing and curating the remaining assets.</w:t>
      </w:r>
    </w:p>
    <w:p>
      <w:pPr>
        <w:pStyle w:val="TextBody"/>
        <w:bidi w:val="0"/>
        <w:spacing w:before="180" w:after="283"/>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March 31, 2024, we had cash, cash equivalents and marketable securities of $305 million, a majority of which were held in cash deposits and money market funds and were held for working capital purposes. On April 19, 2024, immediately after the closing of the Asset Sale, we had $161 million of cash, cash equivalents and marketable securities. We believe that our existing cash, cash equivalents and marketable securities will be sufficient to meet our anticipated cash needs for at least the next 12 months.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material cash requirements outside our normal operating costs include $83 million in accounts and merchants payable, $41 million remaining on a colocation and cloud services purchase commitment, and $12 million of facility lease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obligations, of which $7 million is due within the next 12 months. At the closing of the Asset Sale, the Buyer assumed substantially all of our liabilities.</w:t>
      </w:r>
    </w:p>
    <w:p>
      <w:pPr>
        <w:pStyle w:val="TextBody"/>
        <w:bidi w:val="0"/>
        <w:spacing w:before="180" w:after="283"/>
        <w:jc w:val="both"/>
        <w:rPr>
          <w:rFonts w:ascii="Arial" w:hAnsi="Arial"/>
          <w:color w:val="000000"/>
          <w:sz w:val="20"/>
        </w:rPr>
      </w:pPr>
      <w:r>
        <w:rPr>
          <w:rFonts w:ascii="Arial" w:hAnsi="Arial"/>
          <w:color w:val="000000"/>
          <w:sz w:val="20"/>
        </w:rPr>
        <w:t>While we maintain our cash and short-term investments with a diverse group of large national financial institutions , there can be no assurance that any of our other deposits in excess of the Federal Deposit Insurance Corporation or other comparable insurance limits will be backstopped by the U.S. or that any bank or financial institution with which we do business will be able to obtain needed liquidity from other banks, government institutions or by acquisition in the event of a failure or liquidity crisis.</w:t>
      </w:r>
    </w:p>
    <w:p>
      <w:pPr>
        <w:pStyle w:val="TextBody"/>
        <w:bidi w:val="0"/>
        <w:spacing w:before="180" w:after="283"/>
        <w:jc w:val="both"/>
        <w:rPr>
          <w:rFonts w:ascii="Arial" w:hAnsi="Arial"/>
          <w:b/>
          <w:i/>
          <w:color w:val="000000"/>
          <w:sz w:val="20"/>
        </w:rPr>
      </w:pPr>
      <w:r>
        <w:rPr>
          <w:rFonts w:ascii="Arial" w:hAnsi="Arial"/>
          <w:b/>
          <w:i/>
          <w:color w:val="000000"/>
          <w:sz w:val="20"/>
        </w:rPr>
        <w:t>Sources of Liquidity</w:t>
      </w:r>
    </w:p>
    <w:p>
      <w:pPr>
        <w:pStyle w:val="TextBody"/>
        <w:bidi w:val="0"/>
        <w:spacing w:before="180" w:after="283"/>
        <w:jc w:val="both"/>
        <w:rPr>
          <w:rFonts w:ascii="Times New Roman" w:hAnsi="Times New Roman"/>
          <w:sz w:val="20"/>
        </w:rPr>
      </w:pPr>
      <w:r>
        <w:rPr>
          <w:rFonts w:ascii="Arial" w:hAnsi="Arial"/>
          <w:color w:val="000000"/>
          <w:sz w:val="20"/>
        </w:rPr>
        <w:t>In December 2020, we completed our IPO of common stock and received net proceeds of approximately $1.1 billion after deducting underwriting discounts and commissions of approximately $52 million, but before deducting offering costs, net of reimbursements, of approximately $6 million. As of March 31, 2024, we did not have any outstanding borrowings.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As a result of Asset Sale, we had approximately $161 million in cash, cash equivalents and marketable securities (consisting of government securities). As required by the Asset Purchase Agreement, the Buyer assumed substantially all the liabilities of the Company.</w:t>
      </w:r>
    </w:p>
    <w:p>
      <w:pPr>
        <w:pStyle w:val="TextBody"/>
        <w:bidi w:val="0"/>
        <w:spacing w:before="180" w:after="283"/>
        <w:jc w:val="both"/>
        <w:rPr>
          <w:rFonts w:ascii="Times New Roman" w:hAnsi="Times New Roman"/>
          <w:sz w:val="20"/>
        </w:rPr>
      </w:pPr>
      <w:r>
        <w:rPr>
          <w:rFonts w:ascii="Arial" w:hAnsi="Arial"/>
          <w:color w:val="000000"/>
          <w:sz w:val="20"/>
        </w:rPr>
        <w:t>Since the consummation of Asset Sale, we expect to: (i) earn interest income on cash and marketable securities that we continue to hold post the Asset Sale; (ii) have no other sources of revenue and related costs; and (iii) incur minimal administrative costs in the course of overseeing and curating the remaining assets.</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November 2020 Credit Facility</w:t>
      </w:r>
    </w:p>
    <w:p>
      <w:pPr>
        <w:pStyle w:val="TextBody"/>
        <w:bidi w:val="0"/>
        <w:spacing w:before="180" w:after="283"/>
        <w:jc w:val="both"/>
        <w:rPr>
          <w:rFonts w:ascii="Times New Roman" w:hAnsi="Times New Roman"/>
          <w:sz w:val="20"/>
        </w:rPr>
      </w:pPr>
      <w:r>
        <w:rPr>
          <w:rFonts w:ascii="Arial" w:hAnsi="Arial"/>
          <w:color w:val="000000"/>
          <w:sz w:val="20"/>
        </w:rPr>
        <w:t>In November 2020, we entered into the Revolving Credit Facility which enabled us to borrow up to $280 million. At the closing of the Asset Sale on April 19, 2024, we terminated the Revolving Credit Facility. Refer to Note 7 to our condensed consolidated financial statements in Item 1 of Part I, "Financial Information" for additional details related to the Revolving Credit Facility. The Revolving Credit Facility contained an accordion option which, if exercised and provided we were able to secure additional lender commitments and satisfy certain other conditions, would have allowed us to increase the aggregate commitments by up to $100 million. As of March 31, 2024, we had not made any borrowings under the Revolving Credit Facility.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On April 19, 2024, in connection with the closing of the Asset Sale, we terminated the Revolving Credit Agreement.</w:t>
      </w:r>
    </w:p>
    <w:p>
      <w:pPr>
        <w:pStyle w:val="TextBody"/>
        <w:bidi w:val="0"/>
        <w:spacing w:before="180" w:after="283"/>
        <w:jc w:val="both"/>
        <w:rPr>
          <w:rFonts w:ascii="Arial" w:hAnsi="Arial"/>
          <w:b/>
          <w:i/>
          <w:color w:val="000000"/>
          <w:sz w:val="20"/>
        </w:rPr>
      </w:pPr>
      <w:r>
        <w:rPr>
          <w:rFonts w:ascii="Arial" w:hAnsi="Arial"/>
          <w:b/>
          <w:i/>
          <w:color w:val="000000"/>
          <w:sz w:val="20"/>
        </w:rPr>
        <w:t>Cash Flows</w:t>
      </w:r>
    </w:p>
    <w:p>
      <w:pPr>
        <w:pStyle w:val="TextBody"/>
        <w:bidi w:val="0"/>
        <w:jc w:val="both"/>
        <w:rPr/>
      </w:pPr>
      <w:r>
        <w:rPr/>
        <w:t> </w:t>
      </w:r>
    </w:p>
    <w:tbl>
      <w:tblPr>
        <w:tblW w:w="5484" w:type="dxa"/>
        <w:jc w:val="left"/>
        <w:tblInd w:w="0" w:type="dxa"/>
        <w:tblLayout w:type="fixed"/>
        <w:tblCellMar>
          <w:top w:w="28" w:type="dxa"/>
          <w:left w:w="28" w:type="dxa"/>
          <w:bottom w:w="28" w:type="dxa"/>
          <w:right w:w="28" w:type="dxa"/>
        </w:tblCellMar>
      </w:tblPr>
      <w:tblGrid>
        <w:gridCol w:w="1961"/>
        <w:gridCol w:w="426"/>
        <w:gridCol w:w="491"/>
        <w:gridCol w:w="656"/>
        <w:gridCol w:w="446"/>
        <w:gridCol w:w="426"/>
        <w:gridCol w:w="211"/>
        <w:gridCol w:w="376"/>
        <w:gridCol w:w="491"/>
      </w:tblGrid>
      <w:tr>
        <w:trPr/>
        <w:tc>
          <w:tcPr>
            <w:tcW w:w="196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6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6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60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491" w:type="dxa"/>
            <w:tcBorders/>
            <w:shd w:fill="FFFFFF" w:val="clear"/>
            <w:vAlign w:val="center"/>
          </w:tcPr>
          <w:p>
            <w:pPr>
              <w:pStyle w:val="TableContents"/>
              <w:bidi w:val="0"/>
              <w:spacing w:before="0" w:after="283"/>
              <w:jc w:val="center"/>
              <w:rPr/>
            </w:pPr>
            <w:r>
              <w:rPr/>
              <w:t> </w:t>
            </w:r>
          </w:p>
        </w:tc>
      </w:tr>
      <w:tr>
        <w:trPr/>
        <w:tc>
          <w:tcPr>
            <w:tcW w:w="19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used in:</w:t>
            </w:r>
          </w:p>
        </w:tc>
        <w:tc>
          <w:tcPr>
            <w:tcW w:w="426"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196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Operating activities</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656" w:type="dxa"/>
            <w:tcBorders/>
            <w:shd w:fill="FFFFFF" w:val="clear"/>
            <w:vAlign w:val="center"/>
          </w:tcPr>
          <w:p>
            <w:pPr>
              <w:pStyle w:val="TableContents"/>
              <w:bidi w:val="0"/>
              <w:spacing w:before="0" w:after="283"/>
              <w:ind w:left="280" w:right="0" w:firstLine="280"/>
              <w:jc w:val="right"/>
              <w:rPr>
                <w:rFonts w:ascii="Arial" w:hAnsi="Arial"/>
                <w:color w:val="000000"/>
                <w:sz w:val="18"/>
              </w:rPr>
            </w:pPr>
            <w:r>
              <w:rPr>
                <w:rFonts w:ascii="Arial" w:hAnsi="Arial"/>
                <w:color w:val="000000"/>
                <w:sz w:val="18"/>
              </w:rPr>
              <w:t>(75</w:t>
            </w:r>
          </w:p>
        </w:tc>
        <w:tc>
          <w:tcPr>
            <w:tcW w:w="44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96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Investing activities</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491" w:type="dxa"/>
            <w:tcBorders/>
            <w:shd w:fill="CFF0FC" w:val="clear"/>
            <w:vAlign w:val="center"/>
          </w:tcPr>
          <w:p>
            <w:pPr>
              <w:pStyle w:val="TableContents"/>
              <w:bidi w:val="0"/>
              <w:spacing w:before="0" w:after="283"/>
              <w:ind w:left="0" w:right="0" w:firstLine="280"/>
              <w:jc w:val="left"/>
              <w:rPr/>
            </w:pPr>
            <w:r>
              <w:rPr/>
              <w:t> </w:t>
            </w:r>
          </w:p>
        </w:tc>
        <w:tc>
          <w:tcPr>
            <w:tcW w:w="656" w:type="dxa"/>
            <w:tcBorders/>
            <w:shd w:fill="CFF0FC" w:val="clear"/>
            <w:vAlign w:val="center"/>
          </w:tcPr>
          <w:p>
            <w:pPr>
              <w:pStyle w:val="TableContents"/>
              <w:bidi w:val="0"/>
              <w:spacing w:before="0" w:after="283"/>
              <w:ind w:left="280" w:right="0" w:firstLine="280"/>
              <w:jc w:val="right"/>
              <w:rPr>
                <w:rFonts w:ascii="Arial" w:hAnsi="Arial"/>
                <w:color w:val="000000"/>
                <w:sz w:val="18"/>
              </w:rPr>
            </w:pPr>
            <w:r>
              <w:rPr>
                <w:rFonts w:ascii="Arial" w:hAnsi="Arial"/>
                <w:color w:val="000000"/>
                <w:sz w:val="18"/>
              </w:rPr>
              <w:t>90</w:t>
            </w:r>
          </w:p>
        </w:tc>
        <w:tc>
          <w:tcPr>
            <w:tcW w:w="44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96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Financing activities</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491" w:type="dxa"/>
            <w:tcBorders/>
            <w:shd w:fill="FFFFFF" w:val="clear"/>
            <w:vAlign w:val="center"/>
          </w:tcPr>
          <w:p>
            <w:pPr>
              <w:pStyle w:val="TableContents"/>
              <w:bidi w:val="0"/>
              <w:spacing w:before="0" w:after="283"/>
              <w:ind w:left="0" w:right="0" w:firstLine="280"/>
              <w:jc w:val="left"/>
              <w:rPr/>
            </w:pPr>
            <w:r>
              <w:rPr/>
              <w:t> </w:t>
            </w:r>
          </w:p>
        </w:tc>
        <w:tc>
          <w:tcPr>
            <w:tcW w:w="656" w:type="dxa"/>
            <w:tcBorders/>
            <w:shd w:fill="FFFFFF" w:val="clear"/>
            <w:vAlign w:val="center"/>
          </w:tcPr>
          <w:p>
            <w:pPr>
              <w:pStyle w:val="TableContents"/>
              <w:bidi w:val="0"/>
              <w:spacing w:before="0" w:after="283"/>
              <w:ind w:left="280" w:right="0" w:firstLine="280"/>
              <w:jc w:val="right"/>
              <w:rPr>
                <w:rFonts w:ascii="Arial" w:hAnsi="Arial"/>
                <w:color w:val="000000"/>
                <w:sz w:val="18"/>
              </w:rPr>
            </w:pPr>
            <w:r>
              <w:rPr>
                <w:rFonts w:ascii="Arial" w:hAnsi="Arial"/>
                <w:color w:val="000000"/>
                <w:sz w:val="18"/>
              </w:rPr>
              <w:t>(1</w:t>
            </w:r>
          </w:p>
        </w:tc>
        <w:tc>
          <w:tcPr>
            <w:tcW w:w="44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4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80" w:after="283"/>
        <w:jc w:val="both"/>
        <w:rPr>
          <w:rFonts w:ascii="Times New Roman" w:hAnsi="Times New Roman"/>
          <w:sz w:val="20"/>
        </w:rPr>
      </w:pPr>
      <w:r>
        <w:rPr>
          <w:rFonts w:ascii="Arial" w:hAnsi="Arial"/>
          <w:b/>
          <w:i/>
          <w:color w:val="000000"/>
          <w:sz w:val="20"/>
        </w:rPr>
        <w:t>Net Cash Used in Operating Activities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Net cash used in our operating activities for the three months ended March 31, 2024 was $75 million. This was driven by our net loss of $59 million and $26 million unfavorable changes in our operating assets and liabilities, which was partially offset by non-cash expenses of $10 million. Unfavorable working capital movement was mainly driven by reductions in accounts payable, merchants payable and accrued and refund liabilities. Accounts payable, merchants payable, and accrued and refund liabilities decreased by $32 million primarily due to lower order volumes and reduced digital advertising expenditures.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cash used in our operating activities for the three months ended March 31, 2023 was $92 million. This was primarily driven by our net loss of $89 million and $27 million unfavorable changes in our operating assets and liabilities, which was partially offset by non-cash expenses of $24 million. Unfavorable working capital movement was mainly driven by reductions in accounts payable, merchants payable and accrued and refund liabilities. Accounts payable, merchants payable and accrued and refund liabilities decreased by $38 million primarily due to lower order volumes and reduced digital advertising expenditures.</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i/>
          <w:color w:val="000000"/>
          <w:sz w:val="20"/>
        </w:rPr>
        <w:t>Net Cash Provided by (Used in) Investing Activities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primary investing activities have consisted of investing excess cash balances in marketable securities.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cash provided by investing activities was $90 million for the three months ended March 31, 2024, primarily due to maturities in marketable securities.</w:t>
      </w:r>
    </w:p>
    <w:p>
      <w:pPr>
        <w:pStyle w:val="TextBody"/>
        <w:bidi w:val="0"/>
        <w:spacing w:before="180" w:after="283"/>
        <w:jc w:val="both"/>
        <w:rPr>
          <w:rFonts w:ascii="Times New Roman" w:hAnsi="Times New Roman"/>
          <w:sz w:val="20"/>
        </w:rPr>
      </w:pPr>
      <w:r>
        <w:rPr>
          <w:rFonts w:ascii="Arial" w:hAnsi="Arial"/>
          <w:color w:val="000000"/>
          <w:sz w:val="20"/>
        </w:rPr>
        <w:t>Net cash used in investing activities was $40 million for the three months ended March 31, 2023. This was primarily due to $125 million in purchases of marketable securities, partially offset by $85 million of maturities in marketable securities.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Net Cash Used in Financing Activities</w:t>
      </w:r>
      <w:r>
        <w:rPr>
          <w:rFonts w:ascii="Times New Roman" w:hAnsi="Times New Roman"/>
          <w:color w:val="000000"/>
          <w:sz w:val="20"/>
        </w:rPr>
        <w:t xml:space="preserve"> </w:t>
      </w:r>
    </w:p>
    <w:p>
      <w:pPr>
        <w:pStyle w:val="TextBody"/>
        <w:bidi w:val="0"/>
        <w:spacing w:before="90" w:after="283"/>
        <w:jc w:val="both"/>
        <w:rPr>
          <w:rFonts w:ascii="Arial" w:hAnsi="Arial"/>
          <w:color w:val="000000"/>
          <w:sz w:val="20"/>
        </w:rPr>
      </w:pPr>
      <w:r>
        <w:rPr>
          <w:rFonts w:ascii="Arial" w:hAnsi="Arial"/>
          <w:color w:val="000000"/>
          <w:sz w:val="20"/>
        </w:rPr>
        <w:t>Net cash used in our financing activities was $1 million for the three months ended March 31, 2024, primarily due to tax payments related to employee RSU settlement.</w:t>
      </w:r>
    </w:p>
    <w:p>
      <w:pPr>
        <w:pStyle w:val="TextBody"/>
        <w:bidi w:val="0"/>
        <w:spacing w:before="90" w:after="283"/>
        <w:jc w:val="both"/>
        <w:rPr>
          <w:rFonts w:ascii="Times New Roman" w:hAnsi="Times New Roman"/>
          <w:sz w:val="20"/>
        </w:rPr>
      </w:pPr>
      <w:r>
        <w:rPr>
          <w:rFonts w:ascii="Arial" w:hAnsi="Arial"/>
          <w:color w:val="000000"/>
          <w:sz w:val="20"/>
        </w:rPr>
        <w:t>Net cash used in our financing activities was $3 million for the three months ended March 31, 2023 primarily due to tax payments related to RSU settlement.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rPr>
        <w:t>Off Balance Sheet Arrangements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For the three months ended March 31, 2024 and 2023,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rPr>
      </w:pPr>
      <w:r>
        <w:rPr>
          <w:rFonts w:ascii="Arial" w:hAnsi="Arial"/>
          <w:b/>
          <w:color w:val="000000"/>
          <w:sz w:val="20"/>
        </w:rPr>
        <w:t>Critical Accounting Policies</w:t>
      </w:r>
    </w:p>
    <w:p>
      <w:pPr>
        <w:pStyle w:val="TextBody"/>
        <w:bidi w:val="0"/>
        <w:spacing w:before="180" w:after="283"/>
        <w:jc w:val="both"/>
        <w:rPr>
          <w:rFonts w:ascii="Arial" w:hAnsi="Arial"/>
          <w:color w:val="000000"/>
          <w:sz w:val="20"/>
        </w:rPr>
      </w:pPr>
      <w:r>
        <w:rPr>
          <w:rFonts w:ascii="Arial" w:hAnsi="Arial"/>
          <w:color w:val="000000"/>
          <w:sz w:val="20"/>
        </w:rPr>
        <w:t>There have been no material changes to our critical accounting policies and estimates as compared to those described in our 2023 Form 10-K, filed with the SEC on March 5, 2024.</w:t>
      </w:r>
    </w:p>
    <w:p>
      <w:pPr>
        <w:pStyle w:val="TextBody"/>
        <w:bidi w:val="0"/>
        <w:spacing w:before="180" w:after="283"/>
        <w:jc w:val="both"/>
        <w:rPr>
          <w:rFonts w:ascii="Arial" w:hAnsi="Arial"/>
          <w:b/>
          <w:color w:val="000000"/>
          <w:sz w:val="20"/>
        </w:rPr>
      </w:pPr>
      <w:r>
        <w:rPr>
          <w:rFonts w:ascii="Arial" w:hAnsi="Arial"/>
          <w:b/>
          <w:color w:val="000000"/>
          <w:sz w:val="20"/>
        </w:rPr>
        <w:t>Recent Accounting Pronouncements</w:t>
      </w:r>
    </w:p>
    <w:p>
      <w:pPr>
        <w:pStyle w:val="TextBody"/>
        <w:bidi w:val="0"/>
        <w:spacing w:before="180" w:after="283"/>
        <w:jc w:val="both"/>
        <w:rPr>
          <w:rFonts w:ascii="Arial" w:hAnsi="Arial"/>
          <w:color w:val="000000"/>
          <w:sz w:val="20"/>
        </w:rPr>
      </w:pPr>
      <w:r>
        <w:rPr>
          <w:rFonts w:ascii="Arial" w:hAnsi="Arial"/>
          <w:color w:val="000000"/>
          <w:sz w:val="20"/>
        </w:rPr>
        <w:t>See Note 1 of Part I, Item 1 of this Quarterly Report on Form 10-Q for a full description of recent accounting pronouncements.</w:t>
      </w:r>
    </w:p>
    <w:p>
      <w:pPr>
        <w:pStyle w:val="TextBody"/>
        <w:bidi w:val="0"/>
        <w:spacing w:before="180" w:after="283"/>
        <w:jc w:val="both"/>
        <w:rPr/>
      </w:pPr>
      <w:r>
        <w:rPr/>
        <w:t> </w:t>
      </w:r>
    </w:p>
    <w:p>
      <w:pPr>
        <w:pStyle w:val="TextBody"/>
        <w:bidi w:val="0"/>
        <w:jc w:val="both"/>
        <w:rPr>
          <w:rFonts w:ascii="Arial" w:hAnsi="Arial"/>
          <w:b/>
          <w:color w:val="000000"/>
          <w:sz w:val="20"/>
        </w:rPr>
      </w:pPr>
      <w:r>
        <w:rPr>
          <w:rFonts w:ascii="Arial" w:hAnsi="Arial"/>
          <w:b/>
          <w:color w:val="000000"/>
          <w:sz w:val="20"/>
        </w:rPr>
        <w:t>Item 3. Quantitative and Qualitative Disclosures About Market Risk</w:t>
      </w:r>
    </w:p>
    <w:p>
      <w:pPr>
        <w:pStyle w:val="TextBody"/>
        <w:bidi w:val="0"/>
        <w:spacing w:before="180" w:after="283"/>
        <w:jc w:val="both"/>
        <w:rPr>
          <w:rFonts w:ascii="Arial" w:hAnsi="Arial"/>
          <w:color w:val="000000"/>
          <w:sz w:val="20"/>
        </w:rPr>
      </w:pPr>
      <w:r>
        <w:rPr>
          <w:rFonts w:ascii="Arial" w:hAnsi="Arial"/>
          <w:color w:val="000000"/>
          <w:sz w:val="20"/>
        </w:rPr>
        <w:t>As a “smaller reporting company,” as defined by Item 10 of Regulation S-K, we are not required to provide this information.</w:t>
      </w:r>
    </w:p>
    <w:p>
      <w:pPr>
        <w:pStyle w:val="TextBody"/>
        <w:bidi w:val="0"/>
        <w:spacing w:before="180" w:after="283"/>
        <w:jc w:val="both"/>
        <w:rPr/>
      </w:pPr>
      <w:bookmarkStart w:id="12" w:name="item_3_quantitative_qualitative_disclosu"/>
      <w:bookmarkEnd w:id="12"/>
      <w:r>
        <w:rPr/>
        <w:t>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bookmarkStart w:id="13" w:name="item_4_controls_procedures"/>
      <w:bookmarkEnd w:id="13"/>
      <w:r>
        <w:rPr>
          <w:rFonts w:ascii="Arial" w:hAnsi="Arial"/>
          <w:b/>
          <w:color w:val="000000"/>
          <w:sz w:val="20"/>
        </w:rPr>
        <w:t>Item 4. Controls</w:t>
      </w:r>
      <w:r>
        <w:rPr>
          <w:rFonts w:ascii="Times New Roman" w:hAnsi="Times New Roman"/>
          <w:color w:val="000000"/>
          <w:sz w:val="20"/>
        </w:rPr>
        <w:t xml:space="preserve"> </w:t>
      </w:r>
      <w:r>
        <w:rPr>
          <w:rFonts w:ascii="Arial" w:hAnsi="Arial"/>
          <w:b/>
          <w:color w:val="000000"/>
          <w:sz w:val="20"/>
        </w:rPr>
        <w:t>and Procedures.</w:t>
      </w:r>
    </w:p>
    <w:p>
      <w:pPr>
        <w:pStyle w:val="TextBody"/>
        <w:bidi w:val="0"/>
        <w:spacing w:before="18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180" w:after="283"/>
        <w:jc w:val="both"/>
        <w:rPr>
          <w:rFonts w:ascii="Arial" w:hAnsi="Arial"/>
          <w:color w:val="000000"/>
          <w:sz w:val="20"/>
        </w:rPr>
      </w:pPr>
      <w:r>
        <w:rPr>
          <w:rFonts w:ascii="Arial" w:hAnsi="Arial"/>
          <w:color w:val="000000"/>
          <w:sz w:val="20"/>
        </w:rPr>
        <w:t>Our disclosure controls and procedures (as defined in Rules 13a-15(e) or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Securities and Exchange Commission (“SEC”) and to ensure that information required to be disclosed is accumulated and communicated to management, including our principal executive and financial officers, to allow timely decisions regarding required disclosure.</w:t>
      </w:r>
    </w:p>
    <w:p>
      <w:pPr>
        <w:pStyle w:val="TextBody"/>
        <w:bidi w:val="0"/>
        <w:spacing w:before="180" w:after="283"/>
        <w:jc w:val="both"/>
        <w:rPr>
          <w:rFonts w:ascii="Arial" w:hAnsi="Arial"/>
          <w:color w:val="000000"/>
          <w:sz w:val="20"/>
        </w:rPr>
      </w:pPr>
      <w:r>
        <w:rPr>
          <w:rFonts w:ascii="Arial" w:hAnsi="Arial"/>
          <w:color w:val="000000"/>
          <w:sz w:val="20"/>
        </w:rPr>
        <w:t>Our Chief Executive Officer (“CEO”) and Chief Financial Officer (“CFO”), with assistance from other members of management, have evaluated the effectiveness of our disclosure controls and procedures as of March 31, 2024, and based on their evaluation, have concluded that our disclosure controls and procedures were not effective as of such date due to material weaknesses in internal control over financial reporting, described below.</w:t>
      </w:r>
    </w:p>
    <w:p>
      <w:pPr>
        <w:pStyle w:val="TextBody"/>
        <w:bidi w:val="0"/>
        <w:spacing w:before="180" w:after="283"/>
        <w:jc w:val="both"/>
        <w:rPr>
          <w:rFonts w:ascii="Times New Roman" w:hAnsi="Times New Roman"/>
          <w:sz w:val="20"/>
        </w:rPr>
      </w:pPr>
      <w:r>
        <w:rPr>
          <w:rFonts w:ascii="Arial" w:hAnsi="Arial"/>
          <w:b/>
          <w:i/>
          <w:color w:val="000000"/>
          <w:sz w:val="20"/>
        </w:rPr>
        <w:t>Previously Reported Material Weaknesses in Internal Control over Financial Reporting</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As disclosed in Item 9A, “Controls and Procedures” within our 2023 Form 10-K, which was filed with the SEC on March 5, 2024, the following material weaknesses were identified and remain outstanding as of March 31, 2024:</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Company did not design and maintain an effective control environment commensurate with its financial reporting requirements. Specifically, the Company did not (i) provide sufficient management oversight and ownership over the internal control evaluation process or (ii) hire and train sufficient competent personnel to support the Company’s internal control objectives. This material weakness contributed to the following additional material weakness: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Company did not design and maintain effective controls over information technology general controls (“ITGCs”) for information systems and applications that are relevant to the preparation of the consolidated financial statements. Specifically, the Company did not design and maintain: (i) sufficient user access controls to ensure appropriate segregation of duties and adequately restrict user and privileged access to financial applications, programs and data to appropriate Company personnel; (ii) program change management controls to ensure that information technology program and data changes affecting financial information technology applications and underlying accounting records are identified, tested, authorized and implemented appropriately; and (iii) computer operations controls to ensure that critical batch and interface jobs are monitored, privileges are appropriately granted, and data backups are authorized and monitored.</w:t>
      </w:r>
    </w:p>
    <w:p>
      <w:pPr>
        <w:pStyle w:val="TextBody"/>
        <w:bidi w:val="0"/>
        <w:spacing w:before="180" w:after="283"/>
        <w:jc w:val="both"/>
        <w:rPr>
          <w:rFonts w:ascii="Arial" w:hAnsi="Arial"/>
          <w:color w:val="000000"/>
          <w:sz w:val="20"/>
        </w:rPr>
      </w:pPr>
      <w:r>
        <w:rPr>
          <w:rFonts w:ascii="Arial" w:hAnsi="Arial"/>
          <w:color w:val="000000"/>
          <w:sz w:val="20"/>
        </w:rPr>
        <w:t>None of the material weaknesses described above resulted in a material misstatement to our annual or interim consolidated financial statements. However, the material weaknesses described above could result in a misstatement of one or more account balances or disclosures that would result in a material misstatement to the annual or interim consolidated financial statements that would not be prevented or detected.</w:t>
      </w:r>
    </w:p>
    <w:p>
      <w:pPr>
        <w:pStyle w:val="TextBody"/>
        <w:bidi w:val="0"/>
        <w:spacing w:before="180" w:after="283"/>
        <w:jc w:val="both"/>
        <w:rPr>
          <w:rFonts w:ascii="Arial" w:hAnsi="Arial"/>
          <w:color w:val="000000"/>
          <w:sz w:val="20"/>
        </w:rPr>
      </w:pPr>
      <w:r>
        <w:rPr>
          <w:rFonts w:ascii="Arial" w:hAnsi="Arial"/>
          <w:color w:val="000000"/>
          <w:sz w:val="20"/>
        </w:rPr>
        <w:t>After giving full consideration to these material weaknesses, and the additional analyses and other procedures we performed to ensure that our condensed consolidated financial statements included in this Quarterly Report on Form 10-Q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pStyle w:val="TextBody"/>
        <w:bidi w:val="0"/>
        <w:spacing w:before="180" w:after="283"/>
        <w:jc w:val="both"/>
        <w:rPr>
          <w:rFonts w:ascii="Arial" w:hAnsi="Arial"/>
          <w:b/>
          <w:i/>
          <w:color w:val="000000"/>
          <w:sz w:val="20"/>
        </w:rPr>
      </w:pPr>
      <w:r>
        <w:rPr>
          <w:rFonts w:ascii="Arial" w:hAnsi="Arial"/>
          <w:b/>
          <w:i/>
          <w:color w:val="000000"/>
          <w:sz w:val="20"/>
        </w:rPr>
        <w:t>Management’s Plan to Remediate the Material Weaknesses</w:t>
      </w:r>
    </w:p>
    <w:p>
      <w:pPr>
        <w:pStyle w:val="TextBody"/>
        <w:bidi w:val="0"/>
        <w:spacing w:before="180" w:after="283"/>
        <w:jc w:val="both"/>
        <w:rPr>
          <w:rFonts w:ascii="Times New Roman" w:hAnsi="Times New Roman"/>
          <w:sz w:val="20"/>
        </w:rPr>
      </w:pPr>
      <w:r>
        <w:rPr>
          <w:rFonts w:ascii="Arial" w:hAnsi="Arial"/>
          <w:color w:val="000000"/>
          <w:sz w:val="20"/>
        </w:rPr>
        <w:t>Our remediation efforts are ongoing. As noted in Note 13 – Subsequent Events in Item 1, Part 1 of this 10-Q, the Company entered into an Asset Purchase Agreement with Qoo10 Delaware to sell substantially all of its assets, other than (A) the Company’s federal income tax net operating loss (NOLs) carryforwards and certain other tax attributes, (B) the Company’s marketable securities held in a specified wealth management account and (C) the Company’s cash and cash equivalents held in that wealth management account. The Company has been reassessing its remediation efforts since the closing of this transaction on April 19, 2024.</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remediation measures we have taken to date include:</w:t>
      </w:r>
    </w:p>
    <w:p>
      <w:pPr>
        <w:pStyle w:val="TextBody"/>
        <w:bidi w:val="0"/>
        <w:spacing w:before="120" w:after="283"/>
        <w:jc w:val="both"/>
        <w:rPr>
          <w:rFonts w:ascii="Arial" w:hAnsi="Arial"/>
          <w:color w:val="000000"/>
          <w:sz w:val="20"/>
        </w:rPr>
      </w:pPr>
      <w:r>
        <w:rPr>
          <w:rFonts w:ascii="Arial" w:hAnsi="Arial"/>
          <w:color w:val="000000"/>
          <w:sz w:val="20"/>
        </w:rPr>
        <w:t>i.</w:t>
      </w:r>
    </w:p>
    <w:p>
      <w:pPr>
        <w:pStyle w:val="TextBody"/>
        <w:bidi w:val="0"/>
        <w:spacing w:before="120" w:after="283"/>
        <w:jc w:val="both"/>
        <w:rPr>
          <w:rFonts w:ascii="Arial" w:hAnsi="Arial"/>
          <w:color w:val="000000"/>
          <w:sz w:val="20"/>
        </w:rPr>
      </w:pPr>
      <w:r>
        <w:rPr>
          <w:rFonts w:ascii="Arial" w:hAnsi="Arial"/>
          <w:color w:val="000000"/>
          <w:sz w:val="20"/>
        </w:rPr>
        <w:t xml:space="preserve">hiring and continuing to hire additional qualified accounting, financial reporting, tax and information technology personnel as well as increasing third-party consultants with public company and internal control over financial reporting experience including a new Chief Executive Officer with a deep understanding of ecommerce and cross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border business, a technical project manager to assist with communicating, documenting, and assisting with the remediation of deficiencies, and additional resources to test internal controls;</w:t>
      </w:r>
    </w:p>
    <w:p>
      <w:pPr>
        <w:pStyle w:val="TextBody"/>
        <w:bidi w:val="0"/>
        <w:spacing w:before="120" w:after="283"/>
        <w:jc w:val="both"/>
        <w:rPr>
          <w:rFonts w:ascii="Arial" w:hAnsi="Arial"/>
          <w:color w:val="000000"/>
          <w:sz w:val="20"/>
        </w:rPr>
      </w:pPr>
      <w:r>
        <w:rPr>
          <w:rFonts w:ascii="Arial" w:hAnsi="Arial"/>
          <w:color w:val="000000"/>
          <w:sz w:val="20"/>
        </w:rPr>
        <w:t>ii.</w:t>
      </w:r>
    </w:p>
    <w:p>
      <w:pPr>
        <w:pStyle w:val="TextBody"/>
        <w:bidi w:val="0"/>
        <w:spacing w:before="120" w:after="283"/>
        <w:jc w:val="both"/>
        <w:rPr>
          <w:rFonts w:ascii="Arial" w:hAnsi="Arial"/>
          <w:color w:val="000000"/>
          <w:sz w:val="20"/>
        </w:rPr>
      </w:pPr>
      <w:r>
        <w:rPr>
          <w:rFonts w:ascii="Arial" w:hAnsi="Arial"/>
          <w:color w:val="000000"/>
          <w:sz w:val="20"/>
        </w:rPr>
        <w:t>providing additional training for our personnel including the appropriate level of documentation to be maintained to support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iii.</w:t>
      </w:r>
    </w:p>
    <w:p>
      <w:pPr>
        <w:pStyle w:val="TextBody"/>
        <w:bidi w:val="0"/>
        <w:spacing w:before="120" w:after="283"/>
        <w:jc w:val="both"/>
        <w:rPr>
          <w:rFonts w:ascii="Arial" w:hAnsi="Arial"/>
          <w:color w:val="000000"/>
          <w:sz w:val="20"/>
        </w:rPr>
      </w:pPr>
      <w:r>
        <w:rPr>
          <w:rFonts w:ascii="Arial" w:hAnsi="Arial"/>
          <w:color w:val="000000"/>
          <w:sz w:val="20"/>
        </w:rPr>
        <w:t>holding periodic SOX Steering Committee meetings which are comprised of all the top Executives of the Company and whose purpose is to provide oversight of the Company’s SOX program on behalf of the CEO, CFO and management responsible for SOX Compliance, including monitoring progress of the identified deficiencies and their remediation efforts;</w:t>
      </w:r>
    </w:p>
    <w:p>
      <w:pPr>
        <w:pStyle w:val="TextBody"/>
        <w:bidi w:val="0"/>
        <w:spacing w:before="120" w:after="283"/>
        <w:jc w:val="both"/>
        <w:rPr>
          <w:rFonts w:ascii="Arial" w:hAnsi="Arial"/>
          <w:color w:val="000000"/>
          <w:sz w:val="20"/>
        </w:rPr>
      </w:pPr>
      <w:r>
        <w:rPr>
          <w:rFonts w:ascii="Arial" w:hAnsi="Arial"/>
          <w:color w:val="000000"/>
          <w:sz w:val="20"/>
        </w:rPr>
        <w:t>iv.</w:t>
      </w:r>
    </w:p>
    <w:p>
      <w:pPr>
        <w:pStyle w:val="TextBody"/>
        <w:bidi w:val="0"/>
        <w:spacing w:before="120" w:after="283"/>
        <w:jc w:val="both"/>
        <w:rPr>
          <w:rFonts w:ascii="Arial" w:hAnsi="Arial"/>
          <w:color w:val="000000"/>
          <w:sz w:val="20"/>
        </w:rPr>
      </w:pPr>
      <w:r>
        <w:rPr>
          <w:rFonts w:ascii="Arial" w:hAnsi="Arial"/>
          <w:color w:val="000000"/>
          <w:sz w:val="20"/>
        </w:rPr>
        <w:t>designing and implementing controls to formalize roles and review responsibilities to align with the staff’s skills and experience and to ensure proper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v.</w:t>
      </w:r>
    </w:p>
    <w:p>
      <w:pPr>
        <w:pStyle w:val="TextBody"/>
        <w:bidi w:val="0"/>
        <w:spacing w:before="120" w:after="283"/>
        <w:jc w:val="both"/>
        <w:rPr>
          <w:rFonts w:ascii="Arial" w:hAnsi="Arial"/>
          <w:color w:val="000000"/>
          <w:sz w:val="20"/>
        </w:rPr>
      </w:pPr>
      <w:r>
        <w:rPr>
          <w:rFonts w:ascii="Arial" w:hAnsi="Arial"/>
          <w:color w:val="000000"/>
          <w:sz w:val="20"/>
        </w:rPr>
        <w:t>continuing to enhance processes to monitor critical batch and interface jobs;</w:t>
      </w:r>
    </w:p>
    <w:p>
      <w:pPr>
        <w:pStyle w:val="TextBody"/>
        <w:bidi w:val="0"/>
        <w:spacing w:before="120" w:after="283"/>
        <w:jc w:val="both"/>
        <w:rPr>
          <w:rFonts w:ascii="Arial" w:hAnsi="Arial"/>
          <w:color w:val="000000"/>
          <w:sz w:val="20"/>
        </w:rPr>
      </w:pPr>
      <w:r>
        <w:rPr>
          <w:rFonts w:ascii="Arial" w:hAnsi="Arial"/>
          <w:color w:val="000000"/>
          <w:sz w:val="20"/>
        </w:rPr>
        <w:t>vi.</w:t>
      </w:r>
    </w:p>
    <w:p>
      <w:pPr>
        <w:pStyle w:val="TextBody"/>
        <w:bidi w:val="0"/>
        <w:spacing w:before="120" w:after="283"/>
        <w:jc w:val="both"/>
        <w:rPr>
          <w:rFonts w:ascii="Arial" w:hAnsi="Arial"/>
          <w:color w:val="000000"/>
          <w:sz w:val="20"/>
        </w:rPr>
      </w:pPr>
      <w:r>
        <w:rPr>
          <w:rFonts w:ascii="Arial" w:hAnsi="Arial"/>
          <w:color w:val="000000"/>
          <w:sz w:val="20"/>
        </w:rPr>
        <w:t>holding periodic meetings with the Audit Committee to communicate deficiencies, discuss the overall remediation plan, and discuss progress made against the approved plan;</w:t>
      </w:r>
    </w:p>
    <w:p>
      <w:pPr>
        <w:pStyle w:val="TextBody"/>
        <w:bidi w:val="0"/>
        <w:spacing w:before="120" w:after="283"/>
        <w:jc w:val="both"/>
        <w:rPr>
          <w:rFonts w:ascii="Arial" w:hAnsi="Arial"/>
          <w:color w:val="000000"/>
          <w:sz w:val="20"/>
        </w:rPr>
      </w:pPr>
      <w:r>
        <w:rPr>
          <w:rFonts w:ascii="Arial" w:hAnsi="Arial"/>
          <w:color w:val="000000"/>
          <w:sz w:val="20"/>
        </w:rPr>
        <w:t>vii.</w:t>
      </w:r>
    </w:p>
    <w:p>
      <w:pPr>
        <w:pStyle w:val="TextBody"/>
        <w:bidi w:val="0"/>
        <w:spacing w:before="120" w:after="283"/>
        <w:jc w:val="both"/>
        <w:rPr>
          <w:rFonts w:ascii="Arial" w:hAnsi="Arial"/>
          <w:color w:val="000000"/>
          <w:sz w:val="20"/>
        </w:rPr>
      </w:pPr>
      <w:r>
        <w:rPr>
          <w:rFonts w:ascii="Arial" w:hAnsi="Arial"/>
          <w:color w:val="000000"/>
          <w:sz w:val="20"/>
        </w:rPr>
        <w:t>enhancing our IT governance processes, including automating components of our change management and logical access processes, enhancing role-based access and logging capabilities, implementing automated controls, enhancing testing and approval controls for program development, and implementing more robust IT policies and procedures over change management and computer operations;</w:t>
      </w:r>
    </w:p>
    <w:p>
      <w:pPr>
        <w:pStyle w:val="TextBody"/>
        <w:bidi w:val="0"/>
        <w:spacing w:before="120" w:after="283"/>
        <w:jc w:val="both"/>
        <w:rPr>
          <w:rFonts w:ascii="Arial" w:hAnsi="Arial"/>
          <w:color w:val="000000"/>
          <w:sz w:val="20"/>
        </w:rPr>
      </w:pPr>
      <w:r>
        <w:rPr>
          <w:rFonts w:ascii="Arial" w:hAnsi="Arial"/>
          <w:color w:val="000000"/>
          <w:sz w:val="20"/>
        </w:rPr>
        <w:t>viii.</w:t>
      </w:r>
    </w:p>
    <w:p>
      <w:pPr>
        <w:pStyle w:val="TextBody"/>
        <w:bidi w:val="0"/>
        <w:spacing w:before="120" w:after="283"/>
        <w:jc w:val="both"/>
        <w:rPr>
          <w:rFonts w:ascii="Arial" w:hAnsi="Arial"/>
          <w:color w:val="000000"/>
          <w:sz w:val="20"/>
        </w:rPr>
      </w:pPr>
      <w:r>
        <w:rPr>
          <w:rFonts w:ascii="Arial" w:hAnsi="Arial"/>
          <w:color w:val="000000"/>
          <w:sz w:val="20"/>
        </w:rPr>
        <w:t xml:space="preserve">continuing to enhance and standardize user access reviews and monitoring controls to improve segregation of duties, and more comprehensively review user and privileged access to financial applications, programs and data to appropriate Company personnel; </w:t>
      </w:r>
    </w:p>
    <w:p>
      <w:pPr>
        <w:pStyle w:val="TextBody"/>
        <w:bidi w:val="0"/>
        <w:spacing w:before="120" w:after="283"/>
        <w:jc w:val="both"/>
        <w:rPr>
          <w:rFonts w:ascii="Arial" w:hAnsi="Arial"/>
          <w:color w:val="000000"/>
          <w:sz w:val="20"/>
        </w:rPr>
      </w:pPr>
      <w:r>
        <w:rPr>
          <w:rFonts w:ascii="Arial" w:hAnsi="Arial"/>
          <w:color w:val="000000"/>
          <w:sz w:val="20"/>
        </w:rPr>
        <w:t>ix.</w:t>
      </w:r>
    </w:p>
    <w:p>
      <w:pPr>
        <w:pStyle w:val="TextBody"/>
        <w:bidi w:val="0"/>
        <w:spacing w:before="120" w:after="283"/>
        <w:jc w:val="both"/>
        <w:rPr>
          <w:rFonts w:ascii="Arial" w:hAnsi="Arial"/>
          <w:color w:val="000000"/>
          <w:sz w:val="20"/>
        </w:rPr>
      </w:pPr>
      <w:r>
        <w:rPr>
          <w:rFonts w:ascii="Arial" w:hAnsi="Arial"/>
          <w:color w:val="000000"/>
          <w:sz w:val="20"/>
        </w:rPr>
        <w:t>continuing to enhance the design of computer operations controls related to the monitoring of critical batch and interface jobs;</w:t>
      </w:r>
    </w:p>
    <w:p>
      <w:pPr>
        <w:pStyle w:val="TextBody"/>
        <w:bidi w:val="0"/>
        <w:spacing w:before="120" w:after="283"/>
        <w:jc w:val="both"/>
        <w:rPr>
          <w:rFonts w:ascii="Arial" w:hAnsi="Arial"/>
          <w:color w:val="000000"/>
          <w:sz w:val="20"/>
        </w:rPr>
      </w:pPr>
      <w:r>
        <w:rPr>
          <w:rFonts w:ascii="Arial" w:hAnsi="Arial"/>
          <w:color w:val="000000"/>
          <w:sz w:val="20"/>
        </w:rPr>
        <w:t>x.</w:t>
      </w:r>
    </w:p>
    <w:p>
      <w:pPr>
        <w:pStyle w:val="TextBody"/>
        <w:bidi w:val="0"/>
        <w:spacing w:before="120" w:after="283"/>
        <w:jc w:val="both"/>
        <w:rPr>
          <w:rFonts w:ascii="Arial" w:hAnsi="Arial"/>
          <w:color w:val="000000"/>
          <w:sz w:val="20"/>
        </w:rPr>
      </w:pPr>
      <w:r>
        <w:rPr>
          <w:rFonts w:ascii="Arial" w:hAnsi="Arial"/>
          <w:color w:val="000000"/>
          <w:sz w:val="20"/>
        </w:rPr>
        <w:t>performed a comprehensive reassessment of financial reporting risks relevant to our consolidated financial statements, including identification of financially relevant systems and business processes at the financial statement assertion level, to facilitate the design and implementation or enhancement of existing controls to address the identified risks; and</w:t>
      </w:r>
    </w:p>
    <w:p>
      <w:pPr>
        <w:pStyle w:val="TextBody"/>
        <w:bidi w:val="0"/>
        <w:spacing w:before="120" w:after="283"/>
        <w:jc w:val="both"/>
        <w:rPr>
          <w:rFonts w:ascii="Arial" w:hAnsi="Arial"/>
          <w:color w:val="000000"/>
          <w:sz w:val="20"/>
        </w:rPr>
      </w:pPr>
      <w:r>
        <w:rPr>
          <w:rFonts w:ascii="Arial" w:hAnsi="Arial"/>
          <w:color w:val="000000"/>
          <w:sz w:val="20"/>
        </w:rPr>
        <w:t>xi.</w:t>
      </w:r>
    </w:p>
    <w:p>
      <w:pPr>
        <w:pStyle w:val="TextBody"/>
        <w:bidi w:val="0"/>
        <w:spacing w:before="120" w:after="283"/>
        <w:jc w:val="both"/>
        <w:rPr>
          <w:rFonts w:ascii="Arial" w:hAnsi="Arial"/>
          <w:color w:val="000000"/>
          <w:sz w:val="20"/>
        </w:rPr>
      </w:pPr>
      <w:r>
        <w:rPr>
          <w:rFonts w:ascii="Arial" w:hAnsi="Arial"/>
          <w:color w:val="000000"/>
          <w:sz w:val="20"/>
        </w:rPr>
        <w:t>enhanced the oversight and review of non-recurring transactions to include consistent communication between functional areas, support consistent documentation of conclusions reached, and retention of evidence supporting the operation of control activities.</w:t>
      </w:r>
    </w:p>
    <w:p>
      <w:pPr>
        <w:pStyle w:val="TextBody"/>
        <w:bidi w:val="0"/>
        <w:spacing w:before="180" w:after="283"/>
        <w:jc w:val="both"/>
        <w:rPr>
          <w:rFonts w:ascii="Arial" w:hAnsi="Arial"/>
          <w:color w:val="000000"/>
          <w:sz w:val="20"/>
        </w:rPr>
      </w:pPr>
      <w:r>
        <w:rPr>
          <w:rFonts w:ascii="Arial" w:hAnsi="Arial"/>
          <w:color w:val="000000"/>
          <w:sz w:val="20"/>
        </w:rPr>
        <w:t>We are committed to continuing to implement a strong system of controls and believe that our ongoing remediation efforts will result in significant improvements to our internal control over financial reporting and will remediate the material weaknesses. However, material weaknesses are not considered remediated until the new controls have been operational for a sufficient period of time, are tested, and management concludes that these controls are operating effectively. This remediation process will require resources and time to implement, and remediation efforts will be reassessed given the Company's new direction. We will continue to monitor the effectiveness of these remediation measures, and we will make any changes to the design of this plan and take such other actions that we deem appropriate given the circumstances.</w:t>
      </w:r>
    </w:p>
    <w:p>
      <w:pPr>
        <w:pStyle w:val="TextBody"/>
        <w:bidi w:val="0"/>
        <w:spacing w:before="180" w:after="283"/>
        <w:jc w:val="both"/>
        <w:rPr>
          <w:rFonts w:ascii="Arial" w:hAnsi="Arial"/>
          <w:b/>
          <w:i/>
          <w:color w:val="000000"/>
          <w:sz w:val="20"/>
        </w:rPr>
      </w:pPr>
      <w:r>
        <w:rPr>
          <w:rFonts w:ascii="Arial" w:hAnsi="Arial"/>
          <w:b/>
          <w:i/>
          <w:color w:val="000000"/>
          <w:sz w:val="20"/>
        </w:rPr>
        <w:t>Changes in Internal Control Over Financial Reporting</w:t>
      </w:r>
    </w:p>
    <w:p>
      <w:pPr>
        <w:pStyle w:val="TextBody"/>
        <w:bidi w:val="0"/>
        <w:spacing w:before="180" w:after="283"/>
        <w:jc w:val="both"/>
        <w:rPr>
          <w:rFonts w:ascii="Arial" w:hAnsi="Arial"/>
          <w:color w:val="000000"/>
          <w:sz w:val="20"/>
        </w:rPr>
      </w:pPr>
      <w:r>
        <w:rPr>
          <w:rFonts w:ascii="Arial" w:hAnsi="Arial"/>
          <w:color w:val="000000"/>
          <w:sz w:val="20"/>
        </w:rPr>
        <w:t>There were no material changes in our internal control over financial reporting during the quarter ended March 31, 2024 that have materially affected, or are reasonably likely to materially affect, our internal control over financial reporting.</w:t>
      </w:r>
    </w:p>
    <w:p>
      <w:pPr>
        <w:pStyle w:val="TextBody"/>
        <w:bidi w:val="0"/>
        <w:spacing w:before="180" w:after="283"/>
        <w:jc w:val="both"/>
        <w:rPr>
          <w:rFonts w:ascii="Arial" w:hAnsi="Arial"/>
          <w:b/>
          <w:i/>
          <w:color w:val="000000"/>
          <w:sz w:val="20"/>
        </w:rPr>
      </w:pPr>
      <w:r>
        <w:rPr>
          <w:rFonts w:ascii="Arial" w:hAnsi="Arial"/>
          <w:b/>
          <w:i/>
          <w:color w:val="000000"/>
          <w:sz w:val="20"/>
        </w:rPr>
        <w:t>Inherent Limitations on the Effectiveness of Disclosure Controls and Procedures</w:t>
      </w:r>
    </w:p>
    <w:p>
      <w:pPr>
        <w:pStyle w:val="TextBody"/>
        <w:bidi w:val="0"/>
        <w:spacing w:before="180" w:after="283"/>
        <w:jc w:val="both"/>
        <w:rPr>
          <w:rFonts w:ascii="Times New Roman" w:hAnsi="Times New Roman"/>
          <w:sz w:val="20"/>
        </w:rPr>
      </w:pPr>
      <w:r>
        <w:rPr>
          <w:rFonts w:ascii="Arial" w:hAnsi="Arial"/>
          <w:color w:val="000000"/>
          <w:sz w:val="20"/>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bookmarkStart w:id="14" w:name="part_iior_information"/>
      <w:bookmarkEnd w:id="14"/>
      <w:r>
        <w:rPr>
          <w:rFonts w:ascii="Arial" w:hAnsi="Arial"/>
          <w:b/>
          <w:color w:val="000000"/>
          <w:sz w:val="20"/>
        </w:rPr>
        <w:t>PART II—OTHER INFORMATION</w:t>
      </w:r>
    </w:p>
    <w:p>
      <w:pPr>
        <w:pStyle w:val="TextBody"/>
        <w:bidi w:val="0"/>
        <w:spacing w:before="180" w:after="283"/>
        <w:jc w:val="left"/>
        <w:rPr>
          <w:rFonts w:ascii="Arial" w:hAnsi="Arial"/>
          <w:b/>
          <w:color w:val="000000"/>
          <w:sz w:val="20"/>
        </w:rPr>
      </w:pPr>
      <w:bookmarkStart w:id="15" w:name="item_1_legal_proceedings"/>
      <w:bookmarkEnd w:id="15"/>
      <w:r>
        <w:rPr>
          <w:rFonts w:ascii="Arial" w:hAnsi="Arial"/>
          <w:b/>
          <w:color w:val="000000"/>
          <w:sz w:val="20"/>
        </w:rPr>
        <w:t>Item 1. Legal Proceedings.</w:t>
      </w:r>
    </w:p>
    <w:p>
      <w:pPr>
        <w:pStyle w:val="TextBody"/>
        <w:bidi w:val="0"/>
        <w:spacing w:before="120" w:after="283"/>
        <w:jc w:val="both"/>
        <w:rPr>
          <w:rFonts w:ascii="Times New Roman" w:hAnsi="Times New Roman"/>
          <w:sz w:val="20"/>
        </w:rPr>
      </w:pPr>
      <w:r>
        <w:rPr>
          <w:rFonts w:ascii="Arial" w:hAnsi="Arial"/>
          <w:color w:val="000000"/>
          <w:sz w:val="20"/>
        </w:rPr>
        <w:t>The information set forth under Note 7, Commitments and Contingencies, in Notes to Unaudited Condensed Consolidated Financial Statements included in Part I, Item 1, of this Quarterly Report on Form 10-Q, is incorporated herein by reference.</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bookmarkStart w:id="16" w:name="item_1a_risk_factors"/>
      <w:bookmarkEnd w:id="16"/>
      <w:r>
        <w:rPr>
          <w:rFonts w:ascii="Arial" w:hAnsi="Arial"/>
          <w:b/>
          <w:color w:val="000000"/>
          <w:sz w:val="20"/>
        </w:rPr>
        <w:t>Item 1A. Risk Factors.</w:t>
      </w:r>
    </w:p>
    <w:p>
      <w:pPr>
        <w:pStyle w:val="TextBody"/>
        <w:bidi w:val="0"/>
        <w:spacing w:before="180" w:after="283"/>
        <w:jc w:val="both"/>
        <w:rPr>
          <w:rFonts w:ascii="Arial" w:hAnsi="Arial"/>
          <w:color w:val="000000"/>
          <w:sz w:val="20"/>
        </w:rPr>
      </w:pPr>
      <w:r>
        <w:rPr>
          <w:rFonts w:ascii="Arial" w:hAnsi="Arial"/>
          <w:color w:val="000000"/>
          <w:sz w:val="20"/>
        </w:rPr>
        <w:t>Investing in our common stock involves a high degree of risk. You should carefully consider the risks and uncertainties set forth below, together with all of the other information contained in this Quarterly Report on Form 10-Q, including our condensed consolidated financial statements and related notes, before making a decision to invest in our common stock.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common stock could decline. These risk factors do not identify all risks that we face – our operations could also be affected by factors that are not presently known to us or that we currently consider to be immaterial to our operations. Due to risks and uncertainties, known and unknown, as well as the completion of the Asset Sale on April 19, 2024, our past financial results will not be a reliable indicator of future performance and historical trends should not be unduly used to anticipate results or trends in future periods.</w:t>
      </w:r>
    </w:p>
    <w:p>
      <w:pPr>
        <w:pStyle w:val="TextBody"/>
        <w:bidi w:val="0"/>
        <w:spacing w:before="180" w:after="283"/>
        <w:jc w:val="both"/>
        <w:rPr>
          <w:rFonts w:ascii="Arial" w:hAnsi="Arial"/>
          <w:b/>
          <w:color w:val="000000"/>
          <w:sz w:val="20"/>
          <w:u w:val="single"/>
        </w:rPr>
      </w:pPr>
      <w:r>
        <w:rPr>
          <w:rFonts w:ascii="Arial" w:hAnsi="Arial"/>
          <w:b/>
          <w:color w:val="000000"/>
          <w:sz w:val="20"/>
          <w:u w:val="single"/>
        </w:rPr>
        <w:t>Risks Related to Our Business</w:t>
      </w:r>
    </w:p>
    <w:p>
      <w:pPr>
        <w:pStyle w:val="TextBody"/>
        <w:bidi w:val="0"/>
        <w:spacing w:before="180" w:after="283"/>
        <w:jc w:val="both"/>
        <w:rPr>
          <w:rFonts w:ascii="Arial" w:hAnsi="Arial"/>
          <w:b/>
          <w:i/>
          <w:color w:val="000000"/>
          <w:sz w:val="20"/>
        </w:rPr>
      </w:pPr>
      <w:r>
        <w:rPr>
          <w:rFonts w:ascii="Arial" w:hAnsi="Arial"/>
          <w:b/>
          <w:i/>
          <w:color w:val="000000"/>
          <w:sz w:val="20"/>
        </w:rPr>
        <w:t>Since the Asset Sale, we have had no material operations and no material sources of operating revenue, which may negatively impact the value and liquidity of our common stock.</w:t>
      </w:r>
    </w:p>
    <w:p>
      <w:pPr>
        <w:pStyle w:val="TextBody"/>
        <w:bidi w:val="0"/>
        <w:spacing w:before="180" w:after="283"/>
        <w:jc w:val="both"/>
        <w:rPr>
          <w:rFonts w:ascii="Arial" w:hAnsi="Arial"/>
          <w:color w:val="000000"/>
          <w:sz w:val="20"/>
        </w:rPr>
      </w:pPr>
      <w:r>
        <w:rPr>
          <w:rFonts w:ascii="Arial" w:hAnsi="Arial"/>
          <w:color w:val="000000"/>
          <w:sz w:val="20"/>
        </w:rPr>
        <w:t>Since the closing of the Asset Sale, we have had the NOLs and the Post-Closing Cash, and our shares of common stock are still publicly traded. However, until we deploy the Post-Closing Cash and/or otherwise utilize our NOLs, we will have no material sources of operating revenue. Although the alternatives under evaluation by our Board of Directors for the use of the Post-Closing Cash include funding, at least in part, the acquisition of assets that will potentially allow us to utilize our NOLs and certain other tax attributes, there can be no guarantee that suitable assets will be available for us to purchase or that any assets acquired will generate the revenues anticipated or any revenue at all. If we are not able to acquire suitable assets, the value of our remaining tax attributes will be limited and may be worthless. A failure by us to secure additional sources of revenue could negatively impact the value and liquidity of our common stock. In addition, for the foreseeable future, we will continue to incur certain expenses of operating as a public company.</w:t>
      </w:r>
    </w:p>
    <w:p>
      <w:pPr>
        <w:pStyle w:val="TextBody"/>
        <w:bidi w:val="0"/>
        <w:spacing w:before="180" w:after="283"/>
        <w:jc w:val="both"/>
        <w:rPr>
          <w:rFonts w:ascii="Arial" w:hAnsi="Arial"/>
          <w:b/>
          <w:i/>
          <w:color w:val="000000"/>
          <w:sz w:val="20"/>
        </w:rPr>
      </w:pPr>
      <w:r>
        <w:rPr>
          <w:rFonts w:ascii="Arial" w:hAnsi="Arial"/>
          <w:b/>
          <w:i/>
          <w:color w:val="000000"/>
          <w:sz w:val="20"/>
        </w:rPr>
        <w:t>We have a history of losses, and we may not achieve or maintain profitability in the future.</w:t>
      </w:r>
    </w:p>
    <w:p>
      <w:pPr>
        <w:pStyle w:val="TextBody"/>
        <w:bidi w:val="0"/>
        <w:spacing w:before="180" w:after="283"/>
        <w:jc w:val="both"/>
        <w:rPr>
          <w:rFonts w:ascii="Times New Roman" w:hAnsi="Times New Roman"/>
          <w:sz w:val="20"/>
        </w:rPr>
      </w:pPr>
      <w:r>
        <w:rPr>
          <w:rFonts w:ascii="Arial" w:hAnsi="Arial"/>
          <w:color w:val="000000"/>
          <w:sz w:val="20"/>
        </w:rPr>
        <w:t>Since our inception in 2010, we have incurred net losses each year. We incurred a net loss of $59 million for the three months ended March 31, 2024. As of March 31, 2024, we had an accumulated deficit of approximately $3.3 billion. We may not achieve or maintain profitability in the future.</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Our stockholders have not received and may never receive any of the proceeds of the Asset Sale.</w:t>
      </w:r>
    </w:p>
    <w:p>
      <w:pPr>
        <w:pStyle w:val="TextBody"/>
        <w:bidi w:val="0"/>
        <w:spacing w:before="180" w:after="283"/>
        <w:jc w:val="both"/>
        <w:rPr>
          <w:rFonts w:ascii="Arial" w:hAnsi="Arial"/>
          <w:color w:val="000000"/>
          <w:sz w:val="20"/>
        </w:rPr>
      </w:pPr>
      <w:r>
        <w:rPr>
          <w:rFonts w:ascii="Arial" w:hAnsi="Arial"/>
          <w:color w:val="000000"/>
          <w:sz w:val="20"/>
        </w:rPr>
        <w:t>We, and not our stockholders, received the proceeds from the Asset Sale. We have exited the operation of the e-commerce business and our other historical operations. However, we currently do not intend to liquidate. We have begun to review strategic opportunities for the use of our Post-Closing Cash. We will develop a process and procedures for evaluating alternatives for the use of our Post-Closing Cash, and reviewing, identifying and executing strategic opportunities for the benefit of ContextLogic and its stockholders.</w:t>
      </w:r>
    </w:p>
    <w:p>
      <w:pPr>
        <w:pStyle w:val="TextBody"/>
        <w:bidi w:val="0"/>
        <w:spacing w:before="180" w:after="283"/>
        <w:jc w:val="both"/>
        <w:rPr>
          <w:rFonts w:ascii="Times New Roman" w:hAnsi="Times New Roman"/>
          <w:sz w:val="20"/>
        </w:rPr>
      </w:pPr>
      <w:r>
        <w:rPr>
          <w:rFonts w:ascii="Arial" w:hAnsi="Arial"/>
          <w:color w:val="000000"/>
          <w:sz w:val="20"/>
        </w:rPr>
        <w:t>If we seek to pursue an acquisition of assets, there can be no guarantee that suitable assets will be available for us to purchase or that any assets acquired will generate the revenues anticipated or any revenue at all. Our Board of Directors will continue to conduct a careful process, and there is no set timeframe for completing the exploration of alternatives. If we are not able to acquire suitable assets, the value of our remaining tax attributes will be limited and may be worthless.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Operating as a public company requires us to incur substantial costs and requires substantial management attention. In addition, our management team has limited experience managing a public company and the requirements of being a public company may strain our resources, divert management’s attention and affect our ability to attract and retain additional executive management and qualified board members.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Since the Asset Sale was consummated, we have continued, and will continue, to be required to comply with the applicable reporting requirements of the Exchange Act, and such compliance with such reporting requirements is economically burdensome and requires our management’s time and attention.</w:t>
      </w:r>
    </w:p>
    <w:p>
      <w:pPr>
        <w:pStyle w:val="TextBody"/>
        <w:bidi w:val="0"/>
        <w:spacing w:before="180" w:after="283"/>
        <w:jc w:val="both"/>
        <w:rPr>
          <w:rFonts w:ascii="Times New Roman" w:hAnsi="Times New Roman"/>
          <w:sz w:val="20"/>
        </w:rPr>
      </w:pPr>
      <w:r>
        <w:rPr>
          <w:rFonts w:ascii="Arial" w:hAnsi="Arial"/>
          <w:color w:val="000000"/>
          <w:sz w:val="20"/>
        </w:rPr>
        <w:t>As a public company, we incur substantial legal, accounting, and other expenses that we did not incur as a private company. For example, we are subject to the reporting requirements of the Exchange Act, the applicable requirements of the Sarbanes-Oxley Act of 2002 (the “Sarbanes-Oxley Act”), the Dodd-Frank Wall Street Reform and Consumer Protection Act and the rules and regulations of the SEC. As part of the new requirements, we need to establish and maintain effective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disclosure and financial controls and we have made changes to our corporate governance practices. We expect that compliance with these requirements will increase our legal and financial compliance costs and will make some activities more time-consuming or costly and increase demand on our systems and resources.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Many members of our management and other key personnel have little experience managing a public company and preparing public filings. In addition, as a public company, our management and other key personnel must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We will need to continue to hire additional accounting and financial staff with appropriate public company experience and technical accounting knowledge.</w:t>
      </w:r>
    </w:p>
    <w:p>
      <w:pPr>
        <w:pStyle w:val="TextBody"/>
        <w:bidi w:val="0"/>
        <w:spacing w:before="180" w:after="283"/>
        <w:jc w:val="both"/>
        <w:rPr>
          <w:rFonts w:ascii="Times New Roman" w:hAnsi="Times New Roman"/>
          <w:sz w:val="20"/>
        </w:rPr>
      </w:pPr>
      <w:r>
        <w:rPr>
          <w:rFonts w:ascii="Arial" w:hAnsi="Arial"/>
          <w:color w:val="000000"/>
          <w:sz w:val="20"/>
        </w:rPr>
        <w:t>As a result of disclosure of information in this report and in filings required of a public company, our business and financial condition will become more visible, which may result in threatened or actual litigation, including by stockholders and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addition, as a result of our disclosure obligations as a public company, we have reduced flexibility and are under pressure to focus on short-term results, which may adversely affect our ability to achieve long-term profitability.</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We may not be able to utilize a significant portion of our net operating loss carryforwards, and other tax attributes, which could adversely affect the value of our common stock.</w:t>
      </w:r>
    </w:p>
    <w:p>
      <w:pPr>
        <w:pStyle w:val="TextBody"/>
        <w:bidi w:val="0"/>
        <w:spacing w:before="180" w:after="283"/>
        <w:jc w:val="both"/>
        <w:rPr>
          <w:rFonts w:ascii="Arial" w:hAnsi="Arial"/>
          <w:color w:val="000000"/>
          <w:sz w:val="20"/>
        </w:rPr>
      </w:pPr>
      <w:r>
        <w:rPr>
          <w:rFonts w:ascii="Arial" w:hAnsi="Arial"/>
          <w:color w:val="000000"/>
          <w:sz w:val="20"/>
        </w:rPr>
        <w:t>As of December 31, 2023, we had federal NOLs available to reduce future taxable income, if any, of $886 million that begin to expire in 2030 and continue to expire through 2037 and $1.9 billion that have an unlimited carryover period. As of December 31, 2023, we had state NOLs available to reduce future taxable income, if any, of $7.0 billion that begin to expire in 2026 and continue to expire through 2043 and $2.0 billion that have an unlimited carryover period. Under legislation enacted in 2017, informally titled the Tax Cuts and Jobs Act (the “Tax Act”), as modified by the Coronavirus Aid, Relief, and Economic Security Act (the “CARES Act”), unused U.S. federal NOLs generated in tax years beginning after December 31, 2017, will not expire and may be carried forward indefinitely, but the deductibility of such federal NOLs in tax years beginning after December 31, 2021, is limited to 80% of taxable income. It is uncertain if and to what extent various states will conform to the Tax Act or the CARES Act. In addition, the utilization of NOLs and other tax attributes to offset future taxable income or taxes may be subject to limitations under Sections 382 and 383 of the Internal Revenue Code of 1986, as amended (the “Code”), and similar state statutes as a result of ownership changes that have occurred or could occur in the future. While we believe that our NOLs are currently not subject to limitation under these rules and have entered into a Tax Benefits Preservation Plan designed to preserve and protect our NOLs, there is no guarantee that we have not undergone an ownership change in the past or that such plan will prevent us from experiencing an ownership change in the future and, therefore, having a limitation on our ability to use our NOLs. Additionally, portions of these NOLs could expire unused and be unavailable to offset future income tax liabilities. In addition, at the state level, there may be periods during which the use of NOLs is suspended or otherwise limited. For example, California recently imposed limits on the usability of California state NOLs to offset taxable income in tax years beginning after 2019 and before 2022. As a result, even if we acquire income producing assets and attain profitability in the future, we may be unable to use a material portion of our NOLs and other tax attributes, which could adversely affect our future cash flows and the value of our common stock.</w:t>
      </w:r>
    </w:p>
    <w:p>
      <w:pPr>
        <w:pStyle w:val="TextBody"/>
        <w:bidi w:val="0"/>
        <w:spacing w:before="180" w:after="283"/>
        <w:jc w:val="both"/>
        <w:rPr>
          <w:rFonts w:ascii="Arial" w:hAnsi="Arial"/>
          <w:b/>
          <w:i/>
          <w:color w:val="000000"/>
          <w:sz w:val="20"/>
        </w:rPr>
      </w:pPr>
      <w:r>
        <w:rPr>
          <w:rFonts w:ascii="Arial" w:hAnsi="Arial"/>
          <w:b/>
          <w:i/>
          <w:color w:val="000000"/>
          <w:sz w:val="20"/>
        </w:rPr>
        <w:t>If we choose to pursue a business combination, we may face difficulties or delays in such a search, and we may expend significant time and capital on a prospective business combination that is not ultimately consummated.</w:t>
      </w:r>
    </w:p>
    <w:p>
      <w:pPr>
        <w:pStyle w:val="TextBody"/>
        <w:bidi w:val="0"/>
        <w:spacing w:before="180" w:after="283"/>
        <w:jc w:val="both"/>
        <w:rPr>
          <w:rFonts w:ascii="Arial" w:hAnsi="Arial"/>
          <w:color w:val="000000"/>
          <w:sz w:val="20"/>
        </w:rPr>
      </w:pPr>
      <w:r>
        <w:rPr>
          <w:rFonts w:ascii="Arial" w:hAnsi="Arial"/>
          <w:color w:val="000000"/>
          <w:sz w:val="20"/>
        </w:rPr>
        <w:t>Our Board of Directors is evaluating strategic alternatives, including the potential to use the Post-Closing Cash and to utilize our NOLs by acquiring assets or a business. The investigation of any specific target business and any subsequent negotiation and drafting of related agreements, SEC disclosure and other documents would require substantial amounts of management’s time and attention and material additional costs in connection with outsourced services from accountants, attorneys and other professionals. Assuming that we choose this strategic alternative, we would likely expend significant time and resources searching for, conducting due diligence on, and negotiating transaction terms in connection with a proposed business combination that may not ultimately come to fruition. Unanticipated issues which may be beyond our control or that of the seller of the applicable business may arise that force us to terminate discussions with a target company, such as the target’s failure or inability to provide adequate documentation to assist in our investigation, a party’s failure to obtain required waivers or consents to consummate the transaction as required by the inability to obtain the required audits, applicable laws, charter documents and agreements, the appearance of a competitive bid from another prospective purchaser, or the seller’s inability to maintain its operations for a sufficient time to allow the transaction to close. Such risks are inherent in any search for a new business and investors should be aware of them before investing in an enterprise such as ours.</w:t>
      </w:r>
    </w:p>
    <w:p>
      <w:pPr>
        <w:pStyle w:val="TextBody"/>
        <w:bidi w:val="0"/>
        <w:spacing w:before="180" w:after="283"/>
        <w:jc w:val="both"/>
        <w:rPr>
          <w:rFonts w:ascii="Times New Roman" w:hAnsi="Times New Roman"/>
          <w:sz w:val="20"/>
        </w:rPr>
      </w:pPr>
      <w:r>
        <w:rPr>
          <w:rFonts w:ascii="Arial" w:hAnsi="Arial"/>
          <w:color w:val="000000"/>
          <w:sz w:val="20"/>
        </w:rPr>
        <w:t>If we choose to pursue this strategic alternative, we would expect to face intense competition in our search for a revenue-producing business to combine with or acquire. Given the current economic climate, venture capital firms, larger companies, and other investors are purchasing operating entities or the assets thereof in high volumes and at relatively discounted prices. These parties may have greater capital or human resources than we do and/or more experience in a particular industry within which we choose to search. Most of these competitors have a certain amount of liquid cash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available to take advantage of favorable market conditions for prospective business purchaser such as those caused by the recent pandemic. Any delay or inability to locate, negotiate and enter into a business combination as a result of any disadvantages we have relative to our competitors, could cause us to lose valuable business opportunities to our competitors, which would have a material adverse effect on our business. Moreover, economic factors that are beyond our control, including inflation and higher interest rates and economic uncertainty, as well as geopolitical instability may hinder our ability to locate and obtain a business on terms that are favorable to us.</w:t>
      </w:r>
    </w:p>
    <w:p>
      <w:pPr>
        <w:pStyle w:val="TextBody"/>
        <w:bidi w:val="0"/>
        <w:spacing w:before="180" w:after="283"/>
        <w:jc w:val="both"/>
        <w:rPr>
          <w:rFonts w:ascii="Arial" w:hAnsi="Arial"/>
          <w:color w:val="000000"/>
          <w:sz w:val="20"/>
        </w:rPr>
      </w:pPr>
      <w:r>
        <w:rPr>
          <w:rFonts w:ascii="Arial" w:hAnsi="Arial"/>
          <w:color w:val="000000"/>
          <w:sz w:val="20"/>
        </w:rPr>
        <w:t>In addition, we have limited capital, and we may not be able to take advantage of any available business opportunities on favorable terms or at all due to the limited availability of capital. There can be no assurance that we will have sufficient capital to provide us with the necessary funds to successfully develop and implement our plan of operation or acquire a business we deem to be appropriate or necessary to accomplish our objectives, in which case we may be forced to terminate our business plan and your investment in our common stock could become worthless. In addition, any debt financing that we may secure in the future, including in connection with an acquisition, could result in additional operating and financial covenants that would limit or restrict our ability to take certain actions. There is no guarantee that financing would be available to us in amounts or on terms acceptable to us, if at all.</w:t>
      </w:r>
    </w:p>
    <w:p>
      <w:pPr>
        <w:pStyle w:val="TextBody"/>
        <w:bidi w:val="0"/>
        <w:spacing w:before="180" w:after="283"/>
        <w:jc w:val="both"/>
        <w:rPr>
          <w:rFonts w:ascii="Arial" w:hAnsi="Arial"/>
          <w:b/>
          <w:i/>
          <w:color w:val="000000"/>
          <w:sz w:val="20"/>
        </w:rPr>
      </w:pPr>
      <w:r>
        <w:rPr>
          <w:rFonts w:ascii="Arial" w:hAnsi="Arial"/>
          <w:b/>
          <w:i/>
          <w:color w:val="000000"/>
          <w:sz w:val="20"/>
        </w:rPr>
        <w:t>If we are not successful in developing a viable business plan and acquiring a new business and generating material revenues, investors may lose their entire investment.</w:t>
      </w:r>
    </w:p>
    <w:p>
      <w:pPr>
        <w:pStyle w:val="TextBody"/>
        <w:bidi w:val="0"/>
        <w:spacing w:before="180" w:after="283"/>
        <w:jc w:val="both"/>
        <w:rPr>
          <w:rFonts w:ascii="Arial" w:hAnsi="Arial"/>
          <w:color w:val="000000"/>
          <w:sz w:val="20"/>
        </w:rPr>
      </w:pPr>
      <w:r>
        <w:rPr>
          <w:rFonts w:ascii="Arial" w:hAnsi="Arial"/>
          <w:color w:val="000000"/>
          <w:sz w:val="20"/>
        </w:rPr>
        <w:t>If we are not successful in developing a viable business plan and acquiring a new business through which to implement it, our investors’ entire investment in our common stock could become worthless. Even if we are successful in combining with or acquiring the assets of an operating entity, we can provide no assurances that we will be able to generate material revenue therefrom in the short-term or at all or that investors will derive a profit from their investment. If we are not successful, our investors may lose their entire investment.</w:t>
      </w:r>
    </w:p>
    <w:p>
      <w:pPr>
        <w:pStyle w:val="TextBody"/>
        <w:bidi w:val="0"/>
        <w:spacing w:before="180" w:after="283"/>
        <w:jc w:val="both"/>
        <w:rPr>
          <w:rFonts w:ascii="Arial" w:hAnsi="Arial"/>
          <w:b/>
          <w:i/>
          <w:color w:val="000000"/>
          <w:sz w:val="20"/>
        </w:rPr>
      </w:pPr>
      <w:r>
        <w:rPr>
          <w:rFonts w:ascii="Arial" w:hAnsi="Arial"/>
          <w:b/>
          <w:i/>
          <w:color w:val="000000"/>
          <w:sz w:val="20"/>
        </w:rPr>
        <w:t>We may engage in a business combination that causes tax consequences to us and our shareholders.</w:t>
      </w:r>
    </w:p>
    <w:p>
      <w:pPr>
        <w:pStyle w:val="TextBody"/>
        <w:bidi w:val="0"/>
        <w:spacing w:before="180" w:after="283"/>
        <w:jc w:val="both"/>
        <w:rPr>
          <w:rFonts w:ascii="Arial" w:hAnsi="Arial"/>
          <w:color w:val="000000"/>
          <w:sz w:val="20"/>
        </w:rPr>
      </w:pPr>
      <w:r>
        <w:rPr>
          <w:rFonts w:ascii="Arial" w:hAnsi="Arial"/>
          <w:color w:val="000000"/>
          <w:sz w:val="20"/>
        </w:rPr>
        <w:t>Federal and state tax consequences will, in all likelihood, be a significant factor in considering any business combination that we may undertake. Under current federal law, such transactions may be subject to significant taxation to the buyer and its shareholders under applicable federal and state tax laws. While we intend to structure any business combination, if we pursue this strategic alternative, so as to minimize the federal and state tax consequences to the extent practicable in accordance with our business objectives, there can be no assurance that any business combination we undertake will meet the statutory or regulatory requirements of a tax-free reorganization or similar favorable treatment or that the parties to such a transaction will obtain the tax treatment intended or expected upon a transfer of equity interests or assets. A non-qualifying reorganization, combination or similar transaction could result in the imposition of significant taxation, both at the federal and state levels, which may have an adverse effect on both parties to the transaction, including our shareholders.</w:t>
      </w:r>
    </w:p>
    <w:p>
      <w:pPr>
        <w:pStyle w:val="TextBody"/>
        <w:bidi w:val="0"/>
        <w:spacing w:before="180" w:after="283"/>
        <w:jc w:val="both"/>
        <w:rPr>
          <w:rFonts w:ascii="Arial" w:hAnsi="Arial"/>
          <w:b/>
          <w:i/>
          <w:color w:val="000000"/>
          <w:sz w:val="20"/>
        </w:rPr>
      </w:pPr>
      <w:r>
        <w:rPr>
          <w:rFonts w:ascii="Arial" w:hAnsi="Arial"/>
          <w:b/>
          <w:i/>
          <w:color w:val="000000"/>
          <w:sz w:val="20"/>
        </w:rPr>
        <w:t>If we pursue a business combination, we may attempt to complete a business combination with a private target company about which little information is available, and such target entity may not generate revenue as expected or otherwise be compatible with us as expected.</w:t>
      </w:r>
    </w:p>
    <w:p>
      <w:pPr>
        <w:pStyle w:val="TextBody"/>
        <w:bidi w:val="0"/>
        <w:spacing w:before="180" w:after="283"/>
        <w:jc w:val="both"/>
        <w:rPr>
          <w:rFonts w:ascii="Arial" w:hAnsi="Arial"/>
          <w:color w:val="000000"/>
          <w:sz w:val="20"/>
        </w:rPr>
      </w:pPr>
      <w:r>
        <w:rPr>
          <w:rFonts w:ascii="Arial" w:hAnsi="Arial"/>
          <w:color w:val="000000"/>
          <w:sz w:val="20"/>
        </w:rPr>
        <w:t>In pursuing our search for a business to acquire, we may seek to complete a business combination with a privately held company. Very little public information generally exists about private companies, and the only information available to us prior to making a decision may be from documents and information provided directly to us by the target company in connection with the transaction. Such documents or information or the conclusions we draw therefrom could prove to be inaccurate or misleading. As such, we may be required to make our decision on whether to pursue a potential business combination based on limited, incomplete or faulty information, which may result in our subsequent operations generating less revenue than expected, which could materially harm our financial condition and results of operations.</w:t>
      </w:r>
    </w:p>
    <w:p>
      <w:pPr>
        <w:pStyle w:val="TextBody"/>
        <w:bidi w:val="0"/>
        <w:spacing w:before="180" w:after="283"/>
        <w:jc w:val="both"/>
        <w:rPr>
          <w:rFonts w:ascii="Arial" w:hAnsi="Arial"/>
          <w:color w:val="000000"/>
          <w:sz w:val="20"/>
        </w:rPr>
      </w:pPr>
      <w:r>
        <w:rPr>
          <w:rFonts w:ascii="Arial" w:hAnsi="Arial"/>
          <w:color w:val="000000"/>
          <w:sz w:val="20"/>
        </w:rPr>
        <w:t>When evaluating the desirability of a potential business combination, our ability to assess the target business’s management may be limited due to a lack of time, resources or information. Our management’s assessment of the capabilities of the target’s management, therefore, may prove to be incorrect and such management may lack the skills, qualifications or abilities expected. Further, in most cases the target’s management may be expected to want to manage us and replace our Chief Executive Officer. Should the target’s management not possess the skills, qualifications or abilities necessary to manage a public company or assist with their former entity’s merger or combination into ours, the operations and profitability of the post-acquisition business may be negatively impacted, and our shareholders could suffer a reduction in the value of their shares.</w:t>
      </w:r>
    </w:p>
    <w:p>
      <w:pPr>
        <w:pStyle w:val="TextBody"/>
        <w:bidi w:val="0"/>
        <w:spacing w:before="180" w:after="283"/>
        <w:jc w:val="both"/>
        <w:rPr>
          <w:rFonts w:ascii="Times New Roman" w:hAnsi="Times New Roman"/>
          <w:sz w:val="20"/>
        </w:rPr>
      </w:pPr>
      <w:r>
        <w:rPr>
          <w:rFonts w:ascii="Arial" w:hAnsi="Arial"/>
          <w:b/>
          <w:i/>
          <w:color w:val="000000"/>
          <w:sz w:val="20"/>
        </w:rPr>
        <w:t>Our business could suffer if we are unsuccessful in making, integrating, and maintaining any future acquisitions and investments.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may acquire businesses or technologies in the future. Integrating an acquired business or technology is difficult and can be risky. These potential and completed transactions create risks such as: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disruption of our ongoing business, including loss of management focus on existing businesses;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difficulty of integrating new businesses and technologies into our infrastructure; and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risks associated with assuming liabilities related to the activities of the acquired business before and after the acquisition, including liabilities for violations of laws and regulations, commercial disputes, cyberattacks, taxes, and other matters.</w:t>
      </w:r>
    </w:p>
    <w:p>
      <w:pPr>
        <w:pStyle w:val="TextBody"/>
        <w:bidi w:val="0"/>
        <w:spacing w:before="180" w:after="283"/>
        <w:jc w:val="both"/>
        <w:rPr>
          <w:rFonts w:ascii="Arial" w:hAnsi="Arial"/>
          <w:color w:val="000000"/>
          <w:sz w:val="20"/>
        </w:rPr>
      </w:pPr>
      <w:r>
        <w:rPr>
          <w:rFonts w:ascii="Arial" w:hAnsi="Arial"/>
          <w:color w:val="000000"/>
          <w:sz w:val="20"/>
        </w:rPr>
        <w:t>Moreover, acquisitions may divert management’s time and focus from operating our business. Acquisitions also may require us to spend a substantial portion of our available cash, issue stock, incur debt or other liabilities, amortize expenses related to intangible assets, or incur write-offs of goodwill or other assets. Finally, acquisitions could be viewed negatively by analysts, investors or our users.</w:t>
      </w:r>
    </w:p>
    <w:p>
      <w:pPr>
        <w:pStyle w:val="TextBody"/>
        <w:bidi w:val="0"/>
        <w:spacing w:before="180" w:after="283"/>
        <w:jc w:val="both"/>
        <w:rPr>
          <w:rFonts w:ascii="Arial" w:hAnsi="Arial"/>
          <w:b/>
          <w:i/>
          <w:color w:val="000000"/>
          <w:sz w:val="20"/>
        </w:rPr>
      </w:pPr>
      <w:r>
        <w:rPr>
          <w:rFonts w:ascii="Arial" w:hAnsi="Arial"/>
          <w:b/>
          <w:i/>
          <w:color w:val="000000"/>
          <w:sz w:val="20"/>
        </w:rPr>
        <w:t>The Asset Purchase Agreement may expose us to contingent liabilities.</w:t>
      </w:r>
    </w:p>
    <w:p>
      <w:pPr>
        <w:pStyle w:val="TextBody"/>
        <w:bidi w:val="0"/>
        <w:spacing w:before="180" w:after="283"/>
        <w:jc w:val="both"/>
        <w:rPr>
          <w:rFonts w:ascii="Arial" w:hAnsi="Arial"/>
          <w:color w:val="000000"/>
          <w:sz w:val="20"/>
        </w:rPr>
      </w:pPr>
      <w:r>
        <w:rPr>
          <w:rFonts w:ascii="Arial" w:hAnsi="Arial"/>
          <w:color w:val="000000"/>
          <w:sz w:val="20"/>
        </w:rPr>
        <w:t>We have agreed to indemnify the Buyer for certain breaches of covenants made by us in the Asset Purchase Agreement. Significant indemnification claims by the Purchaser could materially and adversely affect our business, financial condition and results of operations.</w:t>
      </w:r>
    </w:p>
    <w:p>
      <w:pPr>
        <w:pStyle w:val="TextBody"/>
        <w:bidi w:val="0"/>
        <w:spacing w:before="180" w:after="283"/>
        <w:jc w:val="both"/>
        <w:rPr>
          <w:rFonts w:ascii="Arial" w:hAnsi="Arial"/>
          <w:b/>
          <w:i/>
          <w:color w:val="000000"/>
          <w:sz w:val="20"/>
        </w:rPr>
      </w:pPr>
      <w:r>
        <w:rPr>
          <w:rFonts w:ascii="Arial" w:hAnsi="Arial"/>
          <w:b/>
          <w:i/>
          <w:color w:val="000000"/>
          <w:sz w:val="20"/>
        </w:rPr>
        <w:t>The Purchaser did not assume any of the excluded liabilities under the Asset Purchase Agreement.</w:t>
      </w:r>
    </w:p>
    <w:p>
      <w:pPr>
        <w:pStyle w:val="TextBody"/>
        <w:bidi w:val="0"/>
        <w:spacing w:before="180" w:after="283"/>
        <w:jc w:val="both"/>
        <w:rPr>
          <w:rFonts w:ascii="Arial" w:hAnsi="Arial"/>
          <w:color w:val="000000"/>
          <w:sz w:val="20"/>
        </w:rPr>
      </w:pPr>
      <w:r>
        <w:rPr>
          <w:rFonts w:ascii="Arial" w:hAnsi="Arial"/>
          <w:color w:val="000000"/>
          <w:sz w:val="20"/>
        </w:rPr>
        <w:t>Under the Asset Purchase Agreement, the Buyer did not assume all of the liabilities associated with our prior business. Certain liabilities remained with us post-closing. For example, Buyer did not assume any liabilities arising out of or related to the employment or termination of service of any employee of ours who did not transfer to the Buyer or arising from severance payments to, or unpaid wages owed to, any employee who declines the Buyer’s offer of employment or service or certain third party claims related to the Company’s initial public offering, including an existing class action lawsuit and a stockholder derivative action. Such liabilities, together with other excluded liabilities under the asset purchase agreement, could be significant. While we believe that we are adequately insured against certain of the risks associated with such excluded liabilities, there can be no assurances.</w:t>
      </w:r>
    </w:p>
    <w:p>
      <w:pPr>
        <w:pStyle w:val="TextBody"/>
        <w:bidi w:val="0"/>
        <w:spacing w:before="180" w:after="283"/>
        <w:jc w:val="both"/>
        <w:rPr>
          <w:rFonts w:ascii="Arial" w:hAnsi="Arial"/>
          <w:b/>
          <w:i/>
          <w:color w:val="000000"/>
          <w:sz w:val="20"/>
        </w:rPr>
      </w:pPr>
      <w:r>
        <w:rPr>
          <w:rFonts w:ascii="Arial" w:hAnsi="Arial"/>
          <w:b/>
          <w:i/>
          <w:color w:val="000000"/>
          <w:sz w:val="20"/>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pStyle w:val="TextBody"/>
        <w:bidi w:val="0"/>
        <w:spacing w:before="180" w:after="283"/>
        <w:jc w:val="both"/>
        <w:rPr>
          <w:rFonts w:ascii="Times New Roman" w:hAnsi="Times New Roman"/>
          <w:sz w:val="20"/>
        </w:rPr>
      </w:pPr>
      <w:r>
        <w:rPr>
          <w:rFonts w:ascii="Arial" w:hAnsi="Arial"/>
          <w:color w:val="000000"/>
          <w:sz w:val="20"/>
        </w:rPr>
        <w:t>During the preparation and the audit of our consolidated financial statements for the year ended December 31, 2021, we and our independent registered public accounting firm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addition, given our reliance on information technology (“IT”) systems to synthesize both financial and nonfinancial information, any material weaknesses in our IT controls may result in errors in not only our consolidated financial statements but our nonfinancial metrics as well.</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material weaknesses we identified in 2021 occurred because (i) the processes and controls over our IT systems relevant to the preparation of our consolidated financial statements were inadequate and (ii) the current processes in place were insufficient to allow us to complete the testing and assessment of the design and operating effectiveness of internal controls over financial reporting in a timely manner.</w:t>
      </w:r>
    </w:p>
    <w:p>
      <w:pPr>
        <w:pStyle w:val="TextBody"/>
        <w:bidi w:val="0"/>
        <w:spacing w:before="180" w:after="283"/>
        <w:jc w:val="both"/>
        <w:rPr>
          <w:rFonts w:ascii="Arial" w:hAnsi="Arial"/>
          <w:color w:val="000000"/>
          <w:sz w:val="20"/>
        </w:rPr>
      </w:pPr>
      <w:r>
        <w:rPr>
          <w:rFonts w:ascii="Arial" w:hAnsi="Arial"/>
          <w:color w:val="000000"/>
          <w:sz w:val="20"/>
        </w:rPr>
        <w:t>As described in Item 4, "Controls and Procedures", we will continue our initiatives to implement measures designed to ensure that remaining control deficiencies contributing to the material weaknesses are remediated, such that these controls are designed, implemented, and operating effectively.</w:t>
      </w:r>
    </w:p>
    <w:p>
      <w:pPr>
        <w:pStyle w:val="TextBody"/>
        <w:bidi w:val="0"/>
        <w:spacing w:before="180" w:after="283"/>
        <w:jc w:val="both"/>
        <w:rPr>
          <w:rFonts w:ascii="Arial" w:hAnsi="Arial"/>
          <w:color w:val="000000"/>
          <w:sz w:val="20"/>
        </w:rPr>
      </w:pPr>
      <w:r>
        <w:rPr>
          <w:rFonts w:ascii="Arial" w:hAnsi="Arial"/>
          <w:color w:val="000000"/>
          <w:sz w:val="20"/>
        </w:rPr>
        <w:t>We cannot guarantee that our efforts will remediate these deficiencies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and cause a decline in the price of our common stock. See Item 4, “Controls and Procedures” for further discussions of the identified material weaknesses.</w:t>
      </w:r>
    </w:p>
    <w:p>
      <w:pPr>
        <w:pStyle w:val="TextBody"/>
        <w:bidi w:val="0"/>
        <w:spacing w:before="180" w:after="283"/>
        <w:jc w:val="both"/>
        <w:rPr>
          <w:rFonts w:ascii="Arial" w:hAnsi="Arial"/>
          <w:b/>
          <w:i/>
          <w:color w:val="000000"/>
          <w:sz w:val="20"/>
        </w:rPr>
      </w:pPr>
      <w:r>
        <w:rPr>
          <w:rFonts w:ascii="Arial" w:hAnsi="Arial"/>
          <w:b/>
          <w:i/>
          <w:color w:val="000000"/>
          <w:sz w:val="20"/>
        </w:rPr>
        <w:t>Our management is required to evaluate the effectiveness of our disclosure controls and internal control over financial reporting. If we are unable to maintain effective disclosure controls and internal control over financial reporting, investors may lose confidence in the accuracy of our financial reports.</w:t>
      </w:r>
    </w:p>
    <w:p>
      <w:pPr>
        <w:pStyle w:val="TextBody"/>
        <w:bidi w:val="0"/>
        <w:spacing w:before="180" w:after="283"/>
        <w:jc w:val="both"/>
        <w:rPr>
          <w:rFonts w:ascii="Arial" w:hAnsi="Arial"/>
          <w:color w:val="000000"/>
          <w:sz w:val="20"/>
        </w:rPr>
      </w:pPr>
      <w:r>
        <w:rPr>
          <w:rFonts w:ascii="Arial" w:hAnsi="Arial"/>
          <w:color w:val="000000"/>
          <w:sz w:val="20"/>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our independent registered public accounting firm is required to deliver an attestation report on the effectiveness of our internal control over financial reporting. We expect that the requirements of these rules and regulations will continue to increase our legal, accounting, and financial compliance costs, make some activities more difficult, time-consuming, costly, and place significant strain on our personnel, systems, and resources.</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We are continuing to develop and refine our disclosure controls and other procedures that are designed to ensure that information required to be disclosed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While we continue to improve our internal control over financial reporting through remediation measures described in Item 4, “Controls and Procedures—Management’s Plan to Remediate the Material Weaknesses”, we cannot guarantee that these changes will remediate future deficiencies or that additional material weaknesses in our internal control over financial reporting will not be identified in the future.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further deficiencies in our controls.</w:t>
      </w:r>
    </w:p>
    <w:p>
      <w:pPr>
        <w:pStyle w:val="TextBody"/>
        <w:bidi w:val="0"/>
        <w:spacing w:before="180" w:after="283"/>
        <w:jc w:val="both"/>
        <w:rPr>
          <w:rFonts w:ascii="Arial" w:hAnsi="Arial"/>
          <w:color w:val="000000"/>
          <w:sz w:val="20"/>
        </w:rPr>
      </w:pPr>
      <w:r>
        <w:rPr>
          <w:rFonts w:ascii="Arial" w:hAnsi="Arial"/>
          <w:color w:val="000000"/>
          <w:sz w:val="20"/>
        </w:rPr>
        <w:t>Our current controls and any new controls that we develop may become inadequate because of changes in conditions in our business, some of which may arise from our restructuring and turnaround initiatives. We and our independent registered public accounting firm identified weaknesses in our internal control over financial reporting and additional weaknesses may be discovered in the future. Any failure to develop or maintain effective controls or any difficulties encountered in their implementation or improvement could harm our results of operations, cause us to fail to meet our reporting obligations, and adversely affect the results of periodic management evaluations and our independent registered public accounting firm’s attestation reports required by the SEC. Ineffective disclosure controls and procedures and internal control over financial reporting could diminish investor confidence, negatively affect the price of our common stock, and could result in our delisting on Nasdaq. As noted previously, see Item 4, “Controls and Procedures” for further discussions of the identified material weaknesses.</w:t>
      </w:r>
    </w:p>
    <w:p>
      <w:pPr>
        <w:pStyle w:val="TextBody"/>
        <w:bidi w:val="0"/>
        <w:spacing w:before="180" w:after="283"/>
        <w:jc w:val="both"/>
        <w:rPr>
          <w:rFonts w:ascii="Arial" w:hAnsi="Arial"/>
          <w:b/>
          <w:i/>
          <w:color w:val="000000"/>
          <w:sz w:val="20"/>
        </w:rPr>
      </w:pPr>
      <w:r>
        <w:rPr>
          <w:rFonts w:ascii="Arial" w:hAnsi="Arial"/>
          <w:b/>
          <w:i/>
          <w:color w:val="000000"/>
          <w:sz w:val="20"/>
        </w:rPr>
        <w:t>We have been, and may in the future be, involved in litigation matters or other legal proceedings that are expensive and time consuming.</w:t>
      </w:r>
    </w:p>
    <w:p>
      <w:pPr>
        <w:pStyle w:val="TextBody"/>
        <w:bidi w:val="0"/>
        <w:spacing w:before="180" w:after="283"/>
        <w:jc w:val="both"/>
        <w:rPr>
          <w:rFonts w:ascii="Arial" w:hAnsi="Arial"/>
          <w:color w:val="000000"/>
          <w:sz w:val="20"/>
        </w:rPr>
      </w:pPr>
      <w:r>
        <w:rPr>
          <w:rFonts w:ascii="Arial" w:hAnsi="Arial"/>
          <w:color w:val="000000"/>
          <w:sz w:val="20"/>
        </w:rPr>
        <w:t>We have been, and may in the future be, involved in litigation matters, including class action lawsuits. Any lawsuit to which we are a party, with or without merit, may result in an unfavorable judgment. We also may decide to settle lawsuits on unfavorable terms. Any such negative outcome could result in payments of substantial damages or fines, damage to our reputation, loss of rights, or adverse changes to our offerings or business practices. Any of these results could adversely affect our business. In addition, defending claims is costly and can impose a significant burden on our management.</w:t>
      </w:r>
    </w:p>
    <w:p>
      <w:pPr>
        <w:pStyle w:val="TextBody"/>
        <w:bidi w:val="0"/>
        <w:spacing w:before="180" w:after="283"/>
        <w:jc w:val="both"/>
        <w:rPr>
          <w:rFonts w:ascii="Arial" w:hAnsi="Arial"/>
          <w:color w:val="000000"/>
          <w:sz w:val="20"/>
        </w:rPr>
      </w:pPr>
      <w:r>
        <w:rPr>
          <w:rFonts w:ascii="Arial" w:hAnsi="Arial"/>
          <w:color w:val="000000"/>
          <w:sz w:val="20"/>
        </w:rPr>
        <w:t>Additionally, the market price of our common stock has been and may continue to be volatile. As a result, we have been named in lawsuits, and may be subject to both ongoing litigation and other requests related to our stock price/performance and/or Board performance and independence. Beginning in May 2021, four 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 of these cases has since been dismissed by the plaintiff and the remaining three have been coordinated and consolidated (the “IPO Case”). In May 2022, the Court appointed lead plaintiffs, who subsequently filed an amended consolidated class action complaint pursuant to Sections 11 and 15 of the Securities Act and Sections 10(b) and 20(a) of the Exchange Act.</w:t>
      </w:r>
    </w:p>
    <w:p>
      <w:pPr>
        <w:pStyle w:val="TextBody"/>
        <w:bidi w:val="0"/>
        <w:spacing w:before="180" w:after="283"/>
        <w:jc w:val="both"/>
        <w:rPr>
          <w:rFonts w:ascii="Arial" w:hAnsi="Arial"/>
          <w:color w:val="000000"/>
          <w:sz w:val="20"/>
        </w:rPr>
      </w:pPr>
      <w:r>
        <w:rPr>
          <w:rFonts w:ascii="Arial" w:hAnsi="Arial"/>
          <w:color w:val="000000"/>
          <w:sz w:val="20"/>
        </w:rPr>
        <w:t>In April 2023, the plaintiffs filed a first amended consolidated class action complaint and asserted only claims made under Sections 11 and 15 of the Securities Act. The Court dismissed this complaint in December 2023 with leave to amend. In February 2024, the plaintiffs filed a second amended consolidated class action complaint, which Defendants have moved to dismiss. In August 2021, a shareholder derivative action purportedly brought on behalf of the Company, Patel v. Szulczewski, was filed in the U.S. federal court alleging that the Company’s directors and officers made or caused the Company to make false and/or misleading statements about the Company’s business operations and financial prospects in various public filings. This matter is stayed pending certain motion practice in the IPO Case. We may continue to be the target of securities litigations, and/or may receive other civil and regulator inquiries and requests, in the future. Securities litigation or inquiries or investigations against us could result in substantial costs and divert our management’s attention from other business concerns, which could adversely affect our business.</w:t>
      </w:r>
    </w:p>
    <w:p>
      <w:pPr>
        <w:pStyle w:val="TextBody"/>
        <w:bidi w:val="0"/>
        <w:spacing w:before="180" w:after="283"/>
        <w:jc w:val="both"/>
        <w:rPr>
          <w:rFonts w:ascii="Arial" w:hAnsi="Arial"/>
          <w:b/>
          <w:i/>
          <w:color w:val="000000"/>
          <w:sz w:val="20"/>
        </w:rPr>
      </w:pPr>
      <w:r>
        <w:rPr>
          <w:rFonts w:ascii="Arial" w:hAnsi="Arial"/>
          <w:b/>
          <w:i/>
          <w:color w:val="000000"/>
          <w:sz w:val="20"/>
        </w:rPr>
        <w:t>Changes in laws or regulations, or a failure to comply with the laws and regulations applicable to us, may materially adversely affect our business, ability to pursue a chosen strategic alternative, our business, financial condition and results of operations.</w:t>
      </w:r>
    </w:p>
    <w:p>
      <w:pPr>
        <w:pStyle w:val="TextBody"/>
        <w:bidi w:val="0"/>
        <w:spacing w:before="180" w:after="283"/>
        <w:jc w:val="both"/>
        <w:rPr>
          <w:rFonts w:ascii="Times New Roman" w:hAnsi="Times New Roman"/>
          <w:sz w:val="20"/>
        </w:rPr>
      </w:pPr>
      <w:r>
        <w:rPr>
          <w:rFonts w:ascii="Arial" w:hAnsi="Arial"/>
          <w:color w:val="000000"/>
          <w:sz w:val="20"/>
        </w:rPr>
        <w:t>We are subject to laws and regulations enacted by federal, state and local governments. In addition to SEC regulations, any business we may acquire in the future may be subject to substantial legal or regulatory oversight and restrictions, which could hinder our growth and expend material amounts on compliance. Compliance with, and monitoring of, applicable laws and regulations may be difficult, time consuming and costly. Those laws and regulations and their interpretation and application by courts and administrative judges may also change from time to time, and any such changes could be unfavorable to us and could have a material adverse effect on our business, investments and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In addition, a failure to comply with applicable laws or regulations, as interpreted and applied, could result in material defense or remedial costs and/or damages have a material adverse effect on our financial condition.</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If we are deemed to be an investment company under the Investment Company Act of 1940, our results of operations could be harmed.</w:t>
      </w:r>
    </w:p>
    <w:p>
      <w:pPr>
        <w:pStyle w:val="TextBody"/>
        <w:bidi w:val="0"/>
        <w:spacing w:before="180" w:after="283"/>
        <w:jc w:val="both"/>
        <w:rPr>
          <w:rFonts w:ascii="Arial" w:hAnsi="Arial"/>
          <w:color w:val="000000"/>
          <w:sz w:val="20"/>
        </w:rPr>
      </w:pPr>
      <w:r>
        <w:rPr>
          <w:rFonts w:ascii="Arial" w:hAnsi="Arial"/>
          <w:color w:val="000000"/>
          <w:sz w:val="20"/>
        </w:rPr>
        <w:t>Under Sections 3(a)(1)(A) and (C) of the Investment Company Act of 1940, as amended (the “Investment Company Act”), a company generally will be deemed to be an “investment company” for purposes of the Investment Company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these sections of the Investment Company Act. We believe that we are conducting, and we intend to continue to conduct, our operations so that neither we, nor any of our subsidiaries, is required to register as an “investment company” under the Investment Company Act. If we were obligated to register as an “investment company,” we would have to comply with a variety of substantive requirements under the Investment Company Act that impose, among other things, limitations on capital structure, restrictions on specified investments, prohibitions on transactions with affiliates, and compliance with reporting, record keeping, voting, proxy disclosure and other rules and regulations that would increase our operating and compliance costs, could make it impractical for us to continue our business as contemplated, and could harm our results of operations.</w:t>
      </w:r>
    </w:p>
    <w:p>
      <w:pPr>
        <w:pStyle w:val="TextBody"/>
        <w:bidi w:val="0"/>
        <w:spacing w:before="180" w:after="283"/>
        <w:jc w:val="both"/>
        <w:rPr>
          <w:rFonts w:ascii="Arial" w:hAnsi="Arial"/>
          <w:b/>
          <w:color w:val="000000"/>
          <w:sz w:val="20"/>
          <w:u w:val="single"/>
        </w:rPr>
      </w:pPr>
      <w:r>
        <w:rPr>
          <w:rFonts w:ascii="Arial" w:hAnsi="Arial"/>
          <w:b/>
          <w:color w:val="000000"/>
          <w:sz w:val="20"/>
          <w:u w:val="single"/>
        </w:rPr>
        <w:t>Risks Related to Our Class A Common Stock</w:t>
      </w:r>
    </w:p>
    <w:p>
      <w:pPr>
        <w:pStyle w:val="TextBody"/>
        <w:bidi w:val="0"/>
        <w:spacing w:before="180" w:after="283"/>
        <w:jc w:val="both"/>
        <w:rPr>
          <w:rFonts w:ascii="Arial" w:hAnsi="Arial"/>
          <w:b/>
          <w:i/>
          <w:color w:val="000000"/>
          <w:sz w:val="20"/>
        </w:rPr>
      </w:pPr>
      <w:r>
        <w:rPr>
          <w:rFonts w:ascii="Arial" w:hAnsi="Arial"/>
          <w:b/>
          <w:i/>
          <w:color w:val="000000"/>
          <w:sz w:val="20"/>
        </w:rPr>
        <w:t>The uncertainty regarding the use of proceeds from the Asset Sale and our future operations may negatively impact the value and liquidity of our common stock.</w:t>
      </w:r>
    </w:p>
    <w:p>
      <w:pPr>
        <w:pStyle w:val="TextBody"/>
        <w:bidi w:val="0"/>
        <w:spacing w:before="180" w:after="283"/>
        <w:jc w:val="both"/>
        <w:rPr>
          <w:rFonts w:ascii="Arial" w:hAnsi="Arial"/>
          <w:color w:val="000000"/>
          <w:sz w:val="20"/>
        </w:rPr>
      </w:pPr>
      <w:r>
        <w:rPr>
          <w:rFonts w:ascii="Arial" w:hAnsi="Arial"/>
          <w:color w:val="000000"/>
          <w:sz w:val="20"/>
        </w:rPr>
        <w:t>We have broad discretion regarding the use of proceeds from the Asset Sale. Although our Board of Directors will continue to evaluate various alternatives regarding the use of the proceeds from the Asset Sale with a goal to maximize stockholder value through our NOLs, it has not yet identified any particular acquisitions or investments or committed to making any such decision by a particular date. This uncertainty may negatively impact the value and liquidity of our common stock.</w:t>
      </w:r>
    </w:p>
    <w:p>
      <w:pPr>
        <w:pStyle w:val="TextBody"/>
        <w:bidi w:val="0"/>
        <w:spacing w:before="180" w:after="283"/>
        <w:jc w:val="both"/>
        <w:rPr>
          <w:rFonts w:ascii="Arial" w:hAnsi="Arial"/>
          <w:b/>
          <w:i/>
          <w:color w:val="000000"/>
          <w:sz w:val="20"/>
        </w:rPr>
      </w:pPr>
      <w:r>
        <w:rPr>
          <w:rFonts w:ascii="Arial" w:hAnsi="Arial"/>
          <w:b/>
          <w:i/>
          <w:color w:val="000000"/>
          <w:sz w:val="20"/>
        </w:rPr>
        <w:t>We completed a reverse stock split in order to regain compliance with the listing requirements of the Nasdaq Global Select Market, but there is no assurance that we will remain compliant with Nasdaq's listing requirements.</w:t>
      </w:r>
    </w:p>
    <w:p>
      <w:pPr>
        <w:pStyle w:val="TextBody"/>
        <w:bidi w:val="0"/>
        <w:spacing w:before="180" w:after="283"/>
        <w:jc w:val="both"/>
        <w:rPr>
          <w:rFonts w:ascii="Arial" w:hAnsi="Arial"/>
          <w:color w:val="000000"/>
          <w:sz w:val="20"/>
        </w:rPr>
      </w:pPr>
      <w:r>
        <w:rPr>
          <w:rFonts w:ascii="Arial" w:hAnsi="Arial"/>
          <w:color w:val="000000"/>
          <w:sz w:val="20"/>
        </w:rPr>
        <w:t>Our common stock is listed on the Nasdaq Global Select Market and, in order to maintain that listing, we must satisfy minimum financial and other continued listing requirements and standards including, without limitation, that our closing bid price be at least $1.00 per share (the “Minimum Bid Price Requirement”).</w:t>
      </w:r>
    </w:p>
    <w:p>
      <w:pPr>
        <w:pStyle w:val="TextBody"/>
        <w:bidi w:val="0"/>
        <w:spacing w:before="180" w:after="283"/>
        <w:jc w:val="both"/>
        <w:rPr>
          <w:rFonts w:ascii="Arial" w:hAnsi="Arial"/>
          <w:color w:val="000000"/>
          <w:sz w:val="20"/>
        </w:rPr>
      </w:pPr>
      <w:r>
        <w:rPr>
          <w:rFonts w:ascii="Arial" w:hAnsi="Arial"/>
          <w:color w:val="000000"/>
          <w:sz w:val="20"/>
        </w:rPr>
        <w:t>On April 10, 2023, following stockholder approval, our Board of Directors approved a 1-for-30 reverse stock split of our issued and outstanding shares of common stock. On April 12, 2023, our common stock began trading on a split-adjusted basis on the Nasdaq Global Select Market.</w:t>
      </w:r>
    </w:p>
    <w:p>
      <w:pPr>
        <w:pStyle w:val="TextBody"/>
        <w:bidi w:val="0"/>
        <w:spacing w:before="180" w:after="283"/>
        <w:jc w:val="both"/>
        <w:rPr>
          <w:rFonts w:ascii="Arial" w:hAnsi="Arial"/>
          <w:color w:val="000000"/>
          <w:sz w:val="20"/>
        </w:rPr>
      </w:pPr>
      <w:r>
        <w:rPr>
          <w:rFonts w:ascii="Arial" w:hAnsi="Arial"/>
          <w:color w:val="000000"/>
          <w:sz w:val="20"/>
        </w:rPr>
        <w:t>As of April 26, 2023, we regained compliance with the Minimum Bid Price Requirement. Since the completion of the Asset Sale, our common stock has continued to be listed on the Nasdaq Global Select Market. However, there can be no assurance that we will remain in compliance with the Minimum Bid Price Requirement or will otherwise be in compliance with other Nasdaq listing rules. If we were to fall out of compliance with Nasdaq’s listing requirements, there can be no assurance that our common stock would be eligible to be listed on any other national securities exchange.</w:t>
      </w:r>
    </w:p>
    <w:p>
      <w:pPr>
        <w:pStyle w:val="TextBody"/>
        <w:bidi w:val="0"/>
        <w:spacing w:before="180" w:after="283"/>
        <w:jc w:val="both"/>
        <w:rPr>
          <w:rFonts w:ascii="Times New Roman" w:hAnsi="Times New Roman"/>
          <w:sz w:val="20"/>
        </w:rPr>
      </w:pPr>
      <w:r>
        <w:rPr>
          <w:rFonts w:ascii="Arial" w:hAnsi="Arial"/>
          <w:b/>
          <w:i/>
          <w:color w:val="000000"/>
          <w:sz w:val="20"/>
        </w:rPr>
        <w:t>Future sales and issuances of our common stock or rights to purchase common stock could result in additional dilution to our stockholders and could cause the price of our common stock to decline.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may issue additional common stock, convertible securities or other equity. We also expect to issue common stock to our employees, directors and other service providers pursuant to our equity incentive plans. Such issuances could be dilutive to investors and could cause the price of our common stock to decline. New investors in such issuances could also receive rights senior to those of holders of our common stock.</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If we choose to pursue a business combination, we may require additional capital to fund such business combination. We may not be able to obtain additional capital when required. Future business development activities, as well as administrative expenses such as salaries, insurance, general overhead, legal and compliance expenses and accounting expenses are expected to require a substantial amount of additional capital.</w:t>
      </w:r>
    </w:p>
    <w:p>
      <w:pPr>
        <w:pStyle w:val="TextBody"/>
        <w:bidi w:val="0"/>
        <w:spacing w:before="180" w:after="283"/>
        <w:jc w:val="both"/>
        <w:rPr>
          <w:rFonts w:ascii="Times New Roman" w:hAnsi="Times New Roman"/>
          <w:sz w:val="20"/>
        </w:rPr>
      </w:pPr>
      <w:r>
        <w:rPr>
          <w:rFonts w:ascii="Arial" w:hAnsi="Arial"/>
          <w:color w:val="000000"/>
          <w:sz w:val="20"/>
        </w:rPr>
        <w:t>The price of our common stock could decline if there are substantial sales of our common stock, particularly sales by our directors, executive officers, employees, and significant stockholders, or when there is a large number of shares of our common stock available for sale.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pStyle w:val="TextBody"/>
        <w:bidi w:val="0"/>
        <w:spacing w:before="180" w:after="283"/>
        <w:jc w:val="both"/>
        <w:rPr>
          <w:rFonts w:ascii="Arial" w:hAnsi="Arial"/>
          <w:b/>
          <w:i/>
          <w:color w:val="000000"/>
          <w:sz w:val="20"/>
        </w:rPr>
      </w:pPr>
      <w:r>
        <w:rPr>
          <w:rFonts w:ascii="Arial" w:hAnsi="Arial"/>
          <w:b/>
          <w:i/>
          <w:color w:val="000000"/>
          <w:sz w:val="20"/>
        </w:rPr>
        <w:t>Our Tax Benefits Preservation Plan may reduce the volume of trading in our common stock because it limits the ability of persons or entities from acquiring a significant percentage of our outstanding common stock.</w:t>
      </w:r>
    </w:p>
    <w:p>
      <w:pPr>
        <w:pStyle w:val="TextBody"/>
        <w:bidi w:val="0"/>
        <w:spacing w:before="180" w:after="283"/>
        <w:jc w:val="both"/>
        <w:rPr>
          <w:rFonts w:ascii="Times New Roman" w:hAnsi="Times New Roman"/>
          <w:sz w:val="20"/>
        </w:rPr>
      </w:pPr>
      <w:r>
        <w:rPr>
          <w:rFonts w:ascii="Arial" w:hAnsi="Arial"/>
          <w:color w:val="000000"/>
          <w:sz w:val="20"/>
        </w:rPr>
        <w:t>Our Tax Benefits Preservation Plan is designed to preserve the value of certain tax assets associated with NOL carryforwards under Section 382 of the Code. The inability of some stockholders to acquire a significant position in our common stock could substantially reduce the market liquidity of our common stock, making it more difficult for a stockholder to dispose of, or obtain accurate quotations for the price of, our common stock.</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It is unlikely that our shareholders will be afforded any opportunity to evaluate or approve a business combination if we choose to pursue such a strategic alternative.</w:t>
      </w:r>
    </w:p>
    <w:p>
      <w:pPr>
        <w:pStyle w:val="TextBody"/>
        <w:bidi w:val="0"/>
        <w:spacing w:before="180" w:after="283"/>
        <w:jc w:val="both"/>
        <w:rPr>
          <w:rFonts w:ascii="Arial" w:hAnsi="Arial"/>
          <w:color w:val="000000"/>
          <w:sz w:val="20"/>
        </w:rPr>
      </w:pPr>
      <w:r>
        <w:rPr>
          <w:rFonts w:ascii="Arial" w:hAnsi="Arial"/>
          <w:color w:val="000000"/>
          <w:sz w:val="20"/>
        </w:rPr>
        <w:t>It is unlikely that our shareholders will be afforded the opportunity to evaluate and approve a proposed business combination. In most cases, business combinations do not require shareholder approval under applicable law, and our Articles of Incorporation and Bylaws do not afford our shareholders with the right to approve such a transaction. In order to develop and implement our business plan, we may in the future hire lawyers, accountants, technical experts, appraisers, or other consultants to assist with determining our direction and consummating any transactions contemplated thereby. We may rely on such persons in making difficult decisions in connection with the Company’s future business and prospects. The selection of any such persons will be made by our Board of Directors, and any expenses incurred, or decisions made based on any of the foregoing could prove to be adverse to the Company in hindsight, the result of which could be diminished value to our shareholders.</w:t>
      </w:r>
    </w:p>
    <w:p>
      <w:pPr>
        <w:pStyle w:val="TextBody"/>
        <w:bidi w:val="0"/>
        <w:spacing w:before="180" w:after="283"/>
        <w:jc w:val="both"/>
        <w:rPr>
          <w:rFonts w:ascii="Arial" w:hAnsi="Arial"/>
          <w:b/>
          <w:i/>
          <w:color w:val="000000"/>
          <w:sz w:val="20"/>
        </w:rPr>
      </w:pPr>
      <w:r>
        <w:rPr>
          <w:rFonts w:ascii="Arial" w:hAnsi="Arial"/>
          <w:b/>
          <w:i/>
          <w:color w:val="000000"/>
          <w:sz w:val="20"/>
        </w:rPr>
        <w:t>We are a smaller reporting company, and any decision on our part to comply only with reduced reporting and disclosure requirements applicable to such companies could make our ordinary shares less attractive to investors.</w:t>
      </w:r>
    </w:p>
    <w:p>
      <w:pPr>
        <w:pStyle w:val="TextBody"/>
        <w:bidi w:val="0"/>
        <w:spacing w:before="180" w:after="283"/>
        <w:jc w:val="both"/>
        <w:rPr>
          <w:rFonts w:ascii="Arial" w:hAnsi="Arial"/>
          <w:color w:val="000000"/>
          <w:sz w:val="20"/>
        </w:rPr>
      </w:pPr>
      <w:r>
        <w:rPr>
          <w:rFonts w:ascii="Arial" w:hAnsi="Arial"/>
          <w:color w:val="000000"/>
          <w:sz w:val="20"/>
        </w:rPr>
        <w:t>As of June 30, 2023, we qualified as a “smaller reporting company,” as defined in the Exchange Act. For as long as we continue to be a smaller reporting company, we may choose to take advantage of exemptions from various reporting requirements applicable to other public companies that are not smaller reporting companies, including, but not limited to, reduced disclosure obligations regarding executive compensation in our periodic reports and proxy statements and only being required to provide two years of audited financial statements in annual reports.</w:t>
      </w:r>
    </w:p>
    <w:p>
      <w:pPr>
        <w:pStyle w:val="TextBody"/>
        <w:bidi w:val="0"/>
        <w:spacing w:before="180" w:after="283"/>
        <w:jc w:val="both"/>
        <w:rPr>
          <w:rFonts w:ascii="Arial" w:hAnsi="Arial"/>
          <w:color w:val="000000"/>
          <w:sz w:val="20"/>
        </w:rPr>
      </w:pPr>
      <w:r>
        <w:rPr>
          <w:rFonts w:ascii="Arial" w:hAnsi="Arial"/>
          <w:color w:val="000000"/>
          <w:sz w:val="20"/>
        </w:rPr>
        <w:t>We will remain a smaller reporting company so long as, as of June 30 of the preceding year, (i) the market value of our shares of common stock held by non-affiliates, or our public float, is less than $250 million; or (ii) we have annual revenues less than $100 million and either we have no public float or our public float is less than $700 million.</w:t>
      </w:r>
    </w:p>
    <w:p>
      <w:pPr>
        <w:pStyle w:val="TextBody"/>
        <w:bidi w:val="0"/>
        <w:spacing w:before="180" w:after="283"/>
        <w:jc w:val="both"/>
        <w:rPr>
          <w:rFonts w:ascii="Arial" w:hAnsi="Arial"/>
          <w:color w:val="000000"/>
          <w:sz w:val="20"/>
        </w:rPr>
      </w:pPr>
      <w:r>
        <w:rPr>
          <w:rFonts w:ascii="Arial" w:hAnsi="Arial"/>
          <w:color w:val="000000"/>
          <w:sz w:val="20"/>
        </w:rPr>
        <w:t>To the extent we take advantage of some or all of the reduced disclosure requirements available to smaller reporting companies, investors may find our ordinary shares less attractive, which may result in a less active trading market for our common stock and greater stock price volatility.</w:t>
      </w:r>
    </w:p>
    <w:p>
      <w:pPr>
        <w:pStyle w:val="TextBody"/>
        <w:bidi w:val="0"/>
        <w:spacing w:before="180" w:after="283"/>
        <w:jc w:val="both"/>
        <w:rPr>
          <w:rFonts w:ascii="Arial" w:hAnsi="Arial"/>
          <w:b/>
          <w:i/>
          <w:color w:val="000000"/>
          <w:sz w:val="20"/>
        </w:rPr>
      </w:pPr>
      <w:r>
        <w:rPr>
          <w:rFonts w:ascii="Arial" w:hAnsi="Arial"/>
          <w:b/>
          <w:i/>
          <w:color w:val="000000"/>
          <w:sz w:val="20"/>
        </w:rPr>
        <w:t>We do not expect to pay any cash dividends to the holders of our common stock in the foreseeable future and the availability and timing of future cash dividends, if any, is uncertain.</w:t>
      </w:r>
    </w:p>
    <w:p>
      <w:pPr>
        <w:pStyle w:val="TextBody"/>
        <w:bidi w:val="0"/>
        <w:spacing w:before="180" w:after="283"/>
        <w:jc w:val="both"/>
        <w:rPr>
          <w:rFonts w:ascii="Arial" w:hAnsi="Arial"/>
          <w:color w:val="000000"/>
          <w:sz w:val="20"/>
        </w:rPr>
      </w:pPr>
      <w:r>
        <w:rPr>
          <w:rFonts w:ascii="Arial" w:hAnsi="Arial"/>
          <w:color w:val="000000"/>
          <w:sz w:val="20"/>
        </w:rPr>
        <w:t>We do not expect to declare or pay any cash dividends on our common stock in the foreseeable future. Our board of directors will determine the amount and timing of stockholder dividends, if any, that we may pay in future periods. In making this determination, our directors will consider all relevant factors, including the amount of cash available for dividends, capital expenditures, covenants, prohibitions or limitations with respect to dividends, applicable law, general operational requirements and other variables. We cannot predict the amount or timing of any future dividends you may receive, and if we do commence the payment of dividends, we may be unable to pay, maintain or increase dividends over time. Therefore, you may not be able to realize any return on your investment in our common stock for an extended period of time, if at all, other than by selling your shares.</w:t>
      </w:r>
    </w:p>
    <w:p>
      <w:pPr>
        <w:pStyle w:val="TextBody"/>
        <w:bidi w:val="0"/>
        <w:spacing w:before="180" w:after="283"/>
        <w:jc w:val="both"/>
        <w:rPr>
          <w:rFonts w:ascii="Arial" w:hAnsi="Arial"/>
          <w:b/>
          <w:i/>
          <w:color w:val="000000"/>
          <w:sz w:val="20"/>
        </w:rPr>
      </w:pPr>
      <w:r>
        <w:rPr>
          <w:rFonts w:ascii="Arial" w:hAnsi="Arial"/>
          <w:b/>
          <w:i/>
          <w:color w:val="000000"/>
          <w:sz w:val="20"/>
        </w:rPr>
        <w:t>The price of our common stock has been and continues to be volatile. Declines in the price of our common stock has resulted in and could subject us to future litigation.</w:t>
      </w:r>
    </w:p>
    <w:p>
      <w:pPr>
        <w:pStyle w:val="TextBody"/>
        <w:bidi w:val="0"/>
        <w:spacing w:before="180" w:after="283"/>
        <w:jc w:val="both"/>
        <w:rPr>
          <w:rFonts w:ascii="Times New Roman" w:hAnsi="Times New Roman"/>
          <w:sz w:val="20"/>
        </w:rPr>
      </w:pPr>
      <w:r>
        <w:rPr>
          <w:rFonts w:ascii="Arial" w:hAnsi="Arial"/>
          <w:color w:val="000000"/>
          <w:sz w:val="20"/>
        </w:rPr>
        <w:t>The market price of our common stock has fluctuated and declined and may continue to fluctuate or decline substantially. Accordingly, the price of our common stock has been subject to wide fluctuations and could continue to be subject to wide fluctuations for many reasons, many of which are beyond our control, including those described in this "Risk Factors" section and others such as: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low amount of volume of our common stock that we expect to be traded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failure of analysts to initiate or maintain coverage of our company, changes in their estimates of our operating results or changes in recommendations by analysts that follow our common stock;</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uncertainty among investors relating to the strategic alternative that we will choose, including any prospective business combination and the terms and conditions thereof;</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operating performance of any business we may acquire, if any, including any failure to achieve material revenues therefrom;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performance of our competitors in the marketplace;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trading activity by our principal stockholders and other market participants, in whom ownership of our common stock may be concentrated following the IPO;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public’s reaction to our press releases, SEC filings, website content and other public announcements and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earnings estimates of any business that we acquire, if any, or recommendations by any research analysts who may follow us or other companies in the industry of a business that we acquire, if 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variations in general economic conditions, including as may be caused by uncontrollable events such as future pandemics, global conflicts and interest rates;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public disclosure of the terms of any financing we disclose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shares of our common stock that are eligible to be publicly traded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litigation or claims against us;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other factors discussed in this report.</w:t>
      </w:r>
    </w:p>
    <w:p>
      <w:pPr>
        <w:pStyle w:val="TextBody"/>
        <w:bidi w:val="0"/>
        <w:spacing w:before="180" w:after="283"/>
        <w:jc w:val="both"/>
        <w:rPr>
          <w:rFonts w:ascii="Times New Roman" w:hAnsi="Times New Roman"/>
          <w:sz w:val="20"/>
        </w:rPr>
      </w:pPr>
      <w:r>
        <w:rPr>
          <w:rFonts w:ascii="Arial" w:hAnsi="Arial"/>
          <w:color w:val="000000"/>
          <w:sz w:val="20"/>
        </w:rPr>
        <w:t>Many of these factors are beyond our control and may decrease the market price of our common stock, regardless of whether we choose to pursue and consummate a business combination and of our current or subsequent operating performance and financial condition. In the past, following periods of volatility in the market price of a company’s securities, securities class action litigation has often been instituted. A securities class action suit against us could result in substantial costs and divert our management’s time and attention, which would otherwise be used to benefit our business.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Anti-takeover provisions in our charter documents, in our Tax Benefits Preservation Plan, and under Delaware law could make an acquisition of our company more difficult, could limit attempts to make changes in our management and could depress the price of our common stock.</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Provisions in our certificate of incorporation and bylaws may have the effect of delaying or preventing a change in control of our company or limiting changes in our management. In August 2022, Piotr Szulczewski, our founder and member of our Board of Directors until his resignation in August 2022, converted all shares of Class B common stock he held into the same number of shares of common stock. Immediately following such conversion, Mr. Szulczewski’s voting power decreased to approximately 8% of the voting power of our outstanding common stock (not including outstanding options that are immediately exercisable). Additionally, following such conversion the outstanding shares of our Class B common stock constituted less than 1% of our outstanding shares of our common stock. This resulted in all other shares of Class B common stock converting automatically into the same number of shares of common stock. Among other things, the provisions in our certificate of incorporation and bylaws provide: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 connection with the conversion noted above, our Board of Directors became classified into three classes of directors with staggered three-year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 connection with the conversion noted above, directors are now able to be removed only for cause and only by the affirmative vote of the holders of at least two-thirds of the voting power of our common stock. Vacancies on our Board of Directors will be able to be filled only by our Board of Directors and not by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certain amendments to our certificate of incorporation or bylaws will require the approval of two-thirds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authorization of the issuance of “blank check” preferred stock that our Board of Directors could use to implement a stockholder rights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 connection with the conversion noted above, our stockholders are now only able to take action at a meeting of stockholders and not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stockholders may not call special meetings of the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Board of Directors is expressly authorized to amend or repeal any provision of our bylaws;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that the forum for certain litigation against us must be Delaware or the U.S. federal district courts; and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advance notice requirements for nominations for election to our Board of Directors or for proposing matters that can be acted upon by stockholders at annual stockholder meetings. </w:t>
      </w:r>
    </w:p>
    <w:p>
      <w:pPr>
        <w:pStyle w:val="TextBody"/>
        <w:bidi w:val="0"/>
        <w:spacing w:before="180" w:after="283"/>
        <w:jc w:val="both"/>
        <w:rPr>
          <w:rFonts w:ascii="Arial" w:hAnsi="Arial"/>
          <w:color w:val="000000"/>
          <w:sz w:val="20"/>
        </w:rPr>
      </w:pPr>
      <w:r>
        <w:rPr>
          <w:rFonts w:ascii="Arial" w:hAnsi="Arial"/>
          <w:color w:val="000000"/>
          <w:sz w:val="20"/>
        </w:rPr>
        <w:t>In addition, in connection with the approval of the Asset Purchase Agreement, our Board of Directors adopted the Tax Benefits Preservation Plan in order to protect against a possible limitation on the Company’s ability to use the Company’s NOLs and certain other tax attributes to reduce potential future U.S. federal income tax obligations. The Tax Benefits Preservation Plan could result in the significant dilution of the holdings of a stockholder that acquires more than 4.9% of our common stock. Please refer to the section titled “Tax Benefits Preservation Plan and Series A Junior Participating Preferred Stock” in Note 1 of the Notes to Unaudited Condensed Consolidated Financial Statements included in Part I, Item 1, of this Quarterly Report on Form 10-Q.</w:t>
      </w:r>
    </w:p>
    <w:p>
      <w:pPr>
        <w:pStyle w:val="TextBody"/>
        <w:bidi w:val="0"/>
        <w:spacing w:before="180" w:after="283"/>
        <w:jc w:val="both"/>
        <w:rPr>
          <w:rFonts w:ascii="Arial" w:hAnsi="Arial"/>
          <w:color w:val="000000"/>
          <w:sz w:val="20"/>
        </w:rPr>
      </w:pPr>
      <w:r>
        <w:rPr>
          <w:rFonts w:ascii="Arial" w:hAnsi="Arial"/>
          <w:color w:val="000000"/>
          <w:sz w:val="20"/>
        </w:rPr>
        <w:t>The provisions described above may delay or prevent attempts by our stockholders to replace members of our management by making it more difficult for stockholders to replace members of our Board of Directors, which is responsible for appointing the members of our management. In addition, Section 203 of the Delaware General Corporation Law (the “DGCL”) may delay or prevent a change in control of our company. Section 203 imposes certain restrictions on mergers, business combinations and other transactions between us and holders of 15% or more of our common stock. Anti-takeover provisions could depress the price of our common stock by acting to delay or prevent a change in control of our company.</w:t>
      </w:r>
    </w:p>
    <w:p>
      <w:pPr>
        <w:pStyle w:val="TextBody"/>
        <w:bidi w:val="0"/>
        <w:spacing w:before="180" w:after="283"/>
        <w:jc w:val="both"/>
        <w:rPr>
          <w:rFonts w:ascii="Times New Roman" w:hAnsi="Times New Roman"/>
          <w:sz w:val="20"/>
        </w:rPr>
      </w:pPr>
      <w:r>
        <w:rPr>
          <w:rFonts w:ascii="Arial" w:hAnsi="Arial"/>
          <w:b/>
          <w:i/>
          <w:color w:val="000000"/>
          <w:sz w:val="20"/>
        </w:rPr>
        <w:t>Our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certificate of incorporation provides that the Court of Chancery of the State of Delaware and the federal district courts of the United States of America are the exclusive forum for substantially all disputes between us and our stockholders, which could limit our stockholders’ ability to obtain a favorable judicial forum for disputes with us or our directors, officers or employees. Our certificate of incorporation provides that the Court of Chancery of the State of Delaware is the exclusive forum for: (i) any derivative action or proceeding brought on behalf of us; (ii) any action asserting a claim of breach of a fiduciary duty; (iii) any action arising pursuant to any provision of the DGCL, our certificate of incorporation or bylaws (as either may be amended from time to time); (iv) any action to interpret, apply, enforce or determine the validity of our certificate of incorporation or our bylaws; or (v) any action asserting a claim against us that is governed by the internal affairs doctrine.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This provision does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further provides that the U.S. federal district courts are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These exclusive-forum provisions may limit a stockholder’s ability to bring a claim in a judicial forum that it finds favorable for disputes with us or our directors, officers, or other employees. If a court were to find either exclusive forum provision of our certificate of incorporation to be inapplicable to or unenforceable in an action, we may incur further significant additional costs associated with resolving the dispute in other jurisdictions, all of which could seriously harm our business.</w:t>
      </w:r>
    </w:p>
    <w:p>
      <w:pPr>
        <w:pStyle w:val="TextBody"/>
        <w:bidi w:val="0"/>
        <w:spacing w:before="1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bookmarkStart w:id="17" w:name="item_6_exhibits"/>
      <w:bookmarkEnd w:id="17"/>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3"/>
        <w:gridCol w:w="146"/>
        <w:gridCol w:w="9256"/>
      </w:tblGrid>
      <w:tr>
        <w:trPr/>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6" w:type="dxa"/>
            <w:tcBorders/>
            <w:vAlign w:val="center"/>
          </w:tcPr>
          <w:p>
            <w:pPr>
              <w:pStyle w:val="TableContents"/>
              <w:bidi w:val="0"/>
              <w:spacing w:before="0" w:after="283"/>
              <w:jc w:val="left"/>
              <w:rPr>
                <w:sz w:val="4"/>
                <w:szCs w:val="4"/>
              </w:rPr>
            </w:pPr>
            <w:r>
              <w:rPr>
                <w:sz w:val="4"/>
                <w:szCs w:val="4"/>
              </w:rPr>
            </w:r>
          </w:p>
        </w:tc>
      </w:tr>
      <w:tr>
        <w:trPr/>
        <w:tc>
          <w:tcPr>
            <w:tcW w:w="803"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Asset Purchase Agreement, dated February 10, 2024, by and between ContextLogic Inc., Qoo10 Inc. and Qoo10 Pte. Ltd (incorporated by reference to Exhibit 2.1 to the Company's Current Report on Form 8-K, filed with the Securities and Exchange Commission on February 12, 2024, File No. 001-39775).</w:t>
              </w:r>
            </w:hyperlink>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80"/>
                  <w:sz w:val="20"/>
                  <w:u w:val="single"/>
                </w:rPr>
                <w:t>Certificate of Designation of the Series A Junior Participating Preferred Stock of the Company, dated February 10, 2024 (incorporated by reference to Exhibit 3.1 to the Company's Registration Statement on Form 8-A, filed with the Securities and Exchange Commission on February 12, 2024, File No. 001-39775)</w:t>
              </w:r>
            </w:hyperlink>
            <w:r>
              <w:rPr>
                <w:rFonts w:ascii="Arial" w:hAnsi="Arial"/>
                <w:color w:val="0000FF"/>
                <w:sz w:val="20"/>
                <w:u w:val="single"/>
              </w:rPr>
              <w:t>.</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Tax Benefits Preservation Plan, dated February 10, 2024, by and between the Company and Equiniti Trust Company, LLC, as rights agent (which includes the Form of Rights Certificate as Exhibit B thereto) (incorporated by reference to Exhibit 4.1 to the Company's Registration Statement on Form 8-A, filed with the Securities and Exchange Commission on February 12, 2024, File No. 001-39775).</w:t>
              </w:r>
            </w:hyperlink>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Offer Letter, dated April 2, 2024 between Rishi Bajaj and ContextLogic Inc. (incorporated by reference to Exhibit 99.3 to the Company's Current Report on Form 8-K, filed with the Securities and Exchange Commission on April 3, 2024, File No. 001-39775)</w:t>
              </w:r>
            </w:hyperlink>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Offer Letter, dated April 2, 2024 between Brett Just and ContextLogic Inc. (incorporated by reference to Exhibit 99.4 to the Company's Current Report on Form 8-K, filed with the Securities and Exchange Commission on April 3, 2024, File No. 001-39775)</w:t>
              </w:r>
            </w:hyperlink>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ish-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ish-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ish-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ish-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Calculation Linkbase Document</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Definition Linkbase Document</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Label Linkbase Document</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Presentation Linkbase Document</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 Filed herewith.</w:t>
      </w:r>
    </w:p>
    <w:p>
      <w:pPr>
        <w:pStyle w:val="TextBody"/>
        <w:bidi w:val="0"/>
        <w:spacing w:before="120" w:after="283"/>
        <w:jc w:val="both"/>
        <w:rPr>
          <w:rFonts w:ascii="Arial" w:hAnsi="Arial"/>
          <w:color w:val="000000"/>
          <w:sz w:val="20"/>
        </w:rPr>
      </w:pPr>
      <w:r>
        <w:rPr>
          <w:rFonts w:ascii="Arial" w:hAnsi="Arial"/>
          <w:color w:val="000000"/>
          <w:sz w:val="20"/>
        </w:rPr>
        <w:t>** Furnished herewith.</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Schedules and exhibits to this agreement have been omitted pursuant to Item 601(b)(2) of Regulation S-K. The registrant will furnish copies of any such schedules and exhibits to the U.S. Securities and Exchange Commission upon request.</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8" w:name="signatures"/>
      <w:bookmarkEnd w:id="18"/>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7634" w:type="dxa"/>
        <w:jc w:val="left"/>
        <w:tblInd w:w="0" w:type="dxa"/>
        <w:tblLayout w:type="fixed"/>
        <w:tblCellMar>
          <w:top w:w="28" w:type="dxa"/>
          <w:left w:w="28" w:type="dxa"/>
          <w:bottom w:w="28" w:type="dxa"/>
          <w:right w:w="28" w:type="dxa"/>
        </w:tblCellMar>
      </w:tblPr>
      <w:tblGrid>
        <w:gridCol w:w="1726"/>
        <w:gridCol w:w="146"/>
        <w:gridCol w:w="406"/>
        <w:gridCol w:w="535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5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ContextLogic Inc.</w:t>
            </w:r>
            <w:r>
              <w:rPr>
                <w:rFonts w:ascii="Times New Roman" w:hAnsi="Times New Roman"/>
                <w:color w:val="000000"/>
                <w:sz w:val="20"/>
              </w:rPr>
              <w:t xml:space="preserve">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Rishi Bajaj</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Rishi Bajaj</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 Director and Chairman of the Board</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(Principal Executive Officer)</w:t>
            </w:r>
          </w:p>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Brett Just</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Brett Just</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bookmarkStart w:id="19" w:name="wish-ex31_1.htm"/>
      <w:bookmarkStart w:id="20" w:name="kswishex31_1"/>
      <w:bookmarkEnd w:id="19"/>
      <w:bookmarkEnd w:id="20"/>
      <w:r>
        <w:rPr/>
        <w:t> </w:t>
      </w:r>
      <w:r>
        <w:br w:type="page"/>
      </w:r>
    </w:p>
    <w:p>
      <w:pPr>
        <w:pStyle w:val="TextBody"/>
        <w:bidi w:val="0"/>
        <w:jc w:val="right"/>
        <w:rPr>
          <w:rFonts w:ascii="Arial" w:hAnsi="Arial"/>
          <w:b/>
          <w:color w:val="000000"/>
          <w:sz w:val="20"/>
        </w:rPr>
      </w:pPr>
      <w:r>
        <w:rPr>
          <w:rFonts w:ascii="Arial" w:hAnsi="Arial"/>
          <w:b/>
          <w:color w:val="000000"/>
          <w:sz w:val="20"/>
        </w:rPr>
        <w:t>Exhibit 31.1</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EXECUTIVE OFFICER</w:t>
      </w:r>
    </w:p>
    <w:p>
      <w:pPr>
        <w:pStyle w:val="TextBody"/>
        <w:bidi w:val="0"/>
        <w:jc w:val="center"/>
        <w:rPr>
          <w:rFonts w:ascii="Arial" w:hAnsi="Arial"/>
          <w:b/>
          <w:color w:val="000000"/>
          <w:sz w:val="20"/>
        </w:rPr>
      </w:pPr>
      <w:r>
        <w:rPr>
          <w:rFonts w:ascii="Arial" w:hAnsi="Arial"/>
          <w:b/>
          <w:color w:val="000000"/>
          <w:sz w:val="20"/>
        </w:rPr>
        <w:t>PURSUANT TO SECTION 302 OF THE SARBANES-OXLEY ACT OF 2002</w:t>
      </w:r>
    </w:p>
    <w:p>
      <w:pPr>
        <w:pStyle w:val="TextBody"/>
        <w:bidi w:val="0"/>
        <w:spacing w:before="120" w:after="283"/>
        <w:jc w:val="left"/>
        <w:rPr>
          <w:rFonts w:ascii="Arial" w:hAnsi="Arial"/>
          <w:color w:val="000000"/>
          <w:sz w:val="20"/>
        </w:rPr>
      </w:pPr>
      <w:r>
        <w:rPr>
          <w:rFonts w:ascii="Arial" w:hAnsi="Arial"/>
          <w:color w:val="000000"/>
          <w:sz w:val="20"/>
        </w:rPr>
        <w:t>I, Rishi Bajaj, certify that:</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I have reviewed this Quarterly Report on Form 10-Q of ContextLogic Inc.;</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634" w:type="dxa"/>
        <w:jc w:val="left"/>
        <w:tblInd w:w="0" w:type="dxa"/>
        <w:tblLayout w:type="fixed"/>
        <w:tblCellMar>
          <w:top w:w="28" w:type="dxa"/>
          <w:left w:w="28" w:type="dxa"/>
          <w:bottom w:w="28" w:type="dxa"/>
          <w:right w:w="28" w:type="dxa"/>
        </w:tblCellMar>
      </w:tblPr>
      <w:tblGrid>
        <w:gridCol w:w="1726"/>
        <w:gridCol w:w="146"/>
        <w:gridCol w:w="406"/>
        <w:gridCol w:w="535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5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Date: May 8,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Rishi Bajaj</w:t>
            </w:r>
          </w:p>
        </w:tc>
      </w:tr>
      <w:tr>
        <w:trPr/>
        <w:tc>
          <w:tcPr>
            <w:tcW w:w="17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5356" w:type="dxa"/>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Rishi Bajaj</w:t>
            </w:r>
          </w:p>
        </w:tc>
      </w:tr>
      <w:tr>
        <w:trPr/>
        <w:tc>
          <w:tcPr>
            <w:tcW w:w="17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535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 Director and Chairman of the Board</w:t>
            </w:r>
          </w:p>
        </w:tc>
      </w:tr>
      <w:tr>
        <w:trPr/>
        <w:tc>
          <w:tcPr>
            <w:tcW w:w="1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535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wish-ex31_2.htm"/>
      <w:bookmarkStart w:id="22" w:name="kswishex31_2"/>
      <w:bookmarkEnd w:id="21"/>
      <w:bookmarkEnd w:id="22"/>
      <w:r>
        <w:rPr/>
        <w:t> </w:t>
      </w:r>
      <w:r>
        <w:br w:type="page"/>
      </w:r>
    </w:p>
    <w:p>
      <w:pPr>
        <w:pStyle w:val="TextBody"/>
        <w:bidi w:val="0"/>
        <w:jc w:val="right"/>
        <w:rPr>
          <w:rFonts w:ascii="Arial" w:hAnsi="Arial"/>
          <w:b/>
          <w:color w:val="000000"/>
          <w:sz w:val="20"/>
        </w:rPr>
      </w:pPr>
      <w:r>
        <w:rPr>
          <w:rFonts w:ascii="Arial" w:hAnsi="Arial"/>
          <w:b/>
          <w:color w:val="000000"/>
          <w:sz w:val="20"/>
        </w:rPr>
        <w:t>Exhibit 31.2</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FINANCIAL OFFICER</w:t>
      </w:r>
    </w:p>
    <w:p>
      <w:pPr>
        <w:pStyle w:val="TextBody"/>
        <w:bidi w:val="0"/>
        <w:jc w:val="center"/>
        <w:rPr>
          <w:rFonts w:ascii="Arial" w:hAnsi="Arial"/>
          <w:b/>
          <w:color w:val="000000"/>
          <w:sz w:val="20"/>
        </w:rPr>
      </w:pPr>
      <w:r>
        <w:rPr>
          <w:rFonts w:ascii="Arial" w:hAnsi="Arial"/>
          <w:b/>
          <w:color w:val="000000"/>
          <w:sz w:val="20"/>
        </w:rPr>
        <w:t>PURSUANT TO SECTION 302 OF THE SARBANES-OXLEY ACT OF 2002</w:t>
      </w:r>
    </w:p>
    <w:p>
      <w:pPr>
        <w:pStyle w:val="TextBody"/>
        <w:bidi w:val="0"/>
        <w:spacing w:before="120" w:after="283"/>
        <w:jc w:val="left"/>
        <w:rPr>
          <w:rFonts w:ascii="Arial" w:hAnsi="Arial"/>
          <w:color w:val="000000"/>
          <w:sz w:val="20"/>
        </w:rPr>
      </w:pPr>
      <w:r>
        <w:rPr>
          <w:rFonts w:ascii="Arial" w:hAnsi="Arial"/>
          <w:color w:val="000000"/>
          <w:sz w:val="20"/>
        </w:rPr>
        <w:t>I, Brett Just, certify that:</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I have reviewed this Quarterly Report on Form 10-Q of ContextLogic Inc.;</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84" w:type="dxa"/>
        <w:jc w:val="left"/>
        <w:tblInd w:w="0" w:type="dxa"/>
        <w:tblLayout w:type="fixed"/>
        <w:tblCellMar>
          <w:top w:w="28" w:type="dxa"/>
          <w:left w:w="28" w:type="dxa"/>
          <w:bottom w:w="28" w:type="dxa"/>
          <w:right w:w="28" w:type="dxa"/>
        </w:tblCellMar>
      </w:tblPr>
      <w:tblGrid>
        <w:gridCol w:w="1726"/>
        <w:gridCol w:w="146"/>
        <w:gridCol w:w="406"/>
        <w:gridCol w:w="250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Date: May 8,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Brett Just</w:t>
            </w:r>
          </w:p>
        </w:tc>
      </w:tr>
      <w:tr>
        <w:trPr/>
        <w:tc>
          <w:tcPr>
            <w:tcW w:w="17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06" w:type="dxa"/>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Brett Just</w:t>
            </w:r>
          </w:p>
        </w:tc>
      </w:tr>
      <w:tr>
        <w:trPr/>
        <w:tc>
          <w:tcPr>
            <w:tcW w:w="17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0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1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250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wish-ex32_1.htm"/>
      <w:bookmarkStart w:id="24" w:name="kswishex32_1"/>
      <w:bookmarkEnd w:id="23"/>
      <w:bookmarkEnd w:id="24"/>
      <w:r>
        <w:rPr/>
        <w:t> </w:t>
      </w:r>
      <w:r>
        <w:br w:type="page"/>
      </w:r>
    </w:p>
    <w:p>
      <w:pPr>
        <w:pStyle w:val="TextBody"/>
        <w:bidi w:val="0"/>
        <w:jc w:val="right"/>
        <w:rPr>
          <w:rFonts w:ascii="Arial" w:hAnsi="Arial"/>
          <w:b/>
          <w:color w:val="000000"/>
          <w:sz w:val="20"/>
        </w:rPr>
      </w:pPr>
      <w:r>
        <w:rPr>
          <w:rFonts w:ascii="Arial" w:hAnsi="Arial"/>
          <w:b/>
          <w:color w:val="000000"/>
          <w:sz w:val="20"/>
        </w:rPr>
        <w:t>Exhibit 32.1</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EXECUTIVE OFFICER</w:t>
      </w:r>
    </w:p>
    <w:p>
      <w:pPr>
        <w:pStyle w:val="TextBody"/>
        <w:bidi w:val="0"/>
        <w:jc w:val="center"/>
        <w:rPr>
          <w:rFonts w:ascii="Arial" w:hAnsi="Arial"/>
          <w:b/>
          <w:color w:val="000000"/>
          <w:sz w:val="20"/>
        </w:rPr>
      </w:pPr>
      <w:r>
        <w:rPr>
          <w:rFonts w:ascii="Arial" w:hAnsi="Arial"/>
          <w:b/>
          <w:color w:val="000000"/>
          <w:sz w:val="20"/>
        </w:rPr>
        <w:t>PURSUANT TO 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of ContextLogic Inc. (the “Company”) on Form 10-Q for the period ended March 31,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7634" w:type="dxa"/>
        <w:jc w:val="left"/>
        <w:tblInd w:w="0" w:type="dxa"/>
        <w:tblLayout w:type="fixed"/>
        <w:tblCellMar>
          <w:top w:w="28" w:type="dxa"/>
          <w:left w:w="28" w:type="dxa"/>
          <w:bottom w:w="28" w:type="dxa"/>
          <w:right w:w="28" w:type="dxa"/>
        </w:tblCellMar>
      </w:tblPr>
      <w:tblGrid>
        <w:gridCol w:w="1726"/>
        <w:gridCol w:w="146"/>
        <w:gridCol w:w="406"/>
        <w:gridCol w:w="535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5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Rishi Bajaj</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Rishi Bajaj</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 Director and Chairman of the Board</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wish-ex32_2.htm"/>
      <w:bookmarkStart w:id="26" w:name="kswishex32_2"/>
      <w:bookmarkEnd w:id="25"/>
      <w:bookmarkEnd w:id="26"/>
      <w:r>
        <w:rPr/>
        <w:t> </w:t>
      </w:r>
      <w:r>
        <w:br w:type="page"/>
      </w:r>
    </w:p>
    <w:p>
      <w:pPr>
        <w:pStyle w:val="TextBody"/>
        <w:bidi w:val="0"/>
        <w:jc w:val="right"/>
        <w:rPr>
          <w:rFonts w:ascii="Arial" w:hAnsi="Arial"/>
          <w:b/>
          <w:color w:val="000000"/>
          <w:sz w:val="20"/>
        </w:rPr>
      </w:pPr>
      <w:r>
        <w:rPr>
          <w:rFonts w:ascii="Arial" w:hAnsi="Arial"/>
          <w:b/>
          <w:color w:val="000000"/>
          <w:sz w:val="20"/>
        </w:rPr>
        <w:t>Exhibit 32.2</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FINANCIAL OFFICER</w:t>
      </w:r>
    </w:p>
    <w:p>
      <w:pPr>
        <w:pStyle w:val="TextBody"/>
        <w:bidi w:val="0"/>
        <w:jc w:val="center"/>
        <w:rPr>
          <w:rFonts w:ascii="Arial" w:hAnsi="Arial"/>
          <w:b/>
          <w:color w:val="000000"/>
          <w:sz w:val="20"/>
        </w:rPr>
      </w:pPr>
      <w:r>
        <w:rPr>
          <w:rFonts w:ascii="Arial" w:hAnsi="Arial"/>
          <w:b/>
          <w:color w:val="000000"/>
          <w:sz w:val="20"/>
        </w:rPr>
        <w:t>PURSUANT TO 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of ContextLogic Inc. (the “Company”) on Form 10-Q for the period ended March 31,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84" w:type="dxa"/>
        <w:jc w:val="left"/>
        <w:tblInd w:w="0" w:type="dxa"/>
        <w:tblLayout w:type="fixed"/>
        <w:tblCellMar>
          <w:top w:w="28" w:type="dxa"/>
          <w:left w:w="28" w:type="dxa"/>
          <w:bottom w:w="28" w:type="dxa"/>
          <w:right w:w="28" w:type="dxa"/>
        </w:tblCellMar>
      </w:tblPr>
      <w:tblGrid>
        <w:gridCol w:w="1726"/>
        <w:gridCol w:w="146"/>
        <w:gridCol w:w="406"/>
        <w:gridCol w:w="250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Brett Just</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Brett Just</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22250/000121390024012273/ea193410-8k_contextlogic.htm" TargetMode="External"/><Relationship Id="rId3" Type="http://schemas.openxmlformats.org/officeDocument/2006/relationships/hyperlink" Target="https://www.sec.gov/Archives/edgar/data/1822250/000121390024012296/ea193404ex3-1_contextlogic.htm" TargetMode="External"/><Relationship Id="rId4" Type="http://schemas.openxmlformats.org/officeDocument/2006/relationships/hyperlink" Target="https://www.sec.gov/Archives/edgar/data/1822250/000121390024012296/ea193404ex4-1_contextlogic.htm" TargetMode="External"/><Relationship Id="rId5" Type="http://schemas.openxmlformats.org/officeDocument/2006/relationships/hyperlink" Target="https://www.sec.gov/ix?doc=/Archives/edgar/data/0001822250/000121390024029512/ea0203175-8k_context.htm" TargetMode="External"/><Relationship Id="rId6" Type="http://schemas.openxmlformats.org/officeDocument/2006/relationships/hyperlink" Target="https://www.sec.gov/ix?doc=/Archives/edgar/data/0001822250/000121390024029512/ea0203175-8k_context.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26255</Words>
  <Characters>141805</Characters>
  <CharactersWithSpaces>168658</CharactersWithSpaces>
  <Paragraphs>4610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