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ContextLogic Holdings Inc.</w:t>
      </w:r>
    </w:p>
    <w:p>
      <w:pPr>
        <w:spacing w:after="0" w:line="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1060" w:type="dxa"/>
        <w:tblCellMar>
          <w:top w:w="0" w:type="dxa"/>
          <w:left w:w="0" w:type="dxa"/>
          <w:bottom w:w="0" w:type="dxa"/>
          <w:right w:w="0" w:type="dxa"/>
        </w:tblCellMar>
      </w:tblPr>
      <w:tr>
        <w:trPr>
          <w:trHeight w:val="222"/>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000-56773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27-2930953</w:t>
            </w:r>
          </w:p>
        </w:tc>
      </w:tr>
      <w:tr>
        <w:trPr>
          <w:trHeight w:val="14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2648 International Blvd., Ste 301</w:t>
            </w:r>
          </w:p>
        </w:tc>
        <w:tc>
          <w:tcPr>
            <w:tcW w:w="32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Oakland, California</w:t>
            </w:r>
          </w:p>
        </w:tc>
        <w:tc>
          <w:tcPr>
            <w:tcW w:w="32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94601</w:t>
            </w:r>
          </w:p>
        </w:tc>
      </w:tr>
      <w:tr>
        <w:trPr>
          <w:trHeight w:val="17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965-8476</w:t>
      </w:r>
    </w:p>
    <w:p>
      <w:pPr>
        <w:spacing w:after="0" w:line="38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100"/>
          </w:cols>
          <w:pgMar w:left="320" w:top="956"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Common Stock, $0.0001 par value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171" w:lineRule="exact"/>
        <w:rPr>
          <w:sz w:val="24"/>
          <w:szCs w:val="24"/>
          <w:color w:val="auto"/>
        </w:rPr>
      </w:pPr>
    </w:p>
    <w:p>
      <w:pPr>
        <w:ind w:left="980"/>
        <w:spacing w:after="0"/>
        <w:tabs>
          <w:tab w:leader="none" w:pos="388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1460"/>
        <w:spacing w:after="0"/>
        <w:tabs>
          <w:tab w:leader="none" w:pos="5240" w:val="left"/>
        </w:tabs>
        <w:rPr>
          <w:sz w:val="20"/>
          <w:szCs w:val="20"/>
          <w:color w:val="auto"/>
        </w:rPr>
      </w:pPr>
      <w:r>
        <w:rPr>
          <w:rFonts w:ascii="Times New Roman" w:cs="Times New Roman" w:eastAsia="Times New Roman" w:hAnsi="Times New Roman"/>
          <w:sz w:val="18"/>
          <w:szCs w:val="18"/>
          <w:color w:val="auto"/>
        </w:rPr>
        <w:t>LOGC</w:t>
      </w:r>
      <w:r>
        <w:rPr>
          <w:sz w:val="20"/>
          <w:szCs w:val="20"/>
          <w:color w:val="auto"/>
        </w:rPr>
        <w:tab/>
      </w:r>
      <w:r>
        <w:rPr>
          <w:rFonts w:ascii="Times New Roman" w:cs="Times New Roman" w:eastAsia="Times New Roman" w:hAnsi="Times New Roman"/>
          <w:sz w:val="18"/>
          <w:szCs w:val="18"/>
          <w:color w:val="auto"/>
        </w:rPr>
        <w:t>OTCQB</w:t>
      </w:r>
    </w:p>
    <w:p>
      <w:pPr>
        <w:spacing w:after="0" w:line="200" w:lineRule="exact"/>
        <w:rPr>
          <w:sz w:val="24"/>
          <w:szCs w:val="24"/>
          <w:color w:val="auto"/>
        </w:rPr>
      </w:pPr>
    </w:p>
    <w:p>
      <w:pPr>
        <w:sectPr>
          <w:pgSz w:w="11900" w:h="16838" w:orient="portrait"/>
          <w:cols w:equalWidth="0" w:num="2">
            <w:col w:w="3000" w:space="420"/>
            <w:col w:w="7680"/>
          </w:cols>
          <w:pgMar w:left="320" w:top="956" w:right="479" w:bottom="1440" w:gutter="0" w:footer="0" w:header="0"/>
          <w:type w:val="continuous"/>
        </w:sectPr>
      </w:pPr>
    </w:p>
    <w:p>
      <w:pPr>
        <w:spacing w:after="0" w:line="7"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5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right="220" w:firstLine="599"/>
        <w:spacing w:after="0" w:line="261" w:lineRule="auto"/>
        <w:rPr>
          <w:sz w:val="20"/>
          <w:szCs w:val="20"/>
          <w:color w:val="auto"/>
        </w:rPr>
      </w:pPr>
      <w:r>
        <w:rPr>
          <w:rFonts w:ascii="Times New Roman" w:cs="Times New Roman" w:eastAsia="Times New Roman" w:hAnsi="Times New Roman"/>
          <w:sz w:val="18"/>
          <w:szCs w:val="18"/>
          <w:color w:val="auto"/>
        </w:rPr>
        <w:t>On June 11, 2026, ContextLogic Holdings Inc. (the “Company”) held its 2026 Annual Meeting of Stockholders (the “Annual Meeting”). At the Annual Meeting, the Company’s stockholders voted on five proposals, each of which is described in more detail in the Company’s amended and restated definitive proxy statement on Schedule 14A filed with the U.S. Securities and Exchange Commission (the “SEC”) on April 28, 2026. The following is a brief description of each matter voted upon and the final voting results for each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Stockholders approved an amendment to the Company’s Certificate of Incorporation to waive corporate opportunities (the “Corporate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Opportunities Proposal”). The voting results were as follows:</w:t>
      </w:r>
    </w:p>
    <w:p>
      <w:pPr>
        <w:sectPr>
          <w:pgSz w:w="11900" w:h="16838" w:orient="portrait"/>
          <w:cols w:equalWidth="0" w:num="1">
            <w:col w:w="11240"/>
          </w:cols>
          <w:pgMar w:left="320" w:top="1305" w:right="339" w:bottom="1440" w:gutter="0" w:footer="0" w:header="0"/>
        </w:sectPr>
      </w:pPr>
    </w:p>
    <w:p>
      <w:pPr>
        <w:spacing w:after="0" w:line="2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Votes For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Votes Against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Abstentions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42" w:lineRule="exact"/>
        <w:rPr>
          <w:sz w:val="20"/>
          <w:szCs w:val="20"/>
          <w:color w:val="auto"/>
        </w:rPr>
      </w:pPr>
    </w:p>
    <w:p>
      <w:pPr>
        <w:sectPr>
          <w:pgSz w:w="11900" w:h="16838" w:orient="portrait"/>
          <w:cols w:equalWidth="0" w:num="4">
            <w:col w:w="3200" w:space="720"/>
            <w:col w:w="1720" w:space="720"/>
            <w:col w:w="1380" w:space="720"/>
            <w:col w:w="2780"/>
          </w:cols>
          <w:pgMar w:left="320" w:top="1305" w:right="339" w:bottom="1440" w:gutter="0" w:footer="0" w:header="0"/>
          <w:type w:val="continuous"/>
        </w:sectPr>
      </w:pPr>
    </w:p>
    <w:p>
      <w:pPr>
        <w:jc w:val="center"/>
        <w:ind w:left="800"/>
        <w:spacing w:after="0"/>
        <w:rPr>
          <w:sz w:val="20"/>
          <w:szCs w:val="20"/>
          <w:color w:val="auto"/>
        </w:rPr>
      </w:pPr>
      <w:r>
        <w:rPr>
          <w:rFonts w:ascii="Times New Roman" w:cs="Times New Roman" w:eastAsia="Times New Roman" w:hAnsi="Times New Roman"/>
          <w:sz w:val="18"/>
          <w:szCs w:val="18"/>
          <w:color w:val="auto"/>
        </w:rPr>
        <w:t>27,962,975</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Times New Roman" w:cs="Times New Roman" w:eastAsia="Times New Roman" w:hAnsi="Times New Roman"/>
          <w:sz w:val="17"/>
          <w:szCs w:val="17"/>
          <w:color w:val="auto"/>
        </w:rPr>
        <w:t>1,529,295</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Times New Roman" w:cs="Times New Roman" w:eastAsia="Times New Roman" w:hAnsi="Times New Roman"/>
          <w:sz w:val="18"/>
          <w:szCs w:val="18"/>
          <w:color w:val="auto"/>
        </w:rPr>
        <w:t>21,510</w:t>
      </w:r>
    </w:p>
    <w:p>
      <w:pPr>
        <w:spacing w:after="0" w:line="20" w:lineRule="exact"/>
        <w:rPr>
          <w:sz w:val="20"/>
          <w:szCs w:val="20"/>
          <w:color w:val="auto"/>
        </w:rPr>
      </w:pPr>
      <w:r>
        <w:rPr>
          <w:sz w:val="20"/>
          <w:szCs w:val="20"/>
          <w:color w:val="auto"/>
        </w:rPr>
        <w:br w:type="column"/>
      </w:r>
    </w:p>
    <w:p>
      <w:pPr>
        <w:jc w:val="center"/>
        <w:ind w:right="1720"/>
        <w:spacing w:after="0"/>
        <w:rPr>
          <w:sz w:val="20"/>
          <w:szCs w:val="20"/>
          <w:color w:val="auto"/>
        </w:rPr>
      </w:pPr>
      <w:r>
        <w:rPr>
          <w:rFonts w:ascii="Times New Roman" w:cs="Times New Roman" w:eastAsia="Times New Roman" w:hAnsi="Times New Roman"/>
          <w:sz w:val="18"/>
          <w:szCs w:val="18"/>
          <w:color w:val="auto"/>
        </w:rPr>
        <w:t>8,184,614</w:t>
      </w:r>
    </w:p>
    <w:p>
      <w:pPr>
        <w:spacing w:after="0" w:line="200" w:lineRule="exact"/>
        <w:rPr>
          <w:sz w:val="20"/>
          <w:szCs w:val="20"/>
          <w:color w:val="auto"/>
        </w:rPr>
      </w:pPr>
    </w:p>
    <w:p>
      <w:pPr>
        <w:sectPr>
          <w:pgSz w:w="11900" w:h="16838" w:orient="portrait"/>
          <w:cols w:equalWidth="0" w:num="4">
            <w:col w:w="3380" w:space="720"/>
            <w:col w:w="1740" w:space="720"/>
            <w:col w:w="1520" w:space="720"/>
            <w:col w:w="2440"/>
          </w:cols>
          <w:pgMar w:left="320" w:top="1305" w:right="339" w:bottom="1440" w:gutter="0" w:footer="0" w:header="0"/>
          <w:type w:val="continuous"/>
        </w:sectPr>
      </w:pPr>
    </w:p>
    <w:p>
      <w:pPr>
        <w:spacing w:after="0" w:line="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two (2) Class I directors proposed by the Company were elected to serve until the Company’s 2029 annual meeting of stockholders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his respective successor has been duly elected and qualified. The voting results were as follows: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233"/>
        </w:trPr>
        <w:tc>
          <w:tcPr>
            <w:tcW w:w="1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Director Name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9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43"/>
        </w:trPr>
        <w:tc>
          <w:tcPr>
            <w:tcW w:w="18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Raja Bobbili</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29,259,720</w:t>
            </w:r>
          </w:p>
        </w:tc>
        <w:tc>
          <w:tcPr>
            <w:tcW w:w="24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254,060</w:t>
            </w:r>
          </w:p>
        </w:tc>
        <w:tc>
          <w:tcPr>
            <w:tcW w:w="19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8,184,614</w:t>
            </w:r>
          </w:p>
        </w:tc>
      </w:tr>
      <w:tr>
        <w:trPr>
          <w:trHeight w:val="248"/>
        </w:trPr>
        <w:tc>
          <w:tcPr>
            <w:tcW w:w="18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Mark Ward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27,774,273</w:t>
            </w:r>
          </w:p>
        </w:tc>
        <w:tc>
          <w:tcPr>
            <w:tcW w:w="24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1,739,507</w:t>
            </w:r>
          </w:p>
        </w:tc>
        <w:tc>
          <w:tcPr>
            <w:tcW w:w="19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8,184,614</w:t>
            </w:r>
          </w:p>
        </w:tc>
      </w:tr>
    </w:tbl>
    <w:p>
      <w:pPr>
        <w:spacing w:after="0" w:line="20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Stockholders ratified the appointment of Deloitte &amp; Touche LLP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 The voting results were as follows:</w:t>
      </w:r>
    </w:p>
    <w:p>
      <w:pPr>
        <w:sectPr>
          <w:pgSz w:w="11900" w:h="16838" w:orient="portrait"/>
          <w:cols w:equalWidth="0" w:num="1">
            <w:col w:w="11240"/>
          </w:cols>
          <w:pgMar w:left="320" w:top="1305" w:right="339" w:bottom="1440" w:gutter="0" w:footer="0" w:header="0"/>
          <w:type w:val="continuous"/>
        </w:sectPr>
      </w:pPr>
    </w:p>
    <w:p>
      <w:pPr>
        <w:spacing w:after="0" w:line="19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Votes For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Votes Against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Abstentions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42" w:lineRule="exact"/>
        <w:rPr>
          <w:sz w:val="20"/>
          <w:szCs w:val="20"/>
          <w:color w:val="auto"/>
        </w:rPr>
      </w:pPr>
    </w:p>
    <w:p>
      <w:pPr>
        <w:sectPr>
          <w:pgSz w:w="11900" w:h="16838" w:orient="portrait"/>
          <w:cols w:equalWidth="0" w:num="4">
            <w:col w:w="3200" w:space="720"/>
            <w:col w:w="1720" w:space="720"/>
            <w:col w:w="1380" w:space="720"/>
            <w:col w:w="2780"/>
          </w:cols>
          <w:pgMar w:left="320" w:top="1305" w:right="339" w:bottom="144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8"/>
          <w:szCs w:val="18"/>
          <w:color w:val="auto"/>
        </w:rPr>
        <w:t>37,187,233</w:t>
      </w:r>
    </w:p>
    <w:p>
      <w:pPr>
        <w:spacing w:after="0" w:line="20" w:lineRule="exact"/>
        <w:rPr>
          <w:sz w:val="20"/>
          <w:szCs w:val="20"/>
          <w:color w:val="auto"/>
        </w:rPr>
      </w:pPr>
      <w:r>
        <w:rPr>
          <w:sz w:val="20"/>
          <w:szCs w:val="20"/>
          <w:color w:val="auto"/>
        </w:rPr>
        <w:br w:type="column"/>
      </w:r>
    </w:p>
    <w:p>
      <w:pPr>
        <w:jc w:val="center"/>
        <w:ind w:right="1100"/>
        <w:spacing w:after="0"/>
        <w:rPr>
          <w:sz w:val="20"/>
          <w:szCs w:val="20"/>
          <w:color w:val="auto"/>
        </w:rPr>
      </w:pPr>
      <w:r>
        <w:rPr>
          <w:rFonts w:ascii="Times New Roman" w:cs="Times New Roman" w:eastAsia="Times New Roman" w:hAnsi="Times New Roman"/>
          <w:sz w:val="17"/>
          <w:szCs w:val="17"/>
          <w:color w:val="auto"/>
        </w:rPr>
        <w:t>460,418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50,743</w:t>
      </w:r>
    </w:p>
    <w:p>
      <w:pPr>
        <w:spacing w:after="0" w:line="20" w:lineRule="exact"/>
        <w:rPr>
          <w:sz w:val="20"/>
          <w:szCs w:val="20"/>
          <w:color w:val="auto"/>
        </w:rPr>
      </w:pPr>
      <w:r>
        <w:rPr>
          <w:sz w:val="20"/>
          <w:szCs w:val="20"/>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3440" w:space="720"/>
            <w:col w:w="1680" w:space="720"/>
            <w:col w:w="1840" w:space="720"/>
            <w:col w:w="2120"/>
          </w:cols>
          <w:pgMar w:left="320" w:top="1305" w:right="339" w:bottom="1440" w:gutter="0" w:footer="0" w:header="0"/>
          <w:type w:val="continuous"/>
        </w:sectPr>
      </w:pPr>
    </w:p>
    <w:p>
      <w:pPr>
        <w:spacing w:after="0" w:line="3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Stockholders approved, on an advisory basis, the compensation of the Company’s named executive officers for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voting results were as follows:</w:t>
      </w:r>
    </w:p>
    <w:p>
      <w:pPr>
        <w:sectPr>
          <w:pgSz w:w="11900" w:h="16838" w:orient="portrait"/>
          <w:cols w:equalWidth="0" w:num="1">
            <w:col w:w="11240"/>
          </w:cols>
          <w:pgMar w:left="320" w:top="1305" w:right="339" w:bottom="1440" w:gutter="0" w:footer="0" w:header="0"/>
          <w:type w:val="continuous"/>
        </w:sectPr>
      </w:pPr>
    </w:p>
    <w:p>
      <w:pPr>
        <w:spacing w:after="0" w:line="19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Votes For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Votes Against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Abstentions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42" w:lineRule="exact"/>
        <w:rPr>
          <w:sz w:val="20"/>
          <w:szCs w:val="20"/>
          <w:color w:val="auto"/>
        </w:rPr>
      </w:pPr>
    </w:p>
    <w:p>
      <w:pPr>
        <w:sectPr>
          <w:pgSz w:w="11900" w:h="16838" w:orient="portrait"/>
          <w:cols w:equalWidth="0" w:num="4">
            <w:col w:w="3200" w:space="720"/>
            <w:col w:w="1720" w:space="720"/>
            <w:col w:w="1380" w:space="720"/>
            <w:col w:w="2780"/>
          </w:cols>
          <w:pgMar w:left="320" w:top="1305" w:right="339" w:bottom="1440" w:gutter="0" w:footer="0" w:header="0"/>
          <w:type w:val="continuous"/>
        </w:sectPr>
      </w:pPr>
    </w:p>
    <w:p>
      <w:pPr>
        <w:spacing w:after="0" w:line="9"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7"/>
          <w:szCs w:val="17"/>
          <w:color w:val="auto"/>
        </w:rPr>
        <w:t>27,555,870</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Times New Roman" w:cs="Times New Roman" w:eastAsia="Times New Roman" w:hAnsi="Times New Roman"/>
          <w:sz w:val="17"/>
          <w:szCs w:val="17"/>
          <w:color w:val="auto"/>
        </w:rPr>
        <w:t>1,942,230</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Times New Roman" w:cs="Times New Roman" w:eastAsia="Times New Roman" w:hAnsi="Times New Roman"/>
          <w:sz w:val="18"/>
          <w:szCs w:val="18"/>
          <w:color w:val="auto"/>
        </w:rPr>
        <w:t>15,680</w:t>
      </w:r>
    </w:p>
    <w:p>
      <w:pPr>
        <w:spacing w:after="0" w:line="20" w:lineRule="exact"/>
        <w:rPr>
          <w:sz w:val="20"/>
          <w:szCs w:val="20"/>
          <w:color w:val="auto"/>
        </w:rPr>
      </w:pPr>
      <w:r>
        <w:rPr>
          <w:sz w:val="20"/>
          <w:szCs w:val="20"/>
          <w:color w:val="auto"/>
        </w:rPr>
        <w:br w:type="column"/>
      </w:r>
    </w:p>
    <w:p>
      <w:pPr>
        <w:jc w:val="center"/>
        <w:ind w:right="1720"/>
        <w:spacing w:after="0"/>
        <w:rPr>
          <w:sz w:val="20"/>
          <w:szCs w:val="20"/>
          <w:color w:val="auto"/>
        </w:rPr>
      </w:pPr>
      <w:r>
        <w:rPr>
          <w:rFonts w:ascii="Times New Roman" w:cs="Times New Roman" w:eastAsia="Times New Roman" w:hAnsi="Times New Roman"/>
          <w:sz w:val="18"/>
          <w:szCs w:val="18"/>
          <w:color w:val="auto"/>
        </w:rPr>
        <w:t>8,184,614</w:t>
      </w:r>
    </w:p>
    <w:p>
      <w:pPr>
        <w:spacing w:after="0" w:line="200" w:lineRule="exact"/>
        <w:rPr>
          <w:sz w:val="20"/>
          <w:szCs w:val="20"/>
          <w:color w:val="auto"/>
        </w:rPr>
      </w:pPr>
    </w:p>
    <w:p>
      <w:pPr>
        <w:sectPr>
          <w:pgSz w:w="11900" w:h="16838" w:orient="portrait"/>
          <w:cols w:equalWidth="0" w:num="4">
            <w:col w:w="3380" w:space="720"/>
            <w:col w:w="1740" w:space="720"/>
            <w:col w:w="1520" w:space="720"/>
            <w:col w:w="2440"/>
          </w:cols>
          <w:pgMar w:left="320" w:top="1305"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Stockholders approved a proposal to adjourn the annual meeting, if necessary. The voting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2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34"/>
        </w:trPr>
        <w:tc>
          <w:tcPr>
            <w:tcW w:w="32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27,970,715</w:t>
            </w:r>
          </w:p>
        </w:tc>
        <w:tc>
          <w:tcPr>
            <w:tcW w:w="24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1,525,592</w:t>
            </w:r>
          </w:p>
        </w:tc>
        <w:tc>
          <w:tcPr>
            <w:tcW w:w="2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17,473</w:t>
            </w:r>
          </w:p>
        </w:tc>
        <w:tc>
          <w:tcPr>
            <w:tcW w:w="338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8,184,614</w:t>
            </w:r>
          </w:p>
        </w:tc>
      </w:tr>
      <w:tr>
        <w:trPr>
          <w:trHeight w:val="1424"/>
        </w:trPr>
        <w:tc>
          <w:tcPr>
            <w:tcW w:w="32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ContextLogic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16, 2026</w:t>
      </w:r>
      <w:r>
        <w:rPr>
          <w:sz w:val="20"/>
          <w:szCs w:val="20"/>
          <w:color w:val="auto"/>
        </w:rPr>
        <w:tab/>
      </w:r>
      <w:r>
        <w:rPr>
          <w:rFonts w:ascii="Times New Roman" w:cs="Times New Roman" w:eastAsia="Times New Roman" w:hAnsi="Times New Roman"/>
          <w:sz w:val="18"/>
          <w:szCs w:val="18"/>
          <w:color w:val="auto"/>
        </w:rPr>
        <w:t>By:</w:t>
        <w:tab/>
        <w:t>/s/ Mark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Ward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81" w:right="7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2026-06-16T15:33:27Z</dcterms:created>
  <dcterms:modified xsi:type="dcterms:W3CDTF">2026-06-16T15:33:27Z</dcterms:modified>
</cp:coreProperties>
</file>