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9" w:lineRule="exact"/>
        <w:rPr>
          <w:sz w:val="24"/>
          <w:szCs w:val="24"/>
          <w:color w:val="auto"/>
        </w:rPr>
      </w:pPr>
    </w:p>
    <w:p>
      <w:pPr>
        <w:ind w:left="3700" w:right="1520" w:hanging="3679"/>
        <w:spacing w:after="0" w:line="324"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680" w:right="1520" w:hanging="3659"/>
        <w:spacing w:after="0" w:line="297" w:lineRule="auto"/>
        <w:tabs>
          <w:tab w:leader="none" w:pos="50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______</w:t>
      </w:r>
    </w:p>
    <w:p>
      <w:pPr>
        <w:ind w:left="41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6"/>
          <w:szCs w:val="16"/>
          <w:b w:val="1"/>
          <w:bCs w:val="1"/>
          <w:color w:val="auto"/>
        </w:rPr>
        <w:t>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ContextLogic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21"/>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Delaware</w:t>
            </w:r>
          </w:p>
        </w:tc>
        <w:tc>
          <w:tcPr>
            <w:tcW w:w="30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r>
      <w:tr>
        <w:trPr>
          <w:trHeight w:val="162"/>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Identification No.)</w:t>
            </w:r>
          </w:p>
        </w:tc>
      </w:tr>
      <w:tr>
        <w:trPr>
          <w:trHeight w:val="240"/>
        </w:trPr>
        <w:tc>
          <w:tcPr>
            <w:tcW w:w="4520" w:type="dxa"/>
            <w:vAlign w:val="bottom"/>
          </w:tcPr>
          <w:p>
            <w:pPr>
              <w:jc w:val="center"/>
              <w:ind w:right="1784"/>
              <w:spacing w:after="0"/>
              <w:rPr>
                <w:sz w:val="20"/>
                <w:szCs w:val="20"/>
                <w:color w:val="auto"/>
              </w:rPr>
            </w:pPr>
            <w:r>
              <w:rPr>
                <w:rFonts w:ascii="Arial" w:cs="Arial" w:eastAsia="Arial" w:hAnsi="Arial"/>
                <w:sz w:val="16"/>
                <w:szCs w:val="16"/>
                <w:b w:val="1"/>
                <w:bCs w:val="1"/>
                <w:color w:val="auto"/>
              </w:rPr>
              <w:t>One Sansome Street 33rd Floor</w:t>
            </w:r>
          </w:p>
        </w:tc>
        <w:tc>
          <w:tcPr>
            <w:tcW w:w="3040" w:type="dxa"/>
            <w:vAlign w:val="bottom"/>
          </w:tcPr>
          <w:p>
            <w:pPr>
              <w:spacing w:after="0"/>
              <w:rPr>
                <w:sz w:val="20"/>
                <w:szCs w:val="20"/>
                <w:color w:val="auto"/>
              </w:rPr>
            </w:pPr>
          </w:p>
        </w:tc>
      </w:tr>
      <w:tr>
        <w:trPr>
          <w:trHeight w:val="221"/>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San Francisco, CA</w:t>
            </w:r>
          </w:p>
        </w:tc>
        <w:tc>
          <w:tcPr>
            <w:tcW w:w="3040" w:type="dxa"/>
            <w:vAlign w:val="bottom"/>
          </w:tcPr>
          <w:p>
            <w:pPr>
              <w:jc w:val="right"/>
              <w:ind w:right="304"/>
              <w:spacing w:after="0"/>
              <w:rPr>
                <w:sz w:val="20"/>
                <w:szCs w:val="20"/>
                <w:color w:val="auto"/>
              </w:rPr>
            </w:pPr>
            <w:r>
              <w:rPr>
                <w:rFonts w:ascii="Arial" w:cs="Arial" w:eastAsia="Arial" w:hAnsi="Arial"/>
                <w:sz w:val="16"/>
                <w:szCs w:val="16"/>
                <w:b w:val="1"/>
                <w:bCs w:val="1"/>
                <w:color w:val="auto"/>
              </w:rPr>
              <w:t>94104</w:t>
            </w:r>
          </w:p>
        </w:tc>
      </w:tr>
      <w:tr>
        <w:trPr>
          <w:trHeight w:val="200"/>
        </w:trPr>
        <w:tc>
          <w:tcPr>
            <w:tcW w:w="4520" w:type="dxa"/>
            <w:vAlign w:val="bottom"/>
          </w:tcPr>
          <w:p>
            <w:pPr>
              <w:jc w:val="center"/>
              <w:ind w:right="1764"/>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(Zip Code)</w:t>
            </w: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316"/>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4"/>
        </w:trPr>
        <w:tc>
          <w:tcPr>
            <w:tcW w:w="4820" w:type="dxa"/>
            <w:vAlign w:val="bottom"/>
            <w:gridSpan w:val="3"/>
          </w:tcPr>
          <w:p>
            <w:pPr>
              <w:jc w:val="center"/>
              <w:ind w:right="440"/>
              <w:spacing w:after="0"/>
              <w:rPr>
                <w:sz w:val="20"/>
                <w:szCs w:val="20"/>
                <w:color w:val="auto"/>
              </w:rPr>
            </w:pPr>
            <w:r>
              <w:rPr>
                <w:rFonts w:ascii="Arial" w:cs="Arial" w:eastAsia="Arial" w:hAnsi="Arial"/>
                <w:sz w:val="14"/>
                <w:szCs w:val="14"/>
                <w:color w:val="auto"/>
              </w:rPr>
              <w:t>Class A Common Stock, $0.0001 par value</w:t>
            </w:r>
          </w:p>
        </w:tc>
        <w:tc>
          <w:tcPr>
            <w:tcW w:w="1920" w:type="dxa"/>
            <w:vAlign w:val="bottom"/>
          </w:tcPr>
          <w:p>
            <w:pPr>
              <w:jc w:val="center"/>
              <w:ind w:right="224"/>
              <w:spacing w:after="0"/>
              <w:rPr>
                <w:sz w:val="20"/>
                <w:szCs w:val="20"/>
                <w:color w:val="auto"/>
              </w:rPr>
            </w:pPr>
            <w:r>
              <w:rPr>
                <w:rFonts w:ascii="Arial" w:cs="Arial" w:eastAsia="Arial" w:hAnsi="Arial"/>
                <w:sz w:val="14"/>
                <w:szCs w:val="14"/>
                <w:color w:val="auto"/>
              </w:rPr>
              <w:t>WISH</w:t>
            </w:r>
          </w:p>
        </w:tc>
        <w:tc>
          <w:tcPr>
            <w:tcW w:w="14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56" w:lineRule="exact"/>
        <w:rPr>
          <w:sz w:val="24"/>
          <w:szCs w:val="24"/>
          <w:color w:val="auto"/>
        </w:rPr>
      </w:pPr>
    </w:p>
    <w:p>
      <w:pPr>
        <w:jc w:val="both"/>
        <w:ind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ind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64" w:lineRule="exact"/>
        <w:rPr>
          <w:sz w:val="24"/>
          <w:szCs w:val="24"/>
          <w:color w:val="auto"/>
        </w:rPr>
      </w:pPr>
    </w:p>
    <w:p>
      <w:pPr>
        <w:jc w:val="both"/>
        <w:ind w:firstLine="59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1200"/>
        <w:spacing w:after="0" w:line="26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2023, the number of shares of the registrant’s Class A common stock outstanding was 23,782 thousand.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gridSpan w:val="10"/>
            <w:vMerge w:val="restart"/>
          </w:tcPr>
          <w:p>
            <w:pPr>
              <w:spacing w:after="0"/>
              <w:rPr>
                <w:sz w:val="20"/>
                <w:szCs w:val="20"/>
                <w:color w:val="auto"/>
              </w:rPr>
            </w:pPr>
            <w:r>
              <w:rPr>
                <w:rFonts w:ascii="Arial" w:cs="Arial" w:eastAsia="Arial" w:hAnsi="Arial"/>
                <w:sz w:val="18"/>
                <w:szCs w:val="18"/>
                <w:b w:val="1"/>
                <w:bCs w:val="1"/>
                <w:color w:val="0563C1"/>
                <w:w w:val="99"/>
              </w:rPr>
              <w:t>Special Note Regarding Forward-Looking Statements</w:t>
            </w:r>
          </w:p>
        </w:tc>
        <w:tc>
          <w:tcPr>
            <w:tcW w:w="4700" w:type="dxa"/>
            <w:vAlign w:val="bottom"/>
            <w:gridSpan w:val="7"/>
            <w:vMerge w:val="restart"/>
          </w:tcPr>
          <w:p>
            <w:pPr>
              <w:spacing w:after="0"/>
              <w:rPr>
                <w:sz w:val="16"/>
                <w:szCs w:val="16"/>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4560" w:type="dxa"/>
            <w:vAlign w:val="bottom"/>
            <w:tcBorders>
              <w:bottom w:val="single" w:sz="8" w:color="0563C1"/>
            </w:tcBorders>
            <w:gridSpan w:val="10"/>
            <w:vMerge w:val="continue"/>
          </w:tcPr>
          <w:p>
            <w:pPr>
              <w:spacing w:after="0"/>
              <w:rPr>
                <w:sz w:val="15"/>
                <w:szCs w:val="15"/>
                <w:color w:val="auto"/>
              </w:rPr>
            </w:pPr>
          </w:p>
        </w:tc>
        <w:tc>
          <w:tcPr>
            <w:tcW w:w="4700" w:type="dxa"/>
            <w:vAlign w:val="bottom"/>
            <w:gridSpan w:val="7"/>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563C1"/>
              </w:rPr>
              <w:t>FINANCIAL INFORMATION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99"/>
              </w:rPr>
              <w:t>Condensed Consolidated Financial Statements (Unaudited)</w:t>
            </w:r>
          </w:p>
        </w:tc>
        <w:tc>
          <w:tcPr>
            <w:tcW w:w="452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563C1"/>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34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563C1"/>
              </w:rPr>
              <w:t>Condensed Consolidated Statements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120" w:type="dxa"/>
            <w:vAlign w:val="bottom"/>
            <w:gridSpan w:val="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20" w:type="dxa"/>
            <w:vAlign w:val="bottom"/>
            <w:tcBorders>
              <w:bottom w:val="single" w:sz="8" w:color="0563C1"/>
            </w:tcBorders>
            <w:gridSpan w:val="14"/>
          </w:tcPr>
          <w:p>
            <w:pPr>
              <w:spacing w:after="0"/>
              <w:rPr>
                <w:sz w:val="20"/>
                <w:szCs w:val="20"/>
                <w:color w:val="auto"/>
              </w:rPr>
            </w:pPr>
            <w:r>
              <w:rPr>
                <w:rFonts w:ascii="Arial" w:cs="Arial" w:eastAsia="Arial" w:hAnsi="Arial"/>
                <w:sz w:val="18"/>
                <w:szCs w:val="18"/>
                <w:color w:val="0563C1"/>
                <w:w w:val="99"/>
              </w:rPr>
              <w:t>Condensed Consolidated Statements of Comprehensive Loss</w:t>
            </w:r>
          </w:p>
        </w:tc>
        <w:tc>
          <w:tcPr>
            <w:tcW w:w="43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563C1"/>
              </w:rPr>
              <w:t>Condensed 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Borders>
              <w:top w:val="single" w:sz="8" w:color="0563C1"/>
            </w:tcBorders>
            <w:gridSpan w:val="13"/>
          </w:tcPr>
          <w:p>
            <w:pPr>
              <w:spacing w:after="0"/>
              <w:rPr>
                <w:sz w:val="20"/>
                <w:szCs w:val="20"/>
                <w:color w:val="auto"/>
              </w:rPr>
            </w:pPr>
            <w:r>
              <w:rPr>
                <w:rFonts w:ascii="Arial" w:cs="Arial" w:eastAsia="Arial" w:hAnsi="Arial"/>
                <w:sz w:val="18"/>
                <w:szCs w:val="18"/>
                <w:color w:val="0563C1"/>
              </w:rPr>
              <w:t>Condensed Consolidated Statements of Cash Flows</w:t>
            </w:r>
          </w:p>
        </w:tc>
        <w:tc>
          <w:tcPr>
            <w:tcW w:w="442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180" w:type="dxa"/>
            <w:vAlign w:val="bottom"/>
            <w:gridSpan w:val="4"/>
            <w:shd w:val="clear" w:color="auto" w:fill="0563C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40" w:type="dxa"/>
            <w:vAlign w:val="bottom"/>
            <w:tcBorders>
              <w:bottom w:val="single" w:sz="8" w:color="0563C1"/>
            </w:tcBorders>
            <w:gridSpan w:val="15"/>
          </w:tcPr>
          <w:p>
            <w:pPr>
              <w:spacing w:after="0"/>
              <w:rPr>
                <w:sz w:val="20"/>
                <w:szCs w:val="20"/>
                <w:color w:val="auto"/>
              </w:rPr>
            </w:pPr>
            <w:r>
              <w:rPr>
                <w:rFonts w:ascii="Arial" w:cs="Arial" w:eastAsia="Arial" w:hAnsi="Arial"/>
                <w:sz w:val="18"/>
                <w:szCs w:val="18"/>
                <w:color w:val="0563C1"/>
                <w:w w:val="99"/>
              </w:rPr>
              <w:t>Notes to Unaudited Condensed Consolidated Financial Statements</w:t>
            </w:r>
          </w:p>
        </w:tc>
        <w:tc>
          <w:tcPr>
            <w:tcW w:w="392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line="196"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563C1"/>
              <w:bottom w:val="single" w:sz="8" w:color="0563C1"/>
            </w:tcBorders>
            <w:gridSpan w:val="11"/>
          </w:tcPr>
          <w:p>
            <w:pPr>
              <w:spacing w:after="0"/>
              <w:rPr>
                <w:sz w:val="20"/>
                <w:szCs w:val="20"/>
                <w:color w:val="auto"/>
              </w:rPr>
            </w:pPr>
            <w:r>
              <w:rPr>
                <w:rFonts w:ascii="Arial" w:cs="Arial" w:eastAsia="Arial" w:hAnsi="Arial"/>
                <w:sz w:val="18"/>
                <w:szCs w:val="18"/>
                <w:color w:val="0563C1"/>
                <w:w w:val="99"/>
              </w:rPr>
              <w:t>Quantitative and Qualitative Disclosures About Market Risk</w:t>
            </w:r>
          </w:p>
        </w:tc>
        <w:tc>
          <w:tcPr>
            <w:tcW w:w="2360" w:type="dxa"/>
            <w:vAlign w:val="bottom"/>
            <w:tcBorders>
              <w:top w:val="single" w:sz="8" w:color="0563C1"/>
            </w:tcBorders>
            <w:gridSpan w:val="5"/>
          </w:tcPr>
          <w:p>
            <w:pPr>
              <w:spacing w:after="0"/>
              <w:rPr>
                <w:sz w:val="18"/>
                <w:szCs w:val="18"/>
                <w:color w:val="auto"/>
              </w:rPr>
            </w:pPr>
          </w:p>
        </w:tc>
        <w:tc>
          <w:tcPr>
            <w:tcW w:w="2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7"/>
          </w:tcPr>
          <w:p>
            <w:pPr>
              <w:spacing w:after="0"/>
              <w:rPr>
                <w:sz w:val="20"/>
                <w:szCs w:val="20"/>
                <w:color w:val="auto"/>
              </w:rPr>
            </w:pPr>
            <w:r>
              <w:rPr>
                <w:rFonts w:ascii="Arial" w:cs="Arial" w:eastAsia="Arial" w:hAnsi="Arial"/>
                <w:sz w:val="18"/>
                <w:szCs w:val="18"/>
                <w:color w:val="0563C1"/>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563C1"/>
            </w:tcBorders>
            <w:gridSpan w:val="5"/>
          </w:tcPr>
          <w:p>
            <w:pPr>
              <w:spacing w:after="0"/>
              <w:rPr>
                <w:sz w:val="20"/>
                <w:szCs w:val="20"/>
                <w:color w:val="auto"/>
              </w:rPr>
            </w:pPr>
            <w:r>
              <w:rPr>
                <w:rFonts w:ascii="Arial" w:cs="Arial" w:eastAsia="Arial" w:hAnsi="Arial"/>
                <w:sz w:val="18"/>
                <w:szCs w:val="18"/>
                <w:color w:val="0563C1"/>
              </w:rPr>
              <w:t>OTHER INFORMATION</w:t>
            </w:r>
          </w:p>
        </w:tc>
        <w:tc>
          <w:tcPr>
            <w:tcW w:w="7280" w:type="dxa"/>
            <w:vAlign w:val="bottom"/>
            <w:gridSpan w:val="1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563C1"/>
            </w:tcBorders>
            <w:gridSpan w:val="4"/>
          </w:tcPr>
          <w:p>
            <w:pPr>
              <w:spacing w:after="0"/>
              <w:rPr>
                <w:sz w:val="20"/>
                <w:szCs w:val="20"/>
                <w:color w:val="auto"/>
              </w:rPr>
            </w:pPr>
            <w:r>
              <w:rPr>
                <w:rFonts w:ascii="Arial" w:cs="Arial" w:eastAsia="Arial" w:hAnsi="Arial"/>
                <w:sz w:val="18"/>
                <w:szCs w:val="18"/>
                <w:color w:val="0563C1"/>
              </w:rPr>
              <w:t>Legal Proceedings</w:t>
            </w:r>
          </w:p>
        </w:tc>
        <w:tc>
          <w:tcPr>
            <w:tcW w:w="734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563C1"/>
              <w:bottom w:val="single" w:sz="8" w:color="0563C1"/>
            </w:tcBorders>
            <w:gridSpan w:val="2"/>
          </w:tcPr>
          <w:p>
            <w:pPr>
              <w:spacing w:after="0"/>
              <w:rPr>
                <w:sz w:val="20"/>
                <w:szCs w:val="20"/>
                <w:color w:val="auto"/>
              </w:rPr>
            </w:pPr>
            <w:r>
              <w:rPr>
                <w:rFonts w:ascii="Arial" w:cs="Arial" w:eastAsia="Arial" w:hAnsi="Arial"/>
                <w:sz w:val="18"/>
                <w:szCs w:val="18"/>
                <w:color w:val="0563C1"/>
                <w:w w:val="97"/>
              </w:rPr>
              <w:t>Risk Factors</w:t>
            </w:r>
          </w:p>
        </w:tc>
        <w:tc>
          <w:tcPr>
            <w:tcW w:w="480" w:type="dxa"/>
            <w:vAlign w:val="bottom"/>
            <w:tcBorders>
              <w:top w:val="single" w:sz="8" w:color="0563C1"/>
            </w:tcBorders>
          </w:tcPr>
          <w:p>
            <w:pPr>
              <w:spacing w:after="0"/>
              <w:rPr>
                <w:sz w:val="18"/>
                <w:szCs w:val="18"/>
                <w:color w:val="auto"/>
              </w:rPr>
            </w:pPr>
          </w:p>
        </w:tc>
        <w:tc>
          <w:tcPr>
            <w:tcW w:w="778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7"/>
          </w:tcPr>
          <w:p>
            <w:pPr>
              <w:spacing w:after="0"/>
              <w:rPr>
                <w:sz w:val="20"/>
                <w:szCs w:val="20"/>
                <w:color w:val="auto"/>
              </w:rPr>
            </w:pPr>
            <w:r>
              <w:rPr>
                <w:rFonts w:ascii="Arial" w:cs="Arial" w:eastAsia="Arial" w:hAnsi="Arial"/>
                <w:sz w:val="18"/>
                <w:szCs w:val="18"/>
                <w:color w:val="0563C1"/>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0563C1"/>
              </w:rPr>
              <w:t>Signatures</w:t>
            </w:r>
          </w:p>
        </w:tc>
        <w:tc>
          <w:tcPr>
            <w:tcW w:w="620" w:type="dxa"/>
            <w:vAlign w:val="bottom"/>
            <w:tcBorders>
              <w:top w:val="single" w:sz="8" w:color="0563C1"/>
            </w:tcBorders>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("Exchange Act"), which statements involve substantial risks and uncertainties. Forward-looking statements include all statements that are not historical facts such as information concerning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spacing w:after="0" w:line="140"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our Annual Report on Form 10-K for the year ended December 31, 2022 and our other filings with the Securities and Exchange Commission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4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future financial performance; implementation and execution of business strategies, including turnaround efforts, restructuring plans, and reductions in force; implementation and execution of marketing and promotional strategies, including promotional events and rebrand efforts; the extent and impact of our announced share repurchase program; our future liquidity and operating expenditures; the impact of the 1-to-30 reverse stock split; compliance with Nasdaq continued listing requirements; financial condition and results of operations; our future market position, technological advances, and competitive changes in the marketplace; expected consumer behavior;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9"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4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 in millions, shares in thousands, except par value)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As of June 30,</w:t>
            </w:r>
          </w:p>
        </w:tc>
        <w:tc>
          <w:tcPr>
            <w:tcW w:w="1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As of December 31,</w:t>
            </w:r>
          </w:p>
        </w:tc>
      </w:tr>
      <w:tr>
        <w:trPr>
          <w:trHeight w:val="221"/>
        </w:trPr>
        <w:tc>
          <w:tcPr>
            <w:tcW w:w="7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10"/>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140" w:type="dxa"/>
            <w:vAlign w:val="bottom"/>
            <w:shd w:val="clear" w:color="auto" w:fill="CFF0FC"/>
          </w:tcPr>
          <w:p>
            <w:pPr>
              <w:spacing w:after="0"/>
              <w:rPr>
                <w:sz w:val="19"/>
                <w:szCs w:val="19"/>
                <w:color w:val="auto"/>
              </w:rPr>
            </w:pPr>
          </w:p>
        </w:tc>
      </w:tr>
      <w:tr>
        <w:trPr>
          <w:trHeight w:val="213"/>
        </w:trPr>
        <w:tc>
          <w:tcPr>
            <w:tcW w:w="724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8"/>
                <w:szCs w:val="18"/>
                <w:color w:val="auto"/>
              </w:rPr>
            </w:pPr>
          </w:p>
        </w:tc>
      </w:tr>
      <w:tr>
        <w:trPr>
          <w:trHeight w:val="219"/>
        </w:trPr>
        <w:tc>
          <w:tcPr>
            <w:tcW w:w="7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Funds receivable</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FF0FC"/>
          </w:tcPr>
          <w:p>
            <w:pPr>
              <w:spacing w:after="0"/>
              <w:rPr>
                <w:sz w:val="19"/>
                <w:szCs w:val="19"/>
                <w:color w:val="auto"/>
              </w:rPr>
            </w:pPr>
          </w:p>
        </w:tc>
      </w:tr>
      <w:tr>
        <w:trPr>
          <w:trHeight w:val="213"/>
        </w:trPr>
        <w:tc>
          <w:tcPr>
            <w:tcW w:w="72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8"/>
                <w:szCs w:val="18"/>
                <w:color w:val="auto"/>
              </w:rPr>
            </w:pPr>
          </w:p>
        </w:tc>
      </w:tr>
      <w:tr>
        <w:trPr>
          <w:trHeight w:val="213"/>
        </w:trPr>
        <w:tc>
          <w:tcPr>
            <w:tcW w:w="72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140" w:type="dxa"/>
            <w:vAlign w:val="bottom"/>
            <w:shd w:val="clear" w:color="auto" w:fill="CFF0FC"/>
          </w:tcPr>
          <w:p>
            <w:pPr>
              <w:spacing w:after="0"/>
              <w:rPr>
                <w:sz w:val="18"/>
                <w:szCs w:val="18"/>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Right-of-use assets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9"/>
                <w:szCs w:val="19"/>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r>
      <w:tr>
        <w:trPr>
          <w:trHeight w:val="24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00"/>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72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r>
      <w:tr>
        <w:trPr>
          <w:trHeight w:val="219"/>
        </w:trPr>
        <w:tc>
          <w:tcPr>
            <w:tcW w:w="7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Merchants payable</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FF0FC"/>
          </w:tcPr>
          <w:p>
            <w:pPr>
              <w:spacing w:after="0"/>
              <w:rPr>
                <w:sz w:val="19"/>
                <w:szCs w:val="19"/>
                <w:color w:val="auto"/>
              </w:rPr>
            </w:pPr>
          </w:p>
        </w:tc>
      </w:tr>
      <w:tr>
        <w:trPr>
          <w:trHeight w:val="213"/>
        </w:trPr>
        <w:tc>
          <w:tcPr>
            <w:tcW w:w="7240" w:type="dxa"/>
            <w:vAlign w:val="bottom"/>
          </w:tcPr>
          <w:p>
            <w:pPr>
              <w:ind w:left="200"/>
              <w:spacing w:after="0"/>
              <w:rPr>
                <w:sz w:val="20"/>
                <w:szCs w:val="20"/>
                <w:color w:val="auto"/>
              </w:rPr>
            </w:pPr>
            <w:r>
              <w:rPr>
                <w:rFonts w:ascii="Arial" w:cs="Arial" w:eastAsia="Arial" w:hAnsi="Arial"/>
                <w:sz w:val="16"/>
                <w:szCs w:val="16"/>
                <w:color w:val="auto"/>
              </w:rPr>
              <w:t>Refunds liability</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309</w:t>
            </w:r>
          </w:p>
        </w:tc>
        <w:tc>
          <w:tcPr>
            <w:tcW w:w="140" w:type="dxa"/>
            <w:vAlign w:val="bottom"/>
          </w:tcPr>
          <w:p>
            <w:pPr>
              <w:spacing w:after="0"/>
              <w:rPr>
                <w:sz w:val="18"/>
                <w:szCs w:val="18"/>
                <w:color w:val="auto"/>
              </w:rPr>
            </w:pPr>
          </w:p>
        </w:tc>
      </w:tr>
      <w:tr>
        <w:trPr>
          <w:trHeight w:val="219"/>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 non-current</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9"/>
                <w:szCs w:val="19"/>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192"/>
        </w:trPr>
        <w:tc>
          <w:tcPr>
            <w:tcW w:w="7240" w:type="dxa"/>
            <w:vAlign w:val="bottom"/>
          </w:tcPr>
          <w:p>
            <w:pPr>
              <w:ind w:left="200"/>
              <w:spacing w:after="0"/>
              <w:rPr>
                <w:sz w:val="20"/>
                <w:szCs w:val="20"/>
                <w:color w:val="auto"/>
              </w:rPr>
            </w:pPr>
            <w:r>
              <w:rPr>
                <w:rFonts w:ascii="Arial" w:cs="Arial" w:eastAsia="Arial" w:hAnsi="Arial"/>
                <w:sz w:val="16"/>
                <w:szCs w:val="16"/>
                <w:color w:val="auto"/>
              </w:rPr>
              <w:t>Preferred stock, $0.0001 par value: 100,000 shares authorized as of June 30, 2023 and</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240" w:type="dxa"/>
            <w:vAlign w:val="bottom"/>
          </w:tcPr>
          <w:p>
            <w:pPr>
              <w:ind w:left="200"/>
              <w:spacing w:after="0"/>
              <w:rPr>
                <w:sz w:val="20"/>
                <w:szCs w:val="20"/>
                <w:color w:val="auto"/>
              </w:rPr>
            </w:pPr>
            <w:r>
              <w:rPr>
                <w:rFonts w:ascii="Arial" w:cs="Arial" w:eastAsia="Arial" w:hAnsi="Arial"/>
                <w:sz w:val="16"/>
                <w:szCs w:val="16"/>
                <w:color w:val="auto"/>
              </w:rPr>
              <w:t>December 31, 2022; No shares issued and outstanding as of June 30, 2023 and December 31,</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0"/>
        </w:trPr>
        <w:tc>
          <w:tcPr>
            <w:tcW w:w="7240" w:type="dxa"/>
            <w:vAlign w:val="bottom"/>
          </w:tcPr>
          <w:p>
            <w:pPr>
              <w:ind w:left="20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5"/>
        </w:trPr>
        <w:tc>
          <w:tcPr>
            <w:tcW w:w="7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$0.0001 par value: 3,000,000 shares authorized as of June 30, 2023 and</w:t>
            </w: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89"/>
        </w:trPr>
        <w:tc>
          <w:tcPr>
            <w:tcW w:w="7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December 31, 2022; 23,781 and 23,164 shares issued and outstanding as of June 30, 2023</w:t>
            </w: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3"/>
        </w:trPr>
        <w:tc>
          <w:tcPr>
            <w:tcW w:w="7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and December 31, 2022, respectively</w:t>
            </w:r>
          </w:p>
        </w:tc>
        <w:tc>
          <w:tcPr>
            <w:tcW w:w="2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26"/>
        </w:trPr>
        <w:tc>
          <w:tcPr>
            <w:tcW w:w="72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3,448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3,411</w:t>
            </w:r>
          </w:p>
        </w:tc>
        <w:tc>
          <w:tcPr>
            <w:tcW w:w="140" w:type="dxa"/>
            <w:vAlign w:val="bottom"/>
          </w:tcPr>
          <w:p>
            <w:pPr>
              <w:spacing w:after="0"/>
              <w:rPr>
                <w:sz w:val="19"/>
                <w:szCs w:val="19"/>
                <w:color w:val="auto"/>
              </w:rPr>
            </w:pPr>
          </w:p>
        </w:tc>
      </w:tr>
      <w:tr>
        <w:trPr>
          <w:trHeight w:val="233"/>
        </w:trPr>
        <w:tc>
          <w:tcPr>
            <w:tcW w:w="7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(5 )</w:t>
            </w:r>
          </w:p>
        </w:tc>
      </w:tr>
      <w:tr>
        <w:trPr>
          <w:trHeight w:val="213"/>
        </w:trPr>
        <w:tc>
          <w:tcPr>
            <w:tcW w:w="724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(3,098 )</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(2,929 )</w:t>
            </w:r>
          </w:p>
        </w:tc>
      </w:tr>
      <w:tr>
        <w:trPr>
          <w:trHeight w:val="20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4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-3205480</wp:posOffset>
            </wp:positionV>
            <wp:extent cx="14401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1631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-2357120</wp:posOffset>
            </wp:positionV>
            <wp:extent cx="8572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-2357120</wp:posOffset>
            </wp:positionV>
            <wp:extent cx="8572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-1791335</wp:posOffset>
            </wp:positionV>
            <wp:extent cx="857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-1791335</wp:posOffset>
            </wp:positionV>
            <wp:extent cx="8572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140"/>
        <w:spacing w:after="0" w:line="234" w:lineRule="auto"/>
        <w:rPr>
          <w:sz w:val="20"/>
          <w:szCs w:val="20"/>
          <w:color w:val="auto"/>
        </w:rPr>
      </w:pPr>
      <w:r>
        <w:rPr>
          <w:rFonts w:ascii="Arial" w:cs="Arial" w:eastAsia="Arial" w:hAnsi="Arial"/>
          <w:sz w:val="18"/>
          <w:szCs w:val="18"/>
          <w:b w:val="1"/>
          <w:bCs w:val="1"/>
          <w:color w:val="auto"/>
        </w:rPr>
        <w:t>($ in millions, shares in thousands, except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1"/>
        </w:trPr>
        <w:tc>
          <w:tcPr>
            <w:tcW w:w="5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00"/>
              <w:spacing w:after="0"/>
              <w:rPr>
                <w:sz w:val="20"/>
                <w:szCs w:val="20"/>
                <w:color w:val="auto"/>
              </w:rPr>
            </w:pPr>
            <w:r>
              <w:rPr>
                <w:rFonts w:ascii="Arial" w:cs="Arial" w:eastAsia="Arial" w:hAnsi="Arial"/>
                <w:sz w:val="16"/>
                <w:szCs w:val="16"/>
                <w:color w:val="auto"/>
              </w:rPr>
              <w:t>Product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(83 )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(91 )</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(176 )</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(77 )</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(89 )</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(166 )</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(80 )</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(90 )</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(169 )</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(3.38 )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(4.05 )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(7.21 )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(6.77 )</w:t>
            </w:r>
          </w:p>
        </w:tc>
        <w:tc>
          <w:tcPr>
            <w:tcW w:w="0" w:type="dxa"/>
            <w:vAlign w:val="bottom"/>
          </w:tcPr>
          <w:p>
            <w:pPr>
              <w:spacing w:after="0"/>
              <w:rPr>
                <w:sz w:val="1"/>
                <w:szCs w:val="1"/>
                <w:color w:val="auto"/>
              </w:rPr>
            </w:pPr>
          </w:p>
        </w:tc>
      </w:tr>
      <w:tr>
        <w:trPr>
          <w:trHeight w:val="176"/>
        </w:trPr>
        <w:tc>
          <w:tcPr>
            <w:tcW w:w="5640" w:type="dxa"/>
            <w:vAlign w:val="bottom"/>
            <w:tcBorders>
              <w:top w:val="single" w:sz="8" w:color="CFF0FC"/>
            </w:tcBorders>
          </w:tcPr>
          <w:p>
            <w:pPr>
              <w:ind w:left="20"/>
              <w:spacing w:after="0" w:line="176" w:lineRule="exact"/>
              <w:rPr>
                <w:sz w:val="20"/>
                <w:szCs w:val="20"/>
                <w:color w:val="auto"/>
              </w:rPr>
            </w:pPr>
            <w:r>
              <w:rPr>
                <w:rFonts w:ascii="Arial" w:cs="Arial" w:eastAsia="Arial" w:hAnsi="Arial"/>
                <w:sz w:val="16"/>
                <w:szCs w:val="16"/>
                <w:color w:val="auto"/>
              </w:rPr>
              <w:t>Weighted-average shares used in computing net loss per share, basic and</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23,651</w:t>
            </w:r>
          </w:p>
        </w:tc>
        <w:tc>
          <w:tcPr>
            <w:tcW w:w="3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22,241</w:t>
            </w:r>
          </w:p>
        </w:tc>
        <w:tc>
          <w:tcPr>
            <w:tcW w:w="3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23,451</w:t>
            </w:r>
          </w:p>
        </w:tc>
        <w:tc>
          <w:tcPr>
            <w:tcW w:w="3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22,146</w:t>
            </w:r>
          </w:p>
        </w:tc>
        <w:tc>
          <w:tcPr>
            <w:tcW w:w="1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640" w:type="dxa"/>
            <w:vAlign w:val="bottom"/>
          </w:tcPr>
          <w:p>
            <w:pPr>
              <w:ind w:left="20"/>
              <w:spacing w:after="0" w:line="172" w:lineRule="exact"/>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-1439545</wp:posOffset>
            </wp:positionV>
            <wp:extent cx="8572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-1439545</wp:posOffset>
            </wp:positionV>
            <wp:extent cx="857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-1439545</wp:posOffset>
            </wp:positionV>
            <wp:extent cx="857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-873760</wp:posOffset>
            </wp:positionV>
            <wp:extent cx="8572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-873760</wp:posOffset>
            </wp:positionV>
            <wp:extent cx="8572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-873760</wp:posOffset>
            </wp:positionV>
            <wp:extent cx="8572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-873760</wp:posOffset>
            </wp:positionV>
            <wp:extent cx="8572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-590550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-590550</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-590550</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-590550</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-281940</wp:posOffset>
            </wp:positionV>
            <wp:extent cx="2828925" cy="282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8925" cy="28257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2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Six Months Ended</w:t>
            </w:r>
          </w:p>
        </w:tc>
      </w:tr>
      <w:tr>
        <w:trPr>
          <w:trHeight w:val="221"/>
        </w:trPr>
        <w:tc>
          <w:tcPr>
            <w:tcW w:w="56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56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(80 )</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(90 )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(169 )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(150 )</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5"/>
        </w:trPr>
        <w:tc>
          <w:tcPr>
            <w:tcW w:w="5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holding losses on derivatives and marketable securities, net of</w:t>
            </w:r>
          </w:p>
        </w:tc>
        <w:tc>
          <w:tcPr>
            <w:tcW w:w="8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13"/>
        </w:trPr>
        <w:tc>
          <w:tcPr>
            <w:tcW w:w="5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w:t>
            </w:r>
          </w:p>
        </w:tc>
        <w:tc>
          <w:tcPr>
            <w:tcW w:w="8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(4 )</w:t>
            </w:r>
          </w:p>
        </w:tc>
        <w:tc>
          <w:tcPr>
            <w:tcW w:w="8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(4 )</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(5 )</w:t>
            </w:r>
          </w:p>
        </w:tc>
      </w:tr>
      <w:tr>
        <w:trPr>
          <w:trHeight w:val="213"/>
        </w:trPr>
        <w:tc>
          <w:tcPr>
            <w:tcW w:w="56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8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(4 )</w:t>
            </w:r>
          </w:p>
        </w:tc>
        <w:tc>
          <w:tcPr>
            <w:tcW w:w="8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(4 )</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(4 )</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0"/>
        </w:trPr>
        <w:tc>
          <w:tcPr>
            <w:tcW w:w="5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(88 )</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(98 )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(177 )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(159 )</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-25400</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 in millions,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 June 30, 2023</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20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14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Total</w:t>
            </w:r>
          </w:p>
        </w:tc>
      </w:tr>
      <w:tr>
        <w:trPr>
          <w:trHeight w:val="162"/>
        </w:trPr>
        <w:tc>
          <w:tcPr>
            <w:tcW w:w="3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240" w:type="dxa"/>
            <w:vAlign w:val="bottom"/>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6"/>
                <w:szCs w:val="16"/>
                <w:color w:val="auto"/>
              </w:rPr>
            </w:pPr>
          </w:p>
        </w:tc>
      </w:tr>
      <w:tr>
        <w:trPr>
          <w:trHeight w:val="18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March 31, 2023</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23,341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(3,018 )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w:t>
            </w:r>
          </w:p>
        </w:tc>
        <w:tc>
          <w:tcPr>
            <w:tcW w:w="140" w:type="dxa"/>
            <w:vAlign w:val="bottom"/>
            <w:shd w:val="clear" w:color="auto" w:fill="CFF0FC"/>
          </w:tcPr>
          <w:p>
            <w:pPr>
              <w:spacing w:after="0"/>
              <w:rPr>
                <w:sz w:val="15"/>
                <w:szCs w:val="15"/>
                <w:color w:val="auto"/>
              </w:rPr>
            </w:pPr>
          </w:p>
        </w:tc>
      </w:tr>
      <w:tr>
        <w:trPr>
          <w:trHeight w:val="170"/>
        </w:trPr>
        <w:tc>
          <w:tcPr>
            <w:tcW w:w="3240" w:type="dxa"/>
            <w:vAlign w:val="bottom"/>
          </w:tcPr>
          <w:p>
            <w:pPr>
              <w:ind w:left="200"/>
              <w:spacing w:after="0"/>
              <w:rPr>
                <w:sz w:val="20"/>
                <w:szCs w:val="20"/>
                <w:color w:val="auto"/>
              </w:rPr>
            </w:pPr>
            <w:r>
              <w:rPr>
                <w:rFonts w:ascii="Arial" w:cs="Arial" w:eastAsia="Arial" w:hAnsi="Arial"/>
                <w:sz w:val="14"/>
                <w:szCs w:val="14"/>
                <w:color w:val="auto"/>
              </w:rPr>
              <w:t>Fractional shares issued due to reverse stock</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1"/>
        </w:trPr>
        <w:tc>
          <w:tcPr>
            <w:tcW w:w="3240" w:type="dxa"/>
            <w:vAlign w:val="bottom"/>
          </w:tcPr>
          <w:p>
            <w:pPr>
              <w:ind w:left="200"/>
              <w:spacing w:after="0"/>
              <w:rPr>
                <w:sz w:val="20"/>
                <w:szCs w:val="20"/>
                <w:color w:val="auto"/>
              </w:rPr>
            </w:pPr>
            <w:r>
              <w:rPr>
                <w:rFonts w:ascii="Arial" w:cs="Arial" w:eastAsia="Arial" w:hAnsi="Arial"/>
                <w:sz w:val="14"/>
                <w:szCs w:val="14"/>
                <w:color w:val="auto"/>
              </w:rPr>
              <w:t>split</w:t>
            </w:r>
          </w:p>
        </w:tc>
        <w:tc>
          <w:tcPr>
            <w:tcW w:w="900" w:type="dxa"/>
            <w:vAlign w:val="bottom"/>
          </w:tcPr>
          <w:p>
            <w:pPr>
              <w:jc w:val="right"/>
              <w:spacing w:after="0"/>
              <w:rPr>
                <w:sz w:val="20"/>
                <w:szCs w:val="20"/>
                <w:color w:val="auto"/>
              </w:rPr>
            </w:pPr>
            <w:r>
              <w:rPr>
                <w:rFonts w:ascii="Arial" w:cs="Arial" w:eastAsia="Arial" w:hAnsi="Arial"/>
                <w:sz w:val="14"/>
                <w:szCs w:val="14"/>
                <w:color w:val="auto"/>
              </w:rPr>
              <w:t>201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0"/>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1"/>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(101 )</w:t>
            </w: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(1 )</w:t>
            </w: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(8 )</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(8 )</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(80 )</w:t>
            </w:r>
          </w:p>
        </w:tc>
      </w:tr>
      <w:tr>
        <w:trPr>
          <w:trHeight w:val="20"/>
        </w:trPr>
        <w:tc>
          <w:tcPr>
            <w:tcW w:w="3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June 30, 2023</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23,781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(3,098 )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FF0FC"/>
          </w:tcPr>
          <w:p>
            <w:pPr>
              <w:spacing w:after="0"/>
              <w:rPr>
                <w:sz w:val="17"/>
                <w:szCs w:val="17"/>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440"/>
        </w:trPr>
        <w:tc>
          <w:tcPr>
            <w:tcW w:w="3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Six Months Ended June 30, 2023</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20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14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Total</w:t>
            </w:r>
          </w:p>
        </w:tc>
      </w:tr>
      <w:tr>
        <w:trPr>
          <w:trHeight w:val="162"/>
        </w:trPr>
        <w:tc>
          <w:tcPr>
            <w:tcW w:w="3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240" w:type="dxa"/>
            <w:vAlign w:val="bottom"/>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r>
      <w:tr>
        <w:trPr>
          <w:trHeight w:val="18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December 31, 2022</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23,164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(2,929 )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140" w:type="dxa"/>
            <w:vAlign w:val="bottom"/>
            <w:shd w:val="clear" w:color="auto" w:fill="CFF0FC"/>
          </w:tcPr>
          <w:p>
            <w:pPr>
              <w:spacing w:after="0"/>
              <w:rPr>
                <w:sz w:val="15"/>
                <w:szCs w:val="15"/>
                <w:color w:val="auto"/>
              </w:rPr>
            </w:pPr>
          </w:p>
        </w:tc>
      </w:tr>
      <w:tr>
        <w:trPr>
          <w:trHeight w:val="170"/>
        </w:trPr>
        <w:tc>
          <w:tcPr>
            <w:tcW w:w="3240" w:type="dxa"/>
            <w:vAlign w:val="bottom"/>
          </w:tcPr>
          <w:p>
            <w:pPr>
              <w:ind w:left="200"/>
              <w:spacing w:after="0"/>
              <w:rPr>
                <w:sz w:val="20"/>
                <w:szCs w:val="20"/>
                <w:color w:val="auto"/>
              </w:rPr>
            </w:pPr>
            <w:r>
              <w:rPr>
                <w:rFonts w:ascii="Arial" w:cs="Arial" w:eastAsia="Arial" w:hAnsi="Arial"/>
                <w:sz w:val="14"/>
                <w:szCs w:val="14"/>
                <w:color w:val="auto"/>
              </w:rPr>
              <w:t>Fractional shares issued due to reverse stock</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1"/>
        </w:trPr>
        <w:tc>
          <w:tcPr>
            <w:tcW w:w="3240" w:type="dxa"/>
            <w:vAlign w:val="bottom"/>
          </w:tcPr>
          <w:p>
            <w:pPr>
              <w:ind w:left="200"/>
              <w:spacing w:after="0"/>
              <w:rPr>
                <w:sz w:val="20"/>
                <w:szCs w:val="20"/>
                <w:color w:val="auto"/>
              </w:rPr>
            </w:pPr>
            <w:r>
              <w:rPr>
                <w:rFonts w:ascii="Arial" w:cs="Arial" w:eastAsia="Arial" w:hAnsi="Arial"/>
                <w:sz w:val="14"/>
                <w:szCs w:val="14"/>
                <w:color w:val="auto"/>
              </w:rPr>
              <w:t>split</w:t>
            </w:r>
          </w:p>
        </w:tc>
        <w:tc>
          <w:tcPr>
            <w:tcW w:w="900" w:type="dxa"/>
            <w:vAlign w:val="bottom"/>
          </w:tcPr>
          <w:p>
            <w:pPr>
              <w:jc w:val="right"/>
              <w:spacing w:after="0"/>
              <w:rPr>
                <w:sz w:val="20"/>
                <w:szCs w:val="20"/>
                <w:color w:val="auto"/>
              </w:rPr>
            </w:pPr>
            <w:r>
              <w:rPr>
                <w:rFonts w:ascii="Arial" w:cs="Arial" w:eastAsia="Arial" w:hAnsi="Arial"/>
                <w:sz w:val="14"/>
                <w:szCs w:val="14"/>
                <w:color w:val="auto"/>
              </w:rPr>
              <w:t>201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0"/>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1"/>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(244 )</w:t>
            </w: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(4 )</w:t>
            </w: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6"/>
                <w:szCs w:val="16"/>
                <w:color w:val="auto"/>
              </w:rPr>
            </w:pP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(8 )</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(8 )</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(169 )</w:t>
            </w:r>
          </w:p>
        </w:tc>
      </w:tr>
      <w:tr>
        <w:trPr>
          <w:trHeight w:val="20"/>
        </w:trPr>
        <w:tc>
          <w:tcPr>
            <w:tcW w:w="3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June 30, 2023</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23,781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(3,098 )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FF0FC"/>
          </w:tcPr>
          <w:p>
            <w:pPr>
              <w:spacing w:after="0"/>
              <w:rPr>
                <w:sz w:val="17"/>
                <w:szCs w:val="17"/>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-2108200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-2091055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-2108200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-2091055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-2108200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-2091055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-2108200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-2091055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-2108200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-2091055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-2108200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-2091055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 in millions,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 June 30, 2022</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20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3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50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Total</w:t>
            </w:r>
          </w:p>
        </w:tc>
      </w:tr>
      <w:tr>
        <w:trPr>
          <w:trHeight w:val="162"/>
        </w:trPr>
        <w:tc>
          <w:tcPr>
            <w:tcW w:w="3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Comprehensive</w:t>
            </w: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240" w:type="dxa"/>
            <w:vAlign w:val="bottom"/>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(Loss)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6"/>
                <w:szCs w:val="16"/>
                <w:color w:val="auto"/>
              </w:rPr>
            </w:pPr>
          </w:p>
        </w:tc>
      </w:tr>
      <w:tr>
        <w:trPr>
          <w:trHeight w:val="18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March 31, 2022</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22,127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42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35"/>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(2,605 )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w:t>
            </w:r>
          </w:p>
        </w:tc>
        <w:tc>
          <w:tcPr>
            <w:tcW w:w="140" w:type="dxa"/>
            <w:vAlign w:val="bottom"/>
            <w:shd w:val="clear" w:color="auto" w:fill="CFF0FC"/>
          </w:tcPr>
          <w:p>
            <w:pPr>
              <w:spacing w:after="0"/>
              <w:rPr>
                <w:sz w:val="15"/>
                <w:szCs w:val="15"/>
                <w:color w:val="auto"/>
              </w:rPr>
            </w:pPr>
          </w:p>
        </w:tc>
      </w:tr>
      <w:tr>
        <w:trPr>
          <w:trHeight w:val="170"/>
        </w:trPr>
        <w:tc>
          <w:tcPr>
            <w:tcW w:w="3240" w:type="dxa"/>
            <w:vAlign w:val="bottom"/>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1"/>
        </w:trPr>
        <w:tc>
          <w:tcPr>
            <w:tcW w:w="324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900" w:type="dxa"/>
            <w:vAlign w:val="bottom"/>
          </w:tcPr>
          <w:p>
            <w:pPr>
              <w:jc w:val="right"/>
              <w:spacing w:after="0"/>
              <w:rPr>
                <w:sz w:val="20"/>
                <w:szCs w:val="20"/>
                <w:color w:val="auto"/>
              </w:rPr>
            </w:pPr>
            <w:r>
              <w:rPr>
                <w:rFonts w:ascii="Arial" w:cs="Arial" w:eastAsia="Arial" w:hAnsi="Arial"/>
                <w:sz w:val="14"/>
                <w:szCs w:val="14"/>
                <w:color w:val="auto"/>
              </w:rPr>
              <w:t>290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(104 )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(5 )</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Issuance of common stock through ESPP</w:t>
            </w: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8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FF0FC"/>
          </w:tcPr>
          <w:p>
            <w:pPr>
              <w:spacing w:after="0"/>
              <w:rPr>
                <w:sz w:val="16"/>
                <w:szCs w:val="16"/>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(8 )</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(8 )</w:t>
            </w: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71"/>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(90 )</w:t>
            </w:r>
          </w:p>
        </w:tc>
      </w:tr>
      <w:tr>
        <w:trPr>
          <w:trHeight w:val="20"/>
        </w:trPr>
        <w:tc>
          <w:tcPr>
            <w:tcW w:w="3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Balances as of June 30, 2022</w:t>
            </w:r>
          </w:p>
        </w:tc>
        <w:tc>
          <w:tcPr>
            <w:tcW w:w="900" w:type="dxa"/>
            <w:vAlign w:val="bottom"/>
          </w:tcPr>
          <w:p>
            <w:pPr>
              <w:jc w:val="right"/>
              <w:spacing w:after="0"/>
              <w:rPr>
                <w:sz w:val="20"/>
                <w:szCs w:val="20"/>
                <w:color w:val="auto"/>
              </w:rPr>
            </w:pPr>
            <w:r>
              <w:rPr>
                <w:rFonts w:ascii="Arial" w:cs="Arial" w:eastAsia="Arial" w:hAnsi="Arial"/>
                <w:sz w:val="14"/>
                <w:szCs w:val="14"/>
                <w:color w:val="auto"/>
              </w:rPr>
              <w:t>22,336</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3,383</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(6 )</w:t>
            </w: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(2,695 )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682</w:t>
            </w:r>
          </w:p>
        </w:tc>
        <w:tc>
          <w:tcPr>
            <w:tcW w:w="140" w:type="dxa"/>
            <w:vAlign w:val="bottom"/>
          </w:tcPr>
          <w:p>
            <w:pPr>
              <w:spacing w:after="0"/>
              <w:rPr>
                <w:sz w:val="15"/>
                <w:szCs w:val="15"/>
                <w:color w:val="auto"/>
              </w:rPr>
            </w:pPr>
          </w:p>
        </w:tc>
      </w:tr>
      <w:tr>
        <w:trPr>
          <w:trHeight w:val="20"/>
        </w:trPr>
        <w:tc>
          <w:tcPr>
            <w:tcW w:w="3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40"/>
        </w:trPr>
        <w:tc>
          <w:tcPr>
            <w:tcW w:w="3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Six Months Ended June 30, 2022</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2040" w:type="dxa"/>
            <w:vAlign w:val="bottom"/>
            <w:gridSpan w:val="4"/>
          </w:tcPr>
          <w:p>
            <w:pPr>
              <w:ind w:left="48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3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520"/>
              <w:spacing w:after="0" w:line="156"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50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62"/>
        </w:trPr>
        <w:tc>
          <w:tcPr>
            <w:tcW w:w="3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Comprehensive</w:t>
            </w:r>
          </w:p>
        </w:tc>
        <w:tc>
          <w:tcPr>
            <w:tcW w:w="13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Stockholders'</w:t>
            </w:r>
          </w:p>
        </w:tc>
      </w:tr>
      <w:tr>
        <w:trPr>
          <w:trHeight w:val="189"/>
        </w:trPr>
        <w:tc>
          <w:tcPr>
            <w:tcW w:w="3240" w:type="dxa"/>
            <w:vAlign w:val="bottom"/>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6"/>
                <w:szCs w:val="16"/>
                <w:color w:val="auto"/>
              </w:rPr>
            </w:pPr>
          </w:p>
        </w:tc>
      </w:tr>
      <w:tr>
        <w:trPr>
          <w:trHeight w:val="18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December 31, 2021</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21,949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420" w:type="dxa"/>
            <w:vAlign w:val="bottom"/>
            <w:tcBorders>
              <w:left w:val="single" w:sz="8" w:color="CFF0FC"/>
            </w:tcBorders>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3,360</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75"/>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(2,545 )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40" w:type="dxa"/>
            <w:vAlign w:val="bottom"/>
            <w:shd w:val="clear" w:color="auto" w:fill="CFF0FC"/>
          </w:tcPr>
          <w:p>
            <w:pPr>
              <w:spacing w:after="0"/>
              <w:rPr>
                <w:sz w:val="15"/>
                <w:szCs w:val="15"/>
                <w:color w:val="auto"/>
              </w:rPr>
            </w:pPr>
          </w:p>
        </w:tc>
      </w:tr>
      <w:tr>
        <w:trPr>
          <w:trHeight w:val="170"/>
        </w:trPr>
        <w:tc>
          <w:tcPr>
            <w:tcW w:w="3240" w:type="dxa"/>
            <w:vAlign w:val="bottom"/>
          </w:tcPr>
          <w:p>
            <w:pPr>
              <w:ind w:left="200"/>
              <w:spacing w:after="0"/>
              <w:rPr>
                <w:sz w:val="20"/>
                <w:szCs w:val="20"/>
                <w:color w:val="auto"/>
              </w:rPr>
            </w:pPr>
            <w:r>
              <w:rPr>
                <w:rFonts w:ascii="Arial" w:cs="Arial" w:eastAsia="Arial" w:hAnsi="Arial"/>
                <w:sz w:val="14"/>
                <w:szCs w:val="14"/>
                <w:color w:val="auto"/>
              </w:rPr>
              <w:t>Issuance of common stock upon exercise of</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1"/>
        </w:trPr>
        <w:tc>
          <w:tcPr>
            <w:tcW w:w="3240" w:type="dxa"/>
            <w:vAlign w:val="bottom"/>
          </w:tcPr>
          <w:p>
            <w:pPr>
              <w:ind w:left="200"/>
              <w:spacing w:after="0"/>
              <w:rPr>
                <w:sz w:val="20"/>
                <w:szCs w:val="20"/>
                <w:color w:val="auto"/>
              </w:rPr>
            </w:pPr>
            <w:r>
              <w:rPr>
                <w:rFonts w:ascii="Arial" w:cs="Arial" w:eastAsia="Arial" w:hAnsi="Arial"/>
                <w:sz w:val="14"/>
                <w:szCs w:val="14"/>
                <w:color w:val="auto"/>
              </w:rPr>
              <w:t>options for cash</w:t>
            </w: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0"/>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 settlement of</w:t>
            </w: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tcBorders>
              <w:left w:val="single" w:sz="8" w:color="CFF0FC"/>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0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81"/>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5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(5 )</w:t>
            </w: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6"/>
                <w:szCs w:val="16"/>
                <w:color w:val="auto"/>
              </w:rPr>
            </w:pP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6"/>
                <w:szCs w:val="16"/>
                <w:color w:val="auto"/>
              </w:rPr>
            </w:pPr>
          </w:p>
        </w:tc>
      </w:tr>
      <w:tr>
        <w:trPr>
          <w:trHeight w:val="189"/>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(9 )</w:t>
            </w:r>
          </w:p>
        </w:tc>
        <w:tc>
          <w:tcPr>
            <w:tcW w:w="20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(9 )</w:t>
            </w:r>
          </w:p>
        </w:tc>
      </w:tr>
      <w:tr>
        <w:trPr>
          <w:trHeight w:val="189"/>
        </w:trPr>
        <w:tc>
          <w:tcPr>
            <w:tcW w:w="32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(150 )</w:t>
            </w:r>
          </w:p>
        </w:tc>
      </w:tr>
      <w:tr>
        <w:trPr>
          <w:trHeight w:val="20"/>
        </w:trPr>
        <w:tc>
          <w:tcPr>
            <w:tcW w:w="3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June 30, 2022</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22,336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85"/>
              </w:rPr>
              <w:t>—</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3,383</w:t>
            </w:r>
          </w:p>
        </w:tc>
        <w:tc>
          <w:tcPr>
            <w:tcW w:w="28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(6 )</w:t>
            </w:r>
          </w:p>
        </w:tc>
        <w:tc>
          <w:tcPr>
            <w:tcW w:w="200" w:type="dxa"/>
            <w:vAlign w:val="bottom"/>
            <w:shd w:val="clear" w:color="auto" w:fill="CFF0FC"/>
          </w:tcPr>
          <w:p>
            <w:pPr>
              <w:jc w:val="right"/>
              <w:ind w:right="75"/>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(2,695 )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w:t>
            </w:r>
          </w:p>
        </w:tc>
        <w:tc>
          <w:tcPr>
            <w:tcW w:w="140" w:type="dxa"/>
            <w:vAlign w:val="bottom"/>
            <w:shd w:val="clear" w:color="auto" w:fill="CFF0FC"/>
          </w:tcPr>
          <w:p>
            <w:pPr>
              <w:spacing w:after="0"/>
              <w:rPr>
                <w:sz w:val="17"/>
                <w:szCs w:val="17"/>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-2236470</wp:posOffset>
            </wp:positionV>
            <wp:extent cx="7683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-2236470</wp:posOffset>
            </wp:positionV>
            <wp:extent cx="8572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-2236470</wp:posOffset>
            </wp:positionV>
            <wp:extent cx="8572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-2236470</wp:posOffset>
            </wp:positionV>
            <wp:extent cx="7683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-2236470</wp:posOffset>
            </wp:positionV>
            <wp:extent cx="8572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-2236470</wp:posOffset>
            </wp:positionV>
            <wp:extent cx="8572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Six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(169 )</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195"/>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provided by used in operating</w:t>
            </w:r>
          </w:p>
        </w:tc>
        <w:tc>
          <w:tcPr>
            <w:tcW w:w="9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activities:</w:t>
            </w: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Noncash inventory write downs</w:t>
            </w:r>
          </w:p>
        </w:tc>
        <w:tc>
          <w:tcPr>
            <w:tcW w:w="9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lease assets and property and equipment</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(accretion) amortization of discounts and premiums on marketable securities</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(4 )</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(5 )</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Funds receivable</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other current and noncurrent assets</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(16 )</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Merchants payable</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(33 )</w:t>
            </w: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Accrued and refund liabilities</w:t>
            </w:r>
          </w:p>
        </w:tc>
        <w:tc>
          <w:tcPr>
            <w:tcW w:w="9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(18 )</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(4 )</w:t>
            </w: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9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(1 )</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(180 )</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 and development of internal use software</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(3 )</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Purchases of marketable securities</w:t>
            </w:r>
          </w:p>
        </w:tc>
        <w:tc>
          <w:tcPr>
            <w:tcW w:w="9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(170 )</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Maturities of marketable securities</w:t>
            </w: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0"/>
              <w:spacing w:after="0"/>
              <w:rPr>
                <w:sz w:val="20"/>
                <w:szCs w:val="20"/>
                <w:color w:val="auto"/>
              </w:rPr>
            </w:pPr>
            <w:r>
              <w:rPr>
                <w:rFonts w:ascii="Arial" w:cs="Arial" w:eastAsia="Arial" w:hAnsi="Arial"/>
                <w:sz w:val="16"/>
                <w:szCs w:val="16"/>
                <w:color w:val="auto"/>
              </w:rPr>
              <w:t>Proceeds from issuance of common stock through employee equity incentive plans</w:t>
            </w:r>
          </w:p>
        </w:tc>
        <w:tc>
          <w:tcPr>
            <w:tcW w:w="9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 of taxes related to RSU settlement</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(4 )</w:t>
            </w: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(4 )</w:t>
            </w:r>
          </w:p>
        </w:tc>
        <w:tc>
          <w:tcPr>
            <w:tcW w:w="9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9"/>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effects on cash, cash equivalents and restricted cash</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(7 )</w:t>
            </w: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80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0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(188 )</w:t>
            </w:r>
          </w:p>
        </w:tc>
        <w:tc>
          <w:tcPr>
            <w:tcW w:w="9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(317 )</w:t>
            </w:r>
          </w:p>
        </w:tc>
        <w:tc>
          <w:tcPr>
            <w:tcW w:w="0" w:type="dxa"/>
            <w:vAlign w:val="bottom"/>
          </w:tcPr>
          <w:p>
            <w:pPr>
              <w:spacing w:after="0"/>
              <w:rPr>
                <w:sz w:val="1"/>
                <w:szCs w:val="1"/>
                <w:color w:val="auto"/>
              </w:rPr>
            </w:pPr>
          </w:p>
        </w:tc>
      </w:tr>
      <w:tr>
        <w:trPr>
          <w:trHeight w:val="219"/>
        </w:trPr>
        <w:tc>
          <w:tcPr>
            <w:tcW w:w="8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32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00" w:type="dxa"/>
            <w:vAlign w:val="bottom"/>
            <w:shd w:val="clear" w:color="auto" w:fill="CFF0FC"/>
          </w:tcPr>
          <w:p>
            <w:pPr>
              <w:ind w:left="20"/>
              <w:spacing w:after="0" w:line="165" w:lineRule="exact"/>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w:t>
            </w:r>
          </w:p>
        </w:tc>
        <w:tc>
          <w:tcPr>
            <w:tcW w:w="9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sheets:</w:t>
            </w: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318</w:t>
            </w:r>
          </w:p>
        </w:tc>
        <w:tc>
          <w:tcPr>
            <w:tcW w:w="32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cash included in prepaid and other current assets in the condensed consolidated balance sheets</w:t>
            </w: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32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200"/>
              <w:spacing w:after="0"/>
              <w:rPr>
                <w:sz w:val="20"/>
                <w:szCs w:val="20"/>
                <w:color w:val="auto"/>
              </w:rPr>
            </w:pPr>
            <w:r>
              <w:rPr>
                <w:rFonts w:ascii="Arial" w:cs="Arial" w:eastAsia="Arial" w:hAnsi="Arial"/>
                <w:sz w:val="16"/>
                <w:szCs w:val="16"/>
                <w:color w:val="auto"/>
              </w:rPr>
              <w:t>Cash paid for income taxes, net of refunds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-1426845</wp:posOffset>
            </wp:positionV>
            <wp:extent cx="8572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-1426845</wp:posOffset>
            </wp:positionV>
            <wp:extent cx="8572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-1144270</wp:posOffset>
            </wp:positionV>
            <wp:extent cx="8572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-1144270</wp:posOffset>
            </wp:positionV>
            <wp:extent cx="8572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-441325</wp:posOffset>
            </wp:positionV>
            <wp:extent cx="8572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-441325</wp:posOffset>
            </wp:positionV>
            <wp:extent cx="8572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CONTEXTLOGIC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16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ContextLogic Inc. (“Wish” or the “Company”) is a mobile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30"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operations domestically and internationally.</w:t>
      </w:r>
    </w:p>
    <w:p>
      <w:pPr>
        <w:spacing w:after="0" w:line="10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68" w:lineRule="exact"/>
        <w:rPr>
          <w:sz w:val="20"/>
          <w:szCs w:val="20"/>
          <w:color w:val="auto"/>
        </w:rPr>
      </w:pPr>
    </w:p>
    <w:p>
      <w:pPr>
        <w:jc w:val="both"/>
        <w:ind w:firstLine="599"/>
        <w:spacing w:after="0" w:line="238" w:lineRule="auto"/>
        <w:rPr>
          <w:sz w:val="20"/>
          <w:szCs w:val="20"/>
          <w:color w:val="auto"/>
        </w:rPr>
      </w:pPr>
      <w:r>
        <w:rPr>
          <w:rFonts w:ascii="Arial" w:cs="Arial" w:eastAsia="Arial" w:hAnsi="Arial"/>
          <w:sz w:val="18"/>
          <w:szCs w:val="18"/>
          <w:color w:val="auto"/>
        </w:rPr>
        <w:t>On April 10, 2023, the Company filed a certificate of amendment (the “Reverse Stock Split Amendment”) to the Company’s Restated Certificate of Incorporation with the Secretary of State of Delaware to effect a 1-for-30 Reverse Stock Split of the Company's Class A common stock ("common stock"), which became effective on April 11, 2023. The Reverse Stock Split Amendment did not reduce the number of authorized shares of common stock, which remains at 3 billion, and did not change the par value of the common stock, which remains at $0.0001 per share. As a result of the Reverse Stock Split, every thirty shares of the common stock were combined into one issued and outstanding share of common stock and no fractional shares were issued. Instead, to any holder who would have otherwise been entitled to receive a fractional share of common stock, the Company issued such holder an additional fractional share, such that, when combined with the fractional share otherwise issuable as a result of the Reverse Stock Split, equaled a whole share of common stock.</w:t>
      </w:r>
    </w:p>
    <w:p>
      <w:pPr>
        <w:spacing w:after="0" w:line="140" w:lineRule="exact"/>
        <w:rPr>
          <w:sz w:val="20"/>
          <w:szCs w:val="20"/>
          <w:color w:val="auto"/>
        </w:rPr>
      </w:pPr>
    </w:p>
    <w:p>
      <w:pPr>
        <w:ind w:left="640" w:right="740" w:hanging="37"/>
        <w:spacing w:after="0" w:line="422" w:lineRule="auto"/>
        <w:rPr>
          <w:sz w:val="20"/>
          <w:szCs w:val="20"/>
          <w:color w:val="auto"/>
        </w:rPr>
      </w:pPr>
      <w:r>
        <w:rPr>
          <w:rFonts w:ascii="Arial" w:cs="Arial" w:eastAsia="Arial" w:hAnsi="Arial"/>
          <w:sz w:val="18"/>
          <w:szCs w:val="18"/>
          <w:color w:val="auto"/>
        </w:rPr>
        <w:t xml:space="preserve">All share and per share information has been retroactively adjusted to reflect the reverse stock split for all periods presented. </w:t>
      </w:r>
      <w:r>
        <w:rPr>
          <w:rFonts w:ascii="Arial" w:cs="Arial" w:eastAsia="Arial" w:hAnsi="Arial"/>
          <w:sz w:val="18"/>
          <w:szCs w:val="18"/>
          <w:b w:val="1"/>
          <w:bCs w:val="1"/>
          <w:i w:val="1"/>
          <w:iCs w:val="1"/>
          <w:color w:val="auto"/>
        </w:rPr>
        <w:t>Basis of Presentation and Consolidation</w:t>
      </w:r>
    </w:p>
    <w:p>
      <w:pPr>
        <w:spacing w:after="0" w:line="1"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financial data as of June 30, 2023 and for the three and six months ended June 30, 2023 and 2022 is unaudited. In the opinion of management, the interim financial data includes all adjustments, consisting only of normal recurring adjustments, necessary to a fair statement of the results for the interim periods. The consolidated balance sheet as of December 31, 2022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2022, which was filed with the SEC on February 27, 2023 (the “2022 Form 10-K”).</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6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Company manages its operations and allocates resources as a single operating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62" w:lineRule="exact"/>
        <w:rPr>
          <w:sz w:val="20"/>
          <w:szCs w:val="20"/>
          <w:color w:val="auto"/>
        </w:rPr>
      </w:pPr>
    </w:p>
    <w:p>
      <w:pPr>
        <w:jc w:val="both"/>
        <w:ind w:right="40" w:firstLine="636"/>
        <w:spacing w:after="0" w:line="239"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139" w:lineRule="exact"/>
        <w:rPr>
          <w:sz w:val="20"/>
          <w:szCs w:val="20"/>
          <w:color w:val="auto"/>
        </w:rPr>
      </w:pPr>
    </w:p>
    <w:p>
      <w:pPr>
        <w:jc w:val="both"/>
        <w:ind w:right="40" w:firstLine="636"/>
        <w:spacing w:after="0" w:line="243"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37% and 24% of the Company’s total cash and cash equivalents as of June 30, 2023 and December 31, 2022, respectively.</w:t>
      </w:r>
    </w:p>
    <w:p>
      <w:pPr>
        <w:spacing w:after="0" w:line="134" w:lineRule="exact"/>
        <w:rPr>
          <w:sz w:val="20"/>
          <w:szCs w:val="20"/>
          <w:color w:val="auto"/>
        </w:rPr>
      </w:pPr>
    </w:p>
    <w:p>
      <w:pPr>
        <w:jc w:val="both"/>
        <w:ind w:right="40" w:firstLine="644"/>
        <w:spacing w:after="0" w:line="241"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p>
    <w:p>
      <w:pPr>
        <w:spacing w:after="0" w:line="135" w:lineRule="exact"/>
        <w:rPr>
          <w:sz w:val="20"/>
          <w:szCs w:val="20"/>
          <w:color w:val="auto"/>
        </w:rPr>
      </w:pPr>
    </w:p>
    <w:p>
      <w:pPr>
        <w:jc w:val="both"/>
        <w:ind w:right="40" w:firstLine="636"/>
        <w:spacing w:after="0" w:line="247" w:lineRule="auto"/>
        <w:rPr>
          <w:sz w:val="20"/>
          <w:szCs w:val="20"/>
          <w:color w:val="auto"/>
        </w:rPr>
      </w:pPr>
      <w:r>
        <w:rPr>
          <w:rFonts w:ascii="Arial" w:cs="Arial" w:eastAsia="Arial" w:hAnsi="Arial"/>
          <w:sz w:val="18"/>
          <w:szCs w:val="18"/>
          <w:color w:val="auto"/>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520" w:type="dxa"/>
            <w:vAlign w:val="bottom"/>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8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PSP 1</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68 %</w:t>
            </w:r>
          </w:p>
        </w:tc>
        <w:tc>
          <w:tcPr>
            <w:tcW w:w="178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w w:val="82"/>
              </w:rPr>
              <w:t>32 %</w:t>
            </w:r>
          </w:p>
        </w:tc>
        <w:tc>
          <w:tcPr>
            <w:tcW w:w="40" w:type="dxa"/>
            <w:vAlign w:val="bottom"/>
          </w:tcPr>
          <w:p>
            <w:pPr>
              <w:spacing w:after="0"/>
              <w:rPr>
                <w:sz w:val="19"/>
                <w:szCs w:val="19"/>
                <w:color w:val="auto"/>
              </w:rPr>
            </w:pP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PSP 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26 %</w:t>
            </w:r>
          </w:p>
        </w:tc>
        <w:tc>
          <w:tcPr>
            <w:tcW w:w="1820" w:type="dxa"/>
            <w:vAlign w:val="bottom"/>
            <w:gridSpan w:val="3"/>
          </w:tcPr>
          <w:p>
            <w:pPr>
              <w:ind w:left="1420"/>
              <w:spacing w:after="0"/>
              <w:rPr>
                <w:sz w:val="20"/>
                <w:szCs w:val="20"/>
                <w:color w:val="auto"/>
              </w:rPr>
            </w:pPr>
            <w:r>
              <w:rPr>
                <w:rFonts w:ascii="Arial" w:cs="Arial" w:eastAsia="Arial" w:hAnsi="Arial"/>
                <w:sz w:val="18"/>
                <w:szCs w:val="18"/>
                <w:color w:val="auto"/>
                <w:w w:val="92"/>
              </w:rPr>
              <w:t>56 %</w:t>
            </w:r>
          </w:p>
        </w:tc>
      </w:tr>
    </w:tbl>
    <w:p>
      <w:pPr>
        <w:spacing w:after="0" w:line="143" w:lineRule="exact"/>
        <w:rPr>
          <w:sz w:val="20"/>
          <w:szCs w:val="20"/>
          <w:color w:val="auto"/>
        </w:rPr>
      </w:pPr>
    </w:p>
    <w:p>
      <w:pPr>
        <w:jc w:val="both"/>
        <w:ind w:right="40" w:firstLine="636"/>
        <w:spacing w:after="0" w:line="245"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three and six months ended June 30, 2023 and 2022.</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68" w:lineRule="exact"/>
        <w:rPr>
          <w:sz w:val="20"/>
          <w:szCs w:val="20"/>
          <w:color w:val="auto"/>
        </w:rPr>
      </w:pPr>
    </w:p>
    <w:p>
      <w:pPr>
        <w:jc w:val="both"/>
        <w:ind w:right="40" w:firstLine="636"/>
        <w:spacing w:after="0" w:line="260" w:lineRule="auto"/>
        <w:rPr>
          <w:sz w:val="20"/>
          <w:szCs w:val="20"/>
          <w:color w:val="auto"/>
        </w:rPr>
      </w:pPr>
      <w:r>
        <w:rPr>
          <w:rFonts w:ascii="Arial" w:cs="Arial" w:eastAsia="Arial" w:hAnsi="Arial"/>
          <w:sz w:val="18"/>
          <w:szCs w:val="18"/>
          <w:color w:val="auto"/>
        </w:rPr>
        <w:t>There have been no changes to the Company’s significant accounting policies described in its 2022 Form 10-K, filed with the SEC on February 27, 2023, that have had a material impact on its condensed consolidated financial statements.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8" w:lineRule="exact"/>
        <w:rPr>
          <w:sz w:val="20"/>
          <w:szCs w:val="20"/>
          <w:color w:val="auto"/>
        </w:rPr>
      </w:pPr>
    </w:p>
    <w:p>
      <w:pPr>
        <w:jc w:val="both"/>
        <w:ind w:right="40" w:firstLine="636"/>
        <w:spacing w:after="0" w:line="260"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condensed consolidated financial statements as a result of future adoption.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6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generates revenue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depending on the revenue stream.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Marketplace Revenue</w:t>
      </w:r>
    </w:p>
    <w:p>
      <w:pPr>
        <w:spacing w:after="0" w:line="164"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spacing w:after="0" w:line="130"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geography, product category, Wish Standards' tier, item value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the Company's marketplace. The Company recognizes ProductBoost revenue based on the number of impressions delivered, or clicks by users.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64"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8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9"/>
                <w:szCs w:val="19"/>
                <w:color w:val="auto"/>
              </w:rPr>
            </w:pPr>
          </w:p>
        </w:tc>
      </w:tr>
      <w:tr>
        <w:trPr>
          <w:trHeight w:val="239"/>
        </w:trPr>
        <w:tc>
          <w:tcPr>
            <w:tcW w:w="46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23"/>
        </w:trPr>
        <w:tc>
          <w:tcPr>
            <w:tcW w:w="4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Core marketplace revenue</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ProductBoost revenue</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w:t>
            </w: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FF0FC"/>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Logistics revenue</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r>
      <w:tr>
        <w:trPr>
          <w:trHeight w:val="263"/>
        </w:trPr>
        <w:tc>
          <w:tcPr>
            <w:tcW w:w="4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Geographical Information for the disaggregated revenue by geographical location.</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34"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June 30, 2023</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Level 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9"/>
                <w:szCs w:val="19"/>
                <w:color w:val="auto"/>
              </w:rPr>
            </w:pPr>
          </w:p>
        </w:tc>
      </w:tr>
      <w:tr>
        <w:trPr>
          <w:trHeight w:val="223"/>
        </w:trPr>
        <w:tc>
          <w:tcPr>
            <w:tcW w:w="5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1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178</w:t>
            </w:r>
          </w:p>
        </w:tc>
        <w:tc>
          <w:tcPr>
            <w:tcW w:w="11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r>
      <w:tr>
        <w:trPr>
          <w:trHeight w:val="229"/>
        </w:trPr>
        <w:tc>
          <w:tcPr>
            <w:tcW w:w="56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r>
      <w:tr>
        <w:trPr>
          <w:trHeight w:val="23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r>
      <w:tr>
        <w:trPr>
          <w:trHeight w:val="229"/>
        </w:trPr>
        <w:tc>
          <w:tcPr>
            <w:tcW w:w="566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U.S. government agency</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marketable securities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213</w:t>
            </w:r>
          </w:p>
        </w:tc>
        <w:tc>
          <w:tcPr>
            <w:tcW w:w="11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r>
      <w:tr>
        <w:trPr>
          <w:trHeight w:val="223"/>
        </w:trPr>
        <w:tc>
          <w:tcPr>
            <w:tcW w:w="5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Prepaid and other current assets:</w:t>
            </w:r>
          </w:p>
        </w:tc>
        <w:tc>
          <w:tcPr>
            <w:tcW w:w="8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Derivative assets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5660" w:type="dxa"/>
            <w:vAlign w:val="bottom"/>
          </w:tcPr>
          <w:p>
            <w:pPr>
              <w:ind w:left="280"/>
              <w:spacing w:after="0"/>
              <w:rPr>
                <w:sz w:val="20"/>
                <w:szCs w:val="20"/>
                <w:color w:val="auto"/>
              </w:rPr>
            </w:pPr>
            <w:r>
              <w:rPr>
                <w:rFonts w:ascii="Arial" w:cs="Arial" w:eastAsia="Arial" w:hAnsi="Arial"/>
                <w:sz w:val="18"/>
                <w:szCs w:val="18"/>
                <w:color w:val="auto"/>
              </w:rPr>
              <w:t>Total financial assets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255</w:t>
            </w:r>
          </w:p>
        </w:tc>
        <w:tc>
          <w:tcPr>
            <w:tcW w:w="28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Derivative liabilities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5660" w:type="dxa"/>
            <w:vAlign w:val="bottom"/>
          </w:tcPr>
          <w:p>
            <w:pPr>
              <w:ind w:left="280"/>
              <w:spacing w:after="0"/>
              <w:rPr>
                <w:sz w:val="20"/>
                <w:szCs w:val="20"/>
                <w:color w:val="auto"/>
              </w:rPr>
            </w:pPr>
            <w:r>
              <w:rPr>
                <w:rFonts w:ascii="Arial" w:cs="Arial" w:eastAsia="Arial" w:hAnsi="Arial"/>
                <w:sz w:val="18"/>
                <w:szCs w:val="18"/>
                <w:color w:val="auto"/>
              </w:rPr>
              <w:t>Total financial liabilities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-1263650</wp:posOffset>
            </wp:positionV>
            <wp:extent cx="7145020" cy="3213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-796290</wp:posOffset>
            </wp:positionV>
            <wp:extent cx="8572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-796290</wp:posOffset>
            </wp:positionV>
            <wp:extent cx="85725"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-796290</wp:posOffset>
            </wp:positionV>
            <wp:extent cx="8572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-796290</wp:posOffset>
            </wp:positionV>
            <wp:extent cx="85725"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-179705</wp:posOffset>
            </wp:positionV>
            <wp:extent cx="8572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-179705</wp:posOffset>
            </wp:positionV>
            <wp:extent cx="8572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-179705</wp:posOffset>
            </wp:positionV>
            <wp:extent cx="85725"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30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5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equivalents</w:t>
            </w:r>
          </w:p>
        </w:tc>
        <w:tc>
          <w:tcPr>
            <w:tcW w:w="230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Marketable securities:</w:t>
            </w:r>
          </w:p>
        </w:tc>
        <w:tc>
          <w:tcPr>
            <w:tcW w:w="150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230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173</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Non-U.S. government</w:t>
            </w:r>
          </w:p>
        </w:tc>
        <w:tc>
          <w:tcPr>
            <w:tcW w:w="15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230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213</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Prepaid and other current assets:</w:t>
            </w:r>
          </w:p>
        </w:tc>
        <w:tc>
          <w:tcPr>
            <w:tcW w:w="150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Derivative assets</w:t>
            </w:r>
          </w:p>
        </w:tc>
        <w:tc>
          <w:tcPr>
            <w:tcW w:w="15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23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Derivative liabilities</w:t>
            </w:r>
          </w:p>
        </w:tc>
        <w:tc>
          <w:tcPr>
            <w:tcW w:w="15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Total financial liabilities</w:t>
            </w:r>
          </w:p>
        </w:tc>
        <w:tc>
          <w:tcPr>
            <w:tcW w:w="150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300" w:type="dxa"/>
            <w:vAlign w:val="bottom"/>
            <w:gridSpan w:val="2"/>
          </w:tcPr>
          <w:p>
            <w:pPr>
              <w:jc w:val="right"/>
              <w:ind w:right="65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12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-2468245</wp:posOffset>
            </wp:positionV>
            <wp:extent cx="8572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-2468245</wp:posOffset>
            </wp:positionV>
            <wp:extent cx="8572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-2468245</wp:posOffset>
            </wp:positionV>
            <wp:extent cx="85725"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-2468245</wp:posOffset>
            </wp:positionV>
            <wp:extent cx="85725"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-1576705</wp:posOffset>
            </wp:positionV>
            <wp:extent cx="8572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-1576705</wp:posOffset>
            </wp:positionV>
            <wp:extent cx="8572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-1576705</wp:posOffset>
            </wp:positionV>
            <wp:extent cx="85725"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-1576705</wp:posOffset>
            </wp:positionV>
            <wp:extent cx="8572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-1276350</wp:posOffset>
            </wp:positionV>
            <wp:extent cx="85725"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-1276350</wp:posOffset>
            </wp:positionV>
            <wp:extent cx="85725"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-1276350</wp:posOffset>
            </wp:positionV>
            <wp:extent cx="85725"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-1276350</wp:posOffset>
            </wp:positionV>
            <wp:extent cx="85725"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-659765</wp:posOffset>
            </wp:positionV>
            <wp:extent cx="85725"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-659765</wp:posOffset>
            </wp:positionV>
            <wp:extent cx="85725"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-659765</wp:posOffset>
            </wp:positionV>
            <wp:extent cx="85725"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-659765</wp:posOffset>
            </wp:positionV>
            <wp:extent cx="85725"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3" w:name="page14"/>
    <w:bookmarkEnd w:id="13"/>
    <w:p>
      <w:pPr>
        <w:jc w:val="both"/>
        <w:ind w:firstLine="644"/>
        <w:spacing w:after="0" w:line="241"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4"/>
          </w:tcPr>
          <w:p>
            <w:pPr>
              <w:jc w:val="right"/>
              <w:ind w:right="834"/>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7"/>
              </w:rPr>
              <w:t>Amortized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4"/>
              <w:spacing w:after="0" w:line="187" w:lineRule="exact"/>
              <w:rPr>
                <w:sz w:val="20"/>
                <w:szCs w:val="20"/>
                <w:color w:val="auto"/>
              </w:rPr>
            </w:pPr>
            <w:r>
              <w:rPr>
                <w:rFonts w:ascii="Arial" w:cs="Arial" w:eastAsia="Arial" w:hAnsi="Arial"/>
                <w:sz w:val="18"/>
                <w:szCs w:val="18"/>
                <w:b w:val="1"/>
                <w:bCs w:val="1"/>
                <w:color w:val="auto"/>
                <w:w w:val="99"/>
              </w:rPr>
              <w:t>Estimated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7"/>
              </w:rPr>
              <w:t>Amortized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7"/>
              </w:rPr>
              <w:t>Estimated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Fair Value</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280"/>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June 30, 2023 and December 31, 2022, respectively, were insignificant.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62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53"/>
        </w:trPr>
        <w:tc>
          <w:tcPr>
            <w:tcW w:w="762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762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6"/>
        </w:trPr>
        <w:tc>
          <w:tcPr>
            <w:tcW w:w="7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4"/>
                <w:szCs w:val="24"/>
                <w:color w:val="auto"/>
              </w:rPr>
            </w:pPr>
          </w:p>
        </w:tc>
      </w:tr>
      <w:tr>
        <w:trPr>
          <w:trHeight w:val="239"/>
        </w:trPr>
        <w:tc>
          <w:tcPr>
            <w:tcW w:w="7620" w:type="dxa"/>
            <w:vAlign w:val="bottom"/>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23"/>
        </w:trPr>
        <w:tc>
          <w:tcPr>
            <w:tcW w:w="7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60" w:type="dxa"/>
            <w:vAlign w:val="bottom"/>
            <w:gridSpan w:val="4"/>
          </w:tcPr>
          <w:p>
            <w:pPr>
              <w:jc w:val="right"/>
              <w:ind w:right="125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9"/>
                <w:szCs w:val="19"/>
                <w:color w:val="auto"/>
              </w:rPr>
            </w:pPr>
          </w:p>
        </w:tc>
      </w:tr>
      <w:tr>
        <w:trPr>
          <w:trHeight w:val="229"/>
        </w:trPr>
        <w:tc>
          <w:tcPr>
            <w:tcW w:w="762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Logistics costs</w:t>
            </w:r>
            <w:r>
              <w:rPr>
                <w:rFonts w:ascii="Arial" w:cs="Arial" w:eastAsia="Arial" w:hAnsi="Arial"/>
                <w:sz w:val="24"/>
                <w:szCs w:val="24"/>
                <w:color w:val="auto"/>
                <w:vertAlign w:val="superscript"/>
              </w:rPr>
              <w:t>(1)</w:t>
            </w:r>
          </w:p>
        </w:tc>
        <w:tc>
          <w:tcPr>
            <w:tcW w:w="122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r>
      <w:tr>
        <w:trPr>
          <w:trHeight w:val="230"/>
        </w:trPr>
        <w:tc>
          <w:tcPr>
            <w:tcW w:w="7620" w:type="dxa"/>
            <w:vAlign w:val="bottom"/>
          </w:tcPr>
          <w:p>
            <w:pPr>
              <w:ind w:left="20"/>
              <w:spacing w:after="0" w:line="229" w:lineRule="exact"/>
              <w:rPr>
                <w:sz w:val="20"/>
                <w:szCs w:val="20"/>
                <w:color w:val="auto"/>
              </w:rPr>
            </w:pPr>
            <w:r>
              <w:rPr>
                <w:rFonts w:ascii="Arial" w:cs="Arial" w:eastAsia="Arial" w:hAnsi="Arial"/>
                <w:sz w:val="18"/>
                <w:szCs w:val="18"/>
                <w:color w:val="auto"/>
              </w:rPr>
              <w:t>Deferred revenue and customer deposits</w:t>
            </w:r>
            <w:r>
              <w:rPr>
                <w:rFonts w:ascii="Arial" w:cs="Arial" w:eastAsia="Arial" w:hAnsi="Arial"/>
                <w:sz w:val="24"/>
                <w:szCs w:val="24"/>
                <w:color w:val="auto"/>
                <w:vertAlign w:val="superscript"/>
              </w:rPr>
              <w:t>(2)</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r>
      <w:tr>
        <w:trPr>
          <w:trHeight w:val="230"/>
        </w:trPr>
        <w:tc>
          <w:tcPr>
            <w:tcW w:w="762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Wish Cash liability</w:t>
            </w:r>
            <w:r>
              <w:rPr>
                <w:rFonts w:ascii="Arial" w:cs="Arial" w:eastAsia="Arial" w:hAnsi="Arial"/>
                <w:sz w:val="24"/>
                <w:szCs w:val="24"/>
                <w:color w:val="auto"/>
                <w:vertAlign w:val="superscript"/>
              </w:rPr>
              <w:t>(3)</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r>
      <w:tr>
        <w:trPr>
          <w:trHeight w:val="230"/>
        </w:trPr>
        <w:tc>
          <w:tcPr>
            <w:tcW w:w="7620" w:type="dxa"/>
            <w:vAlign w:val="bottom"/>
          </w:tcPr>
          <w:p>
            <w:pPr>
              <w:ind w:left="20"/>
              <w:spacing w:after="0" w:line="229" w:lineRule="exact"/>
              <w:rPr>
                <w:sz w:val="20"/>
                <w:szCs w:val="20"/>
                <w:color w:val="auto"/>
              </w:rPr>
            </w:pPr>
            <w:r>
              <w:rPr>
                <w:rFonts w:ascii="Arial" w:cs="Arial" w:eastAsia="Arial" w:hAnsi="Arial"/>
                <w:sz w:val="18"/>
                <w:szCs w:val="18"/>
                <w:color w:val="auto"/>
              </w:rPr>
              <w:t>Sales and indirect taxes</w:t>
            </w:r>
            <w:r>
              <w:rPr>
                <w:rFonts w:ascii="Arial" w:cs="Arial" w:eastAsia="Arial" w:hAnsi="Arial"/>
                <w:sz w:val="24"/>
                <w:szCs w:val="24"/>
                <w:color w:val="auto"/>
                <w:vertAlign w:val="superscript"/>
              </w:rPr>
              <w:t>(4)</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r>
      <w:tr>
        <w:trPr>
          <w:trHeight w:val="22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2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-179705</wp:posOffset>
            </wp:positionV>
            <wp:extent cx="9398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45" w:lineRule="exact"/>
        <w:rPr>
          <w:sz w:val="20"/>
          <w:szCs w:val="20"/>
          <w:color w:val="auto"/>
        </w:rPr>
      </w:pPr>
    </w:p>
    <w:p>
      <w:pPr>
        <w:ind w:left="1140" w:hanging="383"/>
        <w:spacing w:after="0" w:line="256"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Logistics costs decreased by $15 million or 34% primarily due to lower shipping volumes during the second quarter of 2023 compared to the fourth quarter of 2022.</w:t>
      </w:r>
    </w:p>
    <w:p>
      <w:pPr>
        <w:spacing w:after="0" w:line="260" w:lineRule="exact"/>
        <w:rPr>
          <w:rFonts w:ascii="Arial" w:cs="Arial" w:eastAsia="Arial" w:hAnsi="Arial"/>
          <w:sz w:val="14"/>
          <w:szCs w:val="14"/>
          <w:color w:val="auto"/>
        </w:rPr>
      </w:pPr>
    </w:p>
    <w:p>
      <w:pPr>
        <w:jc w:val="both"/>
        <w:ind w:left="1140" w:hanging="383"/>
        <w:spacing w:after="0" w:line="257"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Deferred revenue and customer deposits decreased by $4 million or 22% primarily due to lower logistics volumes during the second quarter of 2023 compared to the fourth quarter of 2022. The amount of revenue recognized during the six months ended June 30, 2023 that was included in the December 31, 2022 balance was $13 million.</w:t>
      </w:r>
    </w:p>
    <w:p>
      <w:pPr>
        <w:spacing w:after="0" w:line="76" w:lineRule="exact"/>
        <w:rPr>
          <w:rFonts w:ascii="Arial" w:cs="Arial" w:eastAsia="Arial" w:hAnsi="Arial"/>
          <w:sz w:val="14"/>
          <w:szCs w:val="14"/>
          <w:color w:val="auto"/>
        </w:rPr>
      </w:pPr>
    </w:p>
    <w:p>
      <w:pPr>
        <w:jc w:val="both"/>
        <w:ind w:left="1140" w:hanging="383"/>
        <w:spacing w:after="0" w:line="249"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Wish Cash liability breakage recognized in core marketplace revenue during the six months ended June 30, 2023 was approximately $1 million.</w:t>
      </w:r>
    </w:p>
    <w:p>
      <w:pPr>
        <w:spacing w:after="0" w:line="82" w:lineRule="exact"/>
        <w:rPr>
          <w:rFonts w:ascii="Arial" w:cs="Arial" w:eastAsia="Arial" w:hAnsi="Arial"/>
          <w:sz w:val="14"/>
          <w:szCs w:val="14"/>
          <w:color w:val="auto"/>
        </w:rPr>
      </w:pPr>
    </w:p>
    <w:p>
      <w:pPr>
        <w:ind w:left="1140" w:hanging="383"/>
        <w:spacing w:after="0" w:line="273"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and indirect taxes decreased by $2 million or 13% primarily due to less taxes collected in connection with lower order volumes during the second quarter of 2023 compared to the fourth quarter of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6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derivatives transactions are not collateralized and do not include collateralization agreements with counterparties.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center"/>
              <w:ind w:left="232"/>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5"/>
          </w:tcPr>
          <w:p>
            <w:pPr>
              <w:jc w:val="right"/>
              <w:ind w:right="114"/>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2022</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5"/>
          </w:tcPr>
          <w:p>
            <w:pPr>
              <w:ind w:left="40"/>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hedges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1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120</w:t>
            </w:r>
          </w:p>
        </w:tc>
        <w:tc>
          <w:tcPr>
            <w:tcW w:w="6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Non-designated hedges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61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131</w:t>
            </w:r>
          </w:p>
        </w:tc>
        <w:tc>
          <w:tcPr>
            <w:tcW w:w="6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6040" w:type="dxa"/>
            <w:vAlign w:val="bottom"/>
            <w:tcBorders>
              <w:top w:val="single" w:sz="8" w:color="CFF0FC"/>
            </w:tcBorders>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2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5"/>
          </w:tcPr>
          <w:p>
            <w:pPr>
              <w:ind w:left="14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4"/>
              </w:rPr>
              <w:t>2023</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99"/>
              </w:rPr>
              <w:t>2022</w:t>
            </w:r>
          </w:p>
        </w:tc>
        <w:tc>
          <w:tcPr>
            <w:tcW w:w="4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Assets</w:t>
            </w:r>
            <w:r>
              <w:rPr>
                <w:rFonts w:ascii="Arial" w:cs="Arial" w:eastAsia="Arial" w:hAnsi="Arial"/>
                <w:sz w:val="24"/>
                <w:szCs w:val="24"/>
                <w:b w:val="1"/>
                <w:bCs w:val="1"/>
                <w:color w:val="auto"/>
                <w:w w:val="91"/>
                <w:vertAlign w:val="superscript"/>
              </w:rPr>
              <w:t>(1)</w:t>
            </w:r>
          </w:p>
        </w:tc>
        <w:tc>
          <w:tcPr>
            <w:tcW w:w="28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Liabilities</w:t>
            </w:r>
            <w:r>
              <w:rPr>
                <w:rFonts w:ascii="Arial" w:cs="Arial" w:eastAsia="Arial" w:hAnsi="Arial"/>
                <w:sz w:val="24"/>
                <w:szCs w:val="24"/>
                <w:b w:val="1"/>
                <w:bCs w:val="1"/>
                <w:color w:val="auto"/>
                <w:w w:val="99"/>
                <w:vertAlign w:val="superscript"/>
              </w:rPr>
              <w:t>(2)</w:t>
            </w:r>
          </w:p>
        </w:tc>
        <w:tc>
          <w:tcPr>
            <w:tcW w:w="2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w w:val="96"/>
              </w:rPr>
              <w:t>Assets</w:t>
            </w:r>
            <w:r>
              <w:rPr>
                <w:rFonts w:ascii="Arial" w:cs="Arial" w:eastAsia="Arial" w:hAnsi="Arial"/>
                <w:sz w:val="24"/>
                <w:szCs w:val="24"/>
                <w:b w:val="1"/>
                <w:bCs w:val="1"/>
                <w:color w:val="auto"/>
                <w:w w:val="96"/>
                <w:vertAlign w:val="superscript"/>
              </w:rPr>
              <w:t>(1)</w:t>
            </w:r>
          </w:p>
        </w:tc>
        <w:tc>
          <w:tcPr>
            <w:tcW w:w="2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rPr>
              <w:t>Liabilities</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94"/>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designated as hedging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80"/>
              <w:spacing w:after="0"/>
              <w:rPr>
                <w:sz w:val="20"/>
                <w:szCs w:val="20"/>
                <w:color w:val="auto"/>
              </w:rPr>
            </w:pPr>
            <w:r>
              <w:rPr>
                <w:rFonts w:ascii="Arial" w:cs="Arial" w:eastAsia="Arial" w:hAnsi="Arial"/>
                <w:sz w:val="18"/>
                <w:szCs w:val="18"/>
                <w:color w:val="auto"/>
              </w:rPr>
              <w:t>Cash flow hedges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not designated as hedging instruments</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79"/>
              </w:rPr>
              <w:t>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derivatives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gridSpan w:val="2"/>
            <w:shd w:val="clear" w:color="auto" w:fill="CFF0FC"/>
          </w:tcPr>
          <w:p>
            <w:pPr>
              <w:ind w:left="540"/>
              <w:spacing w:after="0"/>
              <w:rPr>
                <w:sz w:val="20"/>
                <w:szCs w:val="20"/>
                <w:color w:val="auto"/>
              </w:rPr>
            </w:pPr>
            <w:r>
              <w:rPr>
                <w:rFonts w:ascii="Arial" w:cs="Arial" w:eastAsia="Arial" w:hAnsi="Arial"/>
                <w:sz w:val="18"/>
                <w:szCs w:val="18"/>
                <w:color w:val="auto"/>
                <w:w w:val="79"/>
              </w:rPr>
              <w:t>6</w:t>
            </w:r>
          </w:p>
        </w:tc>
        <w:tc>
          <w:tcPr>
            <w:tcW w:w="2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-1859915</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-1842135</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-1859915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-1842135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3" w:lineRule="exact"/>
        <w:rPr>
          <w:sz w:val="20"/>
          <w:szCs w:val="20"/>
          <w:color w:val="auto"/>
        </w:rPr>
      </w:pPr>
    </w:p>
    <w:p>
      <w:pPr>
        <w:ind w:left="1140" w:hanging="383"/>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Derivative assets are included within prepaid and other current assets in the condensed consolidated balance sheets.</w:t>
      </w:r>
    </w:p>
    <w:p>
      <w:pPr>
        <w:spacing w:after="0" w:line="113" w:lineRule="exact"/>
        <w:rPr>
          <w:rFonts w:ascii="Arial" w:cs="Arial" w:eastAsia="Arial" w:hAnsi="Arial"/>
          <w:sz w:val="16"/>
          <w:szCs w:val="16"/>
          <w:color w:val="auto"/>
        </w:rPr>
      </w:pPr>
    </w:p>
    <w:p>
      <w:pPr>
        <w:ind w:left="1140" w:hanging="383"/>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Derivative liabilities are included within "other" in accrued liabilities in the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262626"/>
        </w:rPr>
        <w:t>The changes in accumulated other comprehensive income (loss) resulting from cash flow hedging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20" w:type="dxa"/>
            <w:vAlign w:val="bottom"/>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100" w:type="dxa"/>
            <w:vAlign w:val="bottom"/>
            <w:gridSpan w:val="3"/>
          </w:tcPr>
          <w:p>
            <w:pPr>
              <w:jc w:val="right"/>
              <w:ind w:right="109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2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2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(5 )</w:t>
            </w:r>
          </w:p>
        </w:tc>
        <w:tc>
          <w:tcPr>
            <w:tcW w:w="14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(6 )</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Amounts recognized in core marketplace revenue and reclassified out of</w:t>
            </w:r>
          </w:p>
        </w:tc>
        <w:tc>
          <w:tcPr>
            <w:tcW w:w="128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vMerge w:val="continue"/>
            <w:shd w:val="clear" w:color="auto" w:fill="CFF0FC"/>
          </w:tcPr>
          <w:p>
            <w:pPr>
              <w:spacing w:after="0"/>
              <w:rPr>
                <w:sz w:val="18"/>
                <w:szCs w:val="18"/>
                <w:color w:val="auto"/>
              </w:rPr>
            </w:pPr>
          </w:p>
        </w:tc>
        <w:tc>
          <w:tcPr>
            <w:tcW w:w="340" w:type="dxa"/>
            <w:vAlign w:val="bottom"/>
            <w:tcBorders>
              <w:bottom w:val="single" w:sz="8" w:color="CFF0FC"/>
            </w:tcBorders>
            <w:vMerge w:val="continue"/>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(3 )</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5520"/>
              <w:spacing w:after="0"/>
              <w:rPr>
                <w:sz w:val="20"/>
                <w:szCs w:val="20"/>
                <w:color w:val="auto"/>
              </w:rPr>
            </w:pPr>
            <w:r>
              <w:rPr>
                <w:rFonts w:ascii="Arial" w:cs="Arial" w:eastAsia="Arial" w:hAnsi="Arial"/>
                <w:sz w:val="18"/>
                <w:szCs w:val="18"/>
                <w:color w:val="auto"/>
              </w:rPr>
              <w:t>12</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5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5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-659130</wp:posOffset>
            </wp:positionV>
            <wp:extent cx="85725"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5" w:name="page16"/>
    <w:bookmarkEnd w:id="15"/>
    <w:p>
      <w:pPr>
        <w:jc w:val="both"/>
        <w:ind w:firstLine="644"/>
        <w:spacing w:after="0" w:line="238" w:lineRule="auto"/>
        <w:rPr>
          <w:sz w:val="20"/>
          <w:szCs w:val="20"/>
          <w:color w:val="auto"/>
        </w:rPr>
      </w:pPr>
      <w:r>
        <w:rPr>
          <w:rFonts w:ascii="Arial" w:cs="Arial" w:eastAsia="Arial" w:hAnsi="Arial"/>
          <w:sz w:val="18"/>
          <w:szCs w:val="18"/>
          <w:color w:val="262626"/>
        </w:rPr>
        <w:t>The Company recognizes changes in fair value of the cash flow hedges of foreign currency denominated merchants payable in accumulated other comprehensive loss in its condensed consolidated balance sheets until the forecasted transaction occurs.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and six months ended June 30, 2023 and 2022, there were no net gains or losses recognized in core marketplace revenue relating to hedges of forecasted transactions that did not occur or were not probable to occur.</w:t>
      </w:r>
    </w:p>
    <w:p>
      <w:pPr>
        <w:spacing w:after="0" w:line="140"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Company classifies cash flows related to its cash flow hedges as operating activities in its condensed consolidated statements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Derivatives Not Designated as Hedging Instruments</w:t>
      </w:r>
    </w:p>
    <w:p>
      <w:pPr>
        <w:spacing w:after="0" w:line="164"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net gains and losses on the change in fair value of the Company’s foreign exchange forward contracts not designated as hedging instruments recognized in other income, net in the condensed consolidated statements of operations were approximately net losses of $4 million for both the three and six months ended June 30, 2023, and were approximately net losses of $5 million and $4 million for each of the three and six months ended June 30, 2022, respectively.</w:t>
      </w:r>
    </w:p>
    <w:p>
      <w:pPr>
        <w:spacing w:after="0" w:line="13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The Company classifies cash flows related to its non-designated hedging instruments as operating activities in its condensed consolidated statements of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OPERATING LEASES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2027.</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Total operating lease cost was $1 million and $2 million for the three and six months ended June 30, 2023, respectively, and $2 million and $4 million for the three and six months ended June 30, 2022, respectively. Short-term lease costs, variable lease costs and sublease income were not material.</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June 30, 2023 and December 31, 2022, the Company’s condensed consolidated balance sheets included right-of-use assets in the amount of $6 million and $9 million, respectively, and current lease liabilities in the amount of $7 million and $7 million in accrued liabilities, respectively, and $9 million and $13 million in lease liabilities, non-current, respectively.</w:t>
      </w:r>
    </w:p>
    <w:p>
      <w:pPr>
        <w:spacing w:after="0" w:line="130"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As of June 30, 2023 and December 31, 2022, the weighted-average remaining lease term was 2 and 3 years, respectively, and the weighted-average discount rate used to determine the net present value of the lease liabilities was 6% for both periods.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0" w:type="dxa"/>
            <w:vAlign w:val="bottom"/>
            <w:tcBorders>
              <w:bottom w:val="single" w:sz="8" w:color="auto"/>
            </w:tcBorders>
            <w:gridSpan w:val="5"/>
          </w:tcPr>
          <w:p>
            <w:pPr>
              <w:jc w:val="center"/>
              <w:ind w:left="150"/>
              <w:spacing w:after="0"/>
              <w:rPr>
                <w:sz w:val="20"/>
                <w:szCs w:val="20"/>
                <w:color w:val="auto"/>
              </w:rPr>
            </w:pPr>
            <w:r>
              <w:rPr>
                <w:rFonts w:ascii="Arial" w:cs="Arial" w:eastAsia="Arial" w:hAnsi="Arial"/>
                <w:sz w:val="18"/>
                <w:szCs w:val="18"/>
                <w:b w:val="1"/>
                <w:bCs w:val="1"/>
                <w:color w:val="auto"/>
                <w:w w:val="99"/>
              </w:rPr>
              <w:t>Six Months Ended,</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2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left="155"/>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340" w:type="dxa"/>
            <w:vAlign w:val="bottom"/>
            <w:gridSpan w:val="2"/>
          </w:tcPr>
          <w:p>
            <w:pPr>
              <w:spacing w:after="0"/>
              <w:rPr>
                <w:sz w:val="20"/>
                <w:szCs w:val="20"/>
                <w:color w:val="auto"/>
              </w:rPr>
            </w:pPr>
          </w:p>
        </w:tc>
        <w:tc>
          <w:tcPr>
            <w:tcW w:w="1320" w:type="dxa"/>
            <w:vAlign w:val="bottom"/>
            <w:tcBorders>
              <w:bottom w:val="single" w:sz="8" w:color="auto"/>
            </w:tcBorders>
          </w:tcPr>
          <w:p>
            <w:pPr>
              <w:jc w:val="center"/>
              <w:ind w:left="155"/>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80" w:type="dxa"/>
            <w:vAlign w:val="bottom"/>
            <w:gridSpan w:val="4"/>
          </w:tcPr>
          <w:p>
            <w:pPr>
              <w:jc w:val="center"/>
              <w:ind w:right="89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660" w:type="dxa"/>
            <w:vAlign w:val="bottom"/>
            <w:gridSpan w:val="3"/>
          </w:tcPr>
          <w:p>
            <w:pPr>
              <w:jc w:val="right"/>
              <w:ind w:right="1115"/>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460" w:type="dxa"/>
            <w:vAlign w:val="bottom"/>
            <w:gridSpan w:val="2"/>
          </w:tcPr>
          <w:p>
            <w:pPr>
              <w:ind w:left="6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left="195"/>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480" w:type="dxa"/>
            <w:vAlign w:val="bottom"/>
            <w:gridSpan w:val="3"/>
            <w:vMerge w:val="continue"/>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left="17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2023 (remaining six months)</w:t>
            </w: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2024</w:t>
            </w:r>
          </w:p>
        </w:tc>
        <w:tc>
          <w:tcPr>
            <w:tcW w:w="5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2025</w:t>
            </w:r>
          </w:p>
        </w:tc>
        <w:tc>
          <w:tcPr>
            <w:tcW w:w="5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2026</w:t>
            </w:r>
          </w:p>
        </w:tc>
        <w:tc>
          <w:tcPr>
            <w:tcW w:w="5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2027</w:t>
            </w:r>
          </w:p>
        </w:tc>
        <w:tc>
          <w:tcPr>
            <w:tcW w:w="5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500"/>
              <w:spacing w:after="0"/>
              <w:rPr>
                <w:sz w:val="20"/>
                <w:szCs w:val="20"/>
                <w:color w:val="auto"/>
              </w:rPr>
            </w:pPr>
            <w:r>
              <w:rPr>
                <w:rFonts w:ascii="Arial" w:cs="Arial" w:eastAsia="Arial" w:hAnsi="Arial"/>
                <w:sz w:val="18"/>
                <w:szCs w:val="18"/>
                <w:color w:val="auto"/>
              </w:rPr>
              <w:t>Total lease payments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20" w:type="dxa"/>
            <w:vAlign w:val="bottom"/>
            <w:tcBorders>
              <w:top w:val="single" w:sz="8" w:color="CFF0FC"/>
            </w:tcBorders>
          </w:tcPr>
          <w:p>
            <w:pPr>
              <w:spacing w:after="0"/>
              <w:rPr>
                <w:sz w:val="19"/>
                <w:szCs w:val="19"/>
                <w:color w:val="auto"/>
              </w:rPr>
            </w:pPr>
          </w:p>
        </w:tc>
        <w:tc>
          <w:tcPr>
            <w:tcW w:w="7460" w:type="dxa"/>
            <w:vAlign w:val="bottom"/>
            <w:tcBorders>
              <w:top w:val="single" w:sz="8" w:color="CFF0FC"/>
            </w:tcBorders>
            <w:gridSpan w:val="2"/>
          </w:tcPr>
          <w:p>
            <w:pPr>
              <w:ind w:left="500"/>
              <w:spacing w:after="0"/>
              <w:rPr>
                <w:sz w:val="20"/>
                <w:szCs w:val="20"/>
                <w:color w:val="auto"/>
              </w:rPr>
            </w:pPr>
            <w:r>
              <w:rPr>
                <w:rFonts w:ascii="Arial" w:cs="Arial" w:eastAsia="Arial" w:hAnsi="Arial"/>
                <w:sz w:val="18"/>
                <w:szCs w:val="18"/>
                <w:color w:val="auto"/>
              </w:rPr>
              <w:t>Present value of lease liabilities</w:t>
            </w:r>
          </w:p>
        </w:tc>
        <w:tc>
          <w:tcPr>
            <w:tcW w:w="122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jc w:val="right"/>
              <w:ind w:right="1760"/>
              <w:spacing w:after="0"/>
              <w:rPr>
                <w:sz w:val="20"/>
                <w:szCs w:val="20"/>
                <w:color w:val="auto"/>
              </w:rPr>
            </w:pPr>
            <w:r>
              <w:rPr>
                <w:rFonts w:ascii="Arial" w:cs="Arial" w:eastAsia="Arial" w:hAnsi="Arial"/>
                <w:sz w:val="18"/>
                <w:szCs w:val="18"/>
                <w:color w:val="auto"/>
              </w:rPr>
              <w:t>13</w:t>
            </w: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8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-968375</wp:posOffset>
            </wp:positionV>
            <wp:extent cx="8572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8"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 commitments can be increased by up to $100 million through an accordion option. The Company also enters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spacing w:after="0" w:line="14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 million has been issued under the Revolving Credit Facility in conjunction with the lease of the Company’s headquarters in San Francisco, California. As of June 30, 2023, the Company had not made any borrowings under the Revolving Credit Facility and it was in compliance with the related financial covenants. Fees incurred under the Revolving Credit Facility were insignificant for the three and six months ended June 30, 2023 and 2022.</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8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Effective September 1, 2022, the Company entered into an amendment to a colocation and cloud services arrangement committing the Company to make payments of $85 million for services over 3 years. As of June 30, 2023, the remaining commitment under this amended agreement was approximately $56 million and is payable within the next three years.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68"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 only claims made under Sections 11 and 15 of the Securities Act. The Company believes these lawsuits are without merit and intends to vigorously defend them. Based on the preliminary nature of the proceedings in these cases, the Company cannot estimate a range of potential losses at this point in time.</w:t>
      </w:r>
    </w:p>
    <w:p>
      <w:pPr>
        <w:spacing w:after="0" w:line="137"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7" w:name="page18"/>
    <w:bookmarkEnd w:id="17"/>
    <w:p>
      <w:pPr>
        <w:jc w:val="both"/>
        <w:ind w:firstLine="709"/>
        <w:spacing w:after="0" w:line="238" w:lineRule="auto"/>
        <w:rPr>
          <w:sz w:val="20"/>
          <w:szCs w:val="20"/>
          <w:color w:val="auto"/>
        </w:rPr>
      </w:pPr>
      <w:r>
        <w:rPr>
          <w:rFonts w:ascii="Arial" w:cs="Arial" w:eastAsia="Arial" w:hAnsi="Arial"/>
          <w:sz w:val="18"/>
          <w:szCs w:val="18"/>
          <w:color w:val="auto"/>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On March 10, 2023, the DGCCRF determined that the Company is in compliance with the injunction and applicable regulatory requirements, and lifted the injunction. As a result, the Company has been relisted and has returned to the application stores, such as Google Play and the Apple App Store, and search engines, such as Google, Bing and Qwant, in France. Although the underlying case reviewing the legal question of whether the agency has the power to delist any company remains pending, the Company no longer believes there is a reasonable possibility of a material loss.</w:t>
      </w:r>
    </w:p>
    <w:p>
      <w:pPr>
        <w:spacing w:after="0" w:line="140"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As of June 30, 2023,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20" w:type="dxa"/>
            <w:vAlign w:val="bottom"/>
            <w:gridSpan w:val="4"/>
          </w:tcPr>
          <w:p>
            <w:pPr>
              <w:ind w:left="200"/>
              <w:spacing w:after="0"/>
              <w:rPr>
                <w:sz w:val="20"/>
                <w:szCs w:val="20"/>
                <w:color w:val="auto"/>
              </w:rPr>
            </w:pPr>
            <w:r>
              <w:rPr>
                <w:rFonts w:ascii="Arial" w:cs="Arial" w:eastAsia="Arial" w:hAnsi="Arial"/>
                <w:sz w:val="16"/>
                <w:szCs w:val="16"/>
                <w:b w:val="1"/>
                <w:bCs w:val="1"/>
                <w:color w:val="auto"/>
              </w:rPr>
              <w:t>Options Outstanding</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RSUs Outstanding</w:t>
            </w:r>
          </w:p>
        </w:tc>
      </w:tr>
      <w:tr>
        <w:trPr>
          <w:trHeight w:val="178"/>
        </w:trPr>
        <w:tc>
          <w:tcPr>
            <w:tcW w:w="428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4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Weighted-</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8"/>
              </w:rPr>
              <w:t>Average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2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Exercise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Term (In</w:t>
            </w:r>
          </w:p>
        </w:tc>
        <w:tc>
          <w:tcPr>
            <w:tcW w:w="26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w:t>
            </w:r>
          </w:p>
        </w:tc>
      </w:tr>
      <w:tr>
        <w:trPr>
          <w:trHeight w:val="221"/>
        </w:trPr>
        <w:tc>
          <w:tcPr>
            <w:tcW w:w="4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Price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Years)</w:t>
            </w:r>
          </w:p>
        </w:tc>
        <w:tc>
          <w:tcPr>
            <w:tcW w:w="26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RSUs</w:t>
            </w:r>
          </w:p>
        </w:tc>
      </w:tr>
      <w:tr>
        <w:trPr>
          <w:trHeight w:val="210"/>
        </w:trPr>
        <w:tc>
          <w:tcPr>
            <w:tcW w:w="428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December 31, 2022</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2,399</w:t>
            </w:r>
          </w:p>
        </w:tc>
        <w:tc>
          <w:tcPr>
            <w:tcW w:w="140" w:type="dxa"/>
            <w:vAlign w:val="bottom"/>
            <w:shd w:val="clear" w:color="auto" w:fill="CFF0FC"/>
          </w:tcPr>
          <w:p>
            <w:pPr>
              <w:spacing w:after="0"/>
              <w:rPr>
                <w:sz w:val="18"/>
                <w:szCs w:val="18"/>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299</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15.03</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2,519</w:t>
            </w:r>
          </w:p>
        </w:tc>
        <w:tc>
          <w:tcPr>
            <w:tcW w:w="140" w:type="dxa"/>
            <w:vAlign w:val="bottom"/>
          </w:tcPr>
          <w:p>
            <w:pPr>
              <w:spacing w:after="0"/>
              <w:rPr>
                <w:sz w:val="18"/>
                <w:szCs w:val="18"/>
                <w:color w:val="auto"/>
              </w:rPr>
            </w:pPr>
          </w:p>
        </w:tc>
      </w:tr>
      <w:tr>
        <w:trPr>
          <w:trHeight w:val="21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spacing w:after="0"/>
              <w:rPr>
                <w:sz w:val="19"/>
                <w:szCs w:val="19"/>
                <w:color w:val="auto"/>
              </w:rPr>
            </w:pPr>
          </w:p>
        </w:tc>
        <w:tc>
          <w:tcPr>
            <w:tcW w:w="19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(632 )</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Forfeited or cancelled</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(610 )</w:t>
            </w:r>
          </w:p>
        </w:tc>
      </w:tr>
      <w:tr>
        <w:trPr>
          <w:trHeight w:val="253"/>
        </w:trPr>
        <w:tc>
          <w:tcPr>
            <w:tcW w:w="42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 at June 30, 2023</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52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3,676</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-24765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-170815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1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weighted-average grant date fair value of restricted stock was $ 7.97 and $14.48 per share for the three and six months ended June 30, 2023, respectively, and $53.87 and $55.25 per share for the three and six months ended June 30, 2022, respectively. As of June 30, 2023, 995 thousand shares remained available for grant under the Company’s equity incentive plans.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CEO Transition</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February 2023, the Board appointed Jun Yan as the Company's CEO, who was then serving as the Company's interim CEO. According to the terms of his new employment agreement, Mr. Yan was granted (i) 167 thousand RSUs with an aggregate grant date fair value of $3 million and (ii) options to purchase 299 thousand shares of the Company's common stock at an exercise price $15.03 per share with an aggregate grant date fair value of $3 million. These RSUs and options will become vested and exercisable, respectively, in periodic installments over a 2-year term, subject to the CEO's continued service with the Company. The option award has a term of 10 years. Mr. Yan's equity awards granted under his previous employment agreement as interim CEO will continue to vest according to the terms of that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6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fair value of options was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spacing w:after="0" w:line="76" w:lineRule="exact"/>
        <w:rPr>
          <w:sz w:val="20"/>
          <w:szCs w:val="20"/>
          <w:color w:val="auto"/>
        </w:rPr>
      </w:pPr>
    </w:p>
    <w:p>
      <w:pPr>
        <w:jc w:val="both"/>
        <w:ind w:left="1020" w:hanging="503"/>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spacing w:after="0" w:line="76"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was based on the interest rate payable on the U.S. Treasury securities in effect at the time of grant for a period that is commensurate with the assumed expected term.</w:t>
      </w:r>
    </w:p>
    <w:p>
      <w:pPr>
        <w:spacing w:after="0" w:line="64"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spacing w:after="0" w:line="76"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dividend yield was zero because the Company has not historically paid and does not expect to pay a dividend on its ordinary shares in the foreseeable future.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assumptions used in the Black-Scholes option pricing model to determine the fair value of the options is as follows:</w:t>
      </w:r>
    </w:p>
    <w:p>
      <w:pPr>
        <w:spacing w:after="0" w:line="240"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66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4.15 %</w:t>
            </w:r>
          </w:p>
        </w:tc>
        <w:tc>
          <w:tcPr>
            <w:tcW w:w="46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1.70 %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91.51 %</w:t>
            </w: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73.20 %</w:t>
            </w:r>
          </w:p>
        </w:tc>
        <w:tc>
          <w:tcPr>
            <w:tcW w:w="20" w:type="dxa"/>
            <w:vAlign w:val="bottom"/>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26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fair value per share</w:t>
            </w:r>
          </w:p>
        </w:tc>
        <w:tc>
          <w:tcPr>
            <w:tcW w:w="126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bl>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8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4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r>
      <w:tr>
        <w:trPr>
          <w:trHeight w:val="263"/>
        </w:trPr>
        <w:tc>
          <w:tcPr>
            <w:tcW w:w="4400" w:type="dxa"/>
            <w:vAlign w:val="bottom"/>
            <w:tcBorders>
              <w:bottom w:val="single" w:sz="8" w:color="CFF0FC"/>
            </w:tcBorders>
            <w:shd w:val="clear" w:color="auto" w:fill="CFF0FC"/>
          </w:tcPr>
          <w:p>
            <w:pPr>
              <w:ind w:left="280"/>
              <w:spacing w:after="0" w:line="222"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4"/>
                <w:szCs w:val="24"/>
                <w:color w:val="auto"/>
                <w:vertAlign w:val="superscript"/>
              </w:rPr>
              <w:t>(1)(2)</w:t>
            </w:r>
          </w:p>
        </w:tc>
        <w:tc>
          <w:tcPr>
            <w:tcW w:w="108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-24765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2" w:lineRule="exact"/>
        <w:rPr>
          <w:sz w:val="20"/>
          <w:szCs w:val="20"/>
          <w:color w:val="auto"/>
        </w:rPr>
      </w:pPr>
    </w:p>
    <w:p>
      <w:pPr>
        <w:jc w:val="both"/>
        <w:ind w:left="1140" w:hanging="383"/>
        <w:spacing w:after="0" w:line="252"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stock-based compensation for the three months June 30, 2023 decreased by $14 million compared to the three months ended June 30, 2022. This decrease was primarily due to (i) stock-based compensation of outstanding equity awards during the second quarter of 2023 was based off a lower weighted average grant date fair value compared to that of outstanding equity awards from the same period in 2022 and (ii) the departures of the Company's former Chief Product Officer ("CPO") and Chief Administrative Officer ("CAO") during the first quarter of 2023.</w:t>
      </w:r>
    </w:p>
    <w:p>
      <w:pPr>
        <w:spacing w:after="0" w:line="79" w:lineRule="exact"/>
        <w:rPr>
          <w:rFonts w:ascii="Arial" w:cs="Arial" w:eastAsia="Arial" w:hAnsi="Arial"/>
          <w:sz w:val="14"/>
          <w:szCs w:val="14"/>
          <w:color w:val="auto"/>
        </w:rPr>
      </w:pPr>
    </w:p>
    <w:p>
      <w:pPr>
        <w:jc w:val="both"/>
        <w:ind w:left="1140" w:hanging="383"/>
        <w:spacing w:after="0" w:line="247"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stock-based compensation for the six months ended June 30, 2023 increased by $14 million compared to the six months ended June 30, 2022 primarily due to (i) accelerated vesting of the Company's former CPO and CAO's RSUs upon their departures in accordance to their separation agreements during the first quarter of 2023, and (ii) forfeitures originating from the resignation of the Company’s former CEO, and modifications to the Company’s former Executive Chair’s equity awards, both during the first quarter of 2022. These contributing factors were partially offset by stock-based compensation of outstanding equity awards during the six months ended June 2023 was based off a lower weighted average grant date fair value compared to that of outstanding equity awards from the same period in 2022.</w:t>
      </w:r>
    </w:p>
    <w:p>
      <w:pPr>
        <w:spacing w:after="0" w:line="132"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color w:val="auto"/>
        </w:rPr>
        <w:t>The Company will recognize the remaining $3 million and $115 million of unrecognized stock-based compensation expense over a weighted-average period of approximately 1.5 years and 2.3 years related to options and RSUs,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8"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The Company’s Employee Stock Purchase Plan (“ESPP”) allows eligible employees to purchase shares of the Company’s common stock at a discount through payroll deductions of up to 15% of eligible compensation, subject to caps of $25,000 in any calendar year and 166 shares on any purchase date. The ESPP provides for 24-month offering periods, generally beginning in November and May of each year, and each offering period consists of four six-month purchase periods. During the three and six months ended June 30, 2023, 29 thousand shares of common stock were purchased under the ESPP for an aggregate amount less than $1 million.</w:t>
      </w:r>
    </w:p>
    <w:p>
      <w:pPr>
        <w:spacing w:after="0" w:line="13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On each purchase date, participating employees will purchase common stock at a price per share equal to 85% of the lesser of the fair market value of the Company’s common stock on (i) the first trading day of the applicable offering period, or (ii) the last trading day of each purchase period in the applicable offering period. If the stock price of the Company's common stock on any purchase date in an offering period is lower than the stock price on the enrollment date of that offering period, the offering period will immediately reset after the purchase of shares on such purchase date and automatically roll into a new offering period (ESPP reset). During the three and six months ended June 30, 2023, there was an ESPP reset that resulted in an additional expense of approximately $1 million, which is being recognized over an offering period ending May 20,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6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spacing w:after="0" w:line="130"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The provision for income taxes was $3 million for each of the three and six months ended June 30, 2023, and was $1 million for each of the three and six months ended June 30, 2022. The increase in the provision for income taxes was primarily related to an increase in unrecognized tax benefits during the three months ended June 30, 2023, in addition to the increase in pre-tax earnings of the Company’s international operations. The Company continues to maintain a valuation allowance on its domestic net deferred tax assets which is excluded from the annual effective tax rate estimate.</w:t>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Company had $14 million and $9 million of unrecognized tax benefits as of June 30, 2023 and December 31, 2022, respectively. Most of these unrecognized tax benefits, if recognized, would not affect the effective tax rate, however, approximately $2 million of the unrecognized tax benefits would have a rate impact. The interest and penalties associated with the unrecognized tax benefits for the three and six months ended June 30, 2023 and 2022 were immaterial.</w:t>
      </w:r>
    </w:p>
    <w:p>
      <w:pPr>
        <w:spacing w:after="0" w:line="134"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51"/>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10. NET LOSS PER SHARE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7440" w:type="dxa"/>
            <w:vAlign w:val="bottom"/>
            <w:gridSpan w:val="5"/>
          </w:tcPr>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80" w:type="dxa"/>
            <w:vAlign w:val="bottom"/>
            <w:gridSpan w:val="11"/>
          </w:tcPr>
          <w:p>
            <w:pPr>
              <w:jc w:val="right"/>
              <w:ind w:right="840"/>
              <w:spacing w:after="0"/>
              <w:rPr>
                <w:sz w:val="20"/>
                <w:szCs w:val="20"/>
                <w:color w:val="auto"/>
              </w:rPr>
            </w:pPr>
            <w:r>
              <w:rPr>
                <w:rFonts w:ascii="Arial" w:cs="Arial" w:eastAsia="Arial" w:hAnsi="Arial"/>
                <w:sz w:val="14"/>
                <w:szCs w:val="14"/>
                <w:b w:val="1"/>
                <w:bCs w:val="1"/>
                <w:color w:val="auto"/>
              </w:rPr>
              <w:t>($ in millions, shares in thousands, except per share data)</w:t>
            </w:r>
          </w:p>
        </w:tc>
        <w:tc>
          <w:tcPr>
            <w:tcW w:w="0" w:type="dxa"/>
            <w:vAlign w:val="bottom"/>
          </w:tcPr>
          <w:p>
            <w:pPr>
              <w:spacing w:after="0"/>
              <w:rPr>
                <w:sz w:val="1"/>
                <w:szCs w:val="1"/>
                <w:color w:val="auto"/>
              </w:rPr>
            </w:pPr>
          </w:p>
        </w:tc>
      </w:tr>
      <w:tr>
        <w:trPr>
          <w:trHeight w:val="29"/>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(169 )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80"/>
              <w:spacing w:after="0" w:line="203" w:lineRule="exact"/>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23,651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22,241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23,451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22,146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20" w:type="dxa"/>
            <w:vAlign w:val="bottom"/>
          </w:tcPr>
          <w:p>
            <w:pPr>
              <w:ind w:left="280"/>
              <w:spacing w:after="0" w:line="189" w:lineRule="exact"/>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(3.38 )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(7.21 )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9" w:lineRule="exact"/>
        <w:rPr>
          <w:sz w:val="20"/>
          <w:szCs w:val="20"/>
          <w:color w:val="auto"/>
        </w:rPr>
      </w:pPr>
    </w:p>
    <w:p>
      <w:pPr>
        <w:jc w:val="both"/>
        <w:ind w:right="40" w:firstLine="636"/>
        <w:spacing w:after="0" w:line="260"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90"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As of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194"/>
        </w:trPr>
        <w:tc>
          <w:tcPr>
            <w:tcW w:w="7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9"/>
        </w:trPr>
        <w:tc>
          <w:tcPr>
            <w:tcW w:w="86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Common stock options outstanding</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FF0FC"/>
          </w:tcPr>
          <w:p>
            <w:pPr>
              <w:spacing w:after="0"/>
              <w:rPr>
                <w:sz w:val="19"/>
                <w:szCs w:val="19"/>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3,676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2,651</w:t>
            </w:r>
          </w:p>
        </w:tc>
        <w:tc>
          <w:tcPr>
            <w:tcW w:w="140" w:type="dxa"/>
            <w:vAlign w:val="bottom"/>
          </w:tcPr>
          <w:p>
            <w:pPr>
              <w:spacing w:after="0"/>
              <w:rPr>
                <w:sz w:val="19"/>
                <w:szCs w:val="19"/>
                <w:color w:val="auto"/>
              </w:rPr>
            </w:pPr>
          </w:p>
        </w:tc>
      </w:tr>
      <w:tr>
        <w:trPr>
          <w:trHeight w:val="22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4,159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4,396</w:t>
            </w:r>
          </w:p>
        </w:tc>
        <w:tc>
          <w:tcPr>
            <w:tcW w:w="14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-179705</wp:posOffset>
            </wp:positionV>
            <wp:extent cx="85725"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68" w:lineRule="exact"/>
        <w:rPr>
          <w:sz w:val="20"/>
          <w:szCs w:val="20"/>
          <w:color w:val="auto"/>
        </w:rPr>
      </w:pPr>
    </w:p>
    <w:p>
      <w:pPr>
        <w:jc w:val="both"/>
        <w:ind w:right="40" w:firstLine="644"/>
        <w:spacing w:after="0" w:line="260"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w w:val="99"/>
              </w:rPr>
              <w:t>Three Months Ended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4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50 % $</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33 % $</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50 % $</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52"/>
        </w:trPr>
        <w:tc>
          <w:tcPr>
            <w:tcW w:w="2340" w:type="dxa"/>
            <w:vAlign w:val="bottom"/>
          </w:tcPr>
          <w:p>
            <w:pPr>
              <w:ind w:left="20"/>
              <w:spacing w:after="0" w:line="252" w:lineRule="exact"/>
              <w:rPr>
                <w:sz w:val="20"/>
                <w:szCs w:val="20"/>
                <w:color w:val="auto"/>
              </w:rPr>
            </w:pPr>
            <w:r>
              <w:rPr>
                <w:rFonts w:ascii="Arial" w:cs="Arial" w:eastAsia="Arial" w:hAnsi="Arial"/>
                <w:sz w:val="18"/>
                <w:szCs w:val="18"/>
                <w:color w:val="auto"/>
              </w:rPr>
              <w:t>North America</w:t>
            </w:r>
            <w:r>
              <w:rPr>
                <w:rFonts w:ascii="Arial" w:cs="Arial" w:eastAsia="Arial" w:hAnsi="Arial"/>
                <w:sz w:val="24"/>
                <w:szCs w:val="24"/>
                <w:color w:val="auto"/>
                <w:vertAlign w:val="superscript"/>
              </w:rPr>
              <w:t>(1)</w:t>
            </w:r>
          </w:p>
        </w:tc>
        <w:tc>
          <w:tcPr>
            <w:tcW w:w="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38 %</w:t>
            </w:r>
          </w:p>
        </w:tc>
        <w:tc>
          <w:tcPr>
            <w:tcW w:w="4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52 %</w:t>
            </w:r>
          </w:p>
        </w:tc>
        <w:tc>
          <w:tcPr>
            <w:tcW w:w="4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36 %</w:t>
            </w:r>
          </w:p>
        </w:tc>
        <w:tc>
          <w:tcPr>
            <w:tcW w:w="3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4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4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280"/>
              <w:spacing w:after="0" w:line="194" w:lineRule="exact"/>
              <w:rPr>
                <w:sz w:val="20"/>
                <w:szCs w:val="20"/>
                <w:color w:val="auto"/>
              </w:rPr>
            </w:pPr>
            <w:r>
              <w:rPr>
                <w:rFonts w:ascii="Arial" w:cs="Arial" w:eastAsia="Arial" w:hAnsi="Arial"/>
                <w:sz w:val="18"/>
                <w:szCs w:val="18"/>
                <w:color w:val="auto"/>
              </w:rPr>
              <w:t>Core marketplace</w:t>
            </w: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340" w:type="dxa"/>
            <w:vAlign w:val="bottom"/>
            <w:vMerge w:val="continue"/>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100 % $</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100 % $</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100 % $</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2"/>
        </w:trPr>
        <w:tc>
          <w:tcPr>
            <w:tcW w:w="2340" w:type="dxa"/>
            <w:vAlign w:val="bottom"/>
          </w:tcPr>
          <w:p>
            <w:pPr>
              <w:ind w:left="280"/>
              <w:spacing w:after="0" w:line="212" w:lineRule="exact"/>
              <w:rPr>
                <w:sz w:val="20"/>
                <w:szCs w:val="20"/>
                <w:color w:val="auto"/>
              </w:rPr>
            </w:pPr>
            <w:r>
              <w:rPr>
                <w:rFonts w:ascii="Arial" w:cs="Arial" w:eastAsia="Arial" w:hAnsi="Arial"/>
                <w:sz w:val="18"/>
                <w:szCs w:val="18"/>
                <w:color w:val="auto"/>
              </w:rPr>
              <w:t>revenue</w:t>
            </w:r>
            <w:r>
              <w:rPr>
                <w:rFonts w:ascii="Arial" w:cs="Arial" w:eastAsia="Arial" w:hAnsi="Arial"/>
                <w:sz w:val="24"/>
                <w:szCs w:val="24"/>
                <w:color w:val="auto"/>
                <w:vertAlign w:val="superscript"/>
              </w:rPr>
              <w:t>(2)</w:t>
            </w:r>
          </w:p>
        </w:tc>
        <w:tc>
          <w:tcPr>
            <w:tcW w:w="3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4" w:lineRule="exact"/>
        <w:rPr>
          <w:sz w:val="20"/>
          <w:szCs w:val="20"/>
          <w:color w:val="auto"/>
        </w:rPr>
      </w:pPr>
    </w:p>
    <w:p>
      <w:pPr>
        <w:ind w:left="1020" w:right="340" w:hanging="503"/>
        <w:spacing w:after="0" w:line="27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United States accounted for $7 million and $15 million of core marketplace revenue for the three and six months ended June 30, 2023, respectively and $22 million and $57 million for the three and six months ended June 30, 2022, respectively.</w:t>
      </w:r>
    </w:p>
    <w:p>
      <w:pPr>
        <w:spacing w:after="0" w:line="119" w:lineRule="exact"/>
        <w:rPr>
          <w:rFonts w:ascii="Arial" w:cs="Arial" w:eastAsia="Arial" w:hAnsi="Arial"/>
          <w:sz w:val="14"/>
          <w:szCs w:val="14"/>
          <w:color w:val="auto"/>
        </w:rPr>
      </w:pPr>
    </w:p>
    <w:p>
      <w:pPr>
        <w:ind w:left="1020" w:right="200" w:hanging="503"/>
        <w:spacing w:after="0" w:line="273"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Core marketplace revenue included a $2 million net loss for both the three months ended June 30, 2023 and 2022, and a zero net loss for both the six months ended June 30, 2023 and 2022, from our cash flow hedging program.</w:t>
      </w:r>
    </w:p>
    <w:p>
      <w:pPr>
        <w:spacing w:after="0" w:line="112" w:lineRule="exact"/>
        <w:rPr>
          <w:sz w:val="20"/>
          <w:szCs w:val="20"/>
          <w:color w:val="auto"/>
        </w:rPr>
      </w:pPr>
    </w:p>
    <w:p>
      <w:pPr>
        <w:jc w:val="both"/>
        <w:ind w:right="40" w:firstLine="644"/>
        <w:spacing w:after="0" w:line="247" w:lineRule="auto"/>
        <w:rPr>
          <w:sz w:val="20"/>
          <w:szCs w:val="20"/>
          <w:color w:val="auto"/>
        </w:rPr>
      </w:pPr>
      <w:r>
        <w:rPr>
          <w:rFonts w:ascii="Arial" w:cs="Arial" w:eastAsia="Arial" w:hAnsi="Arial"/>
          <w:sz w:val="18"/>
          <w:szCs w:val="18"/>
          <w:color w:val="auto"/>
        </w:rPr>
        <w:t>China accounted for substantially all of marketplace and logistics revenue during the three and six months ended June 30, 2023 and 2022 based on the location of the merchants’ operations. Marketplace and logistics revenue from merchants based in the United States was immaterial in both periods presented.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21" w:name="page22"/>
    <w:bookmarkEnd w:id="21"/>
    <w:p>
      <w:pPr>
        <w:ind w:firstLine="644"/>
        <w:spacing w:after="0" w:line="260" w:lineRule="auto"/>
        <w:rPr>
          <w:sz w:val="20"/>
          <w:szCs w:val="20"/>
          <w:color w:val="auto"/>
        </w:rPr>
      </w:pPr>
      <w:r>
        <w:rPr>
          <w:rFonts w:ascii="Arial" w:cs="Arial" w:eastAsia="Arial" w:hAnsi="Arial"/>
          <w:sz w:val="18"/>
          <w:szCs w:val="18"/>
          <w:color w:val="auto"/>
        </w:rPr>
        <w:t>The Company’s long-lived tangible assets, which consist of property and equipment, net and operating lease right-of-use assets, net, was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9"/>
              </w:rPr>
              <w:t>June 30,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5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60" w:type="dxa"/>
            <w:vAlign w:val="bottom"/>
            <w:gridSpan w:val="7"/>
          </w:tcPr>
          <w:p>
            <w:pPr>
              <w:ind w:left="200"/>
              <w:spacing w:after="0"/>
              <w:rPr>
                <w:sz w:val="20"/>
                <w:szCs w:val="20"/>
                <w:color w:val="auto"/>
              </w:rPr>
            </w:pPr>
            <w:r>
              <w:rPr>
                <w:rFonts w:ascii="Arial" w:cs="Arial" w:eastAsia="Arial" w:hAnsi="Arial"/>
                <w:sz w:val="14"/>
                <w:szCs w:val="14"/>
                <w:b w:val="1"/>
                <w:bCs w:val="1"/>
                <w:color w:val="auto"/>
              </w:rPr>
              <w:t>($ in millions, except percentages)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20" w:type="dxa"/>
            <w:vAlign w:val="bottom"/>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China</w:t>
            </w: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27 %</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28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(1)</w:t>
            </w: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6 %</w:t>
            </w: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 property and equipment, net and right-of-use assets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r>
      <w:tr>
        <w:trPr>
          <w:trHeight w:val="20"/>
        </w:trPr>
        <w:tc>
          <w:tcPr>
            <w:tcW w:w="5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-179070</wp:posOffset>
            </wp:positionV>
            <wp:extent cx="85725"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85725"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83"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Long-lived tangible assets outside the United States and China were primarily located in Canada.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REDUCTION IN WORKFORCE</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In January 2023, the Company announced a plan to reduce its workforce by up to 150 employees, representing approximately 17% of the Company's then global workforce. The reduction in workforce ("RIF") was intended to refocus the Company's operations to support its ongoing business prioritization efforts, better align resources, and improve operational efficiencies. In connection with the RIF, the Company incurred a one-time charge of approximately $3 million in severance and other personnel reduction costs. The implementation of the RIF was substantially complete by the end of the second quarter of 2023.</w:t>
      </w:r>
    </w:p>
    <w:p>
      <w:pPr>
        <w:spacing w:after="0" w:line="135"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following table is a summary of the changes in severance and other personnel reduction liabilities, included within accrued liabilities on the condensed consolidated balance sheets, in connection with the RIF:</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9"/>
              </w:rPr>
              <w:t>June 30,</w:t>
            </w:r>
          </w:p>
        </w:tc>
      </w:tr>
      <w:tr>
        <w:trPr>
          <w:trHeight w:val="221"/>
        </w:trPr>
        <w:tc>
          <w:tcPr>
            <w:tcW w:w="80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478"/>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r>
      <w:tr>
        <w:trPr>
          <w:trHeight w:val="209"/>
        </w:trPr>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the beginning of the period</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2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8080" w:type="dxa"/>
            <w:vAlign w:val="bottom"/>
          </w:tcPr>
          <w:p>
            <w:pPr>
              <w:ind w:left="200"/>
              <w:spacing w:after="0"/>
              <w:rPr>
                <w:sz w:val="20"/>
                <w:szCs w:val="20"/>
                <w:color w:val="auto"/>
              </w:rPr>
            </w:pPr>
            <w:r>
              <w:rPr>
                <w:rFonts w:ascii="Arial" w:cs="Arial" w:eastAsia="Arial" w:hAnsi="Arial"/>
                <w:sz w:val="16"/>
                <w:szCs w:val="16"/>
                <w:color w:val="auto"/>
              </w:rPr>
              <w:t>Severance and other personnel reduction costs</w:t>
            </w:r>
          </w:p>
        </w:tc>
        <w:tc>
          <w:tcPr>
            <w:tcW w:w="5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r>
      <w:tr>
        <w:trPr>
          <w:trHeight w:val="216"/>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payments during the period</w:t>
            </w:r>
          </w:p>
        </w:tc>
        <w:tc>
          <w:tcPr>
            <w:tcW w:w="5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(3 )</w:t>
            </w:r>
          </w:p>
        </w:tc>
      </w:tr>
      <w:tr>
        <w:trPr>
          <w:trHeight w:val="226"/>
        </w:trPr>
        <w:tc>
          <w:tcPr>
            <w:tcW w:w="80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Balance at the end of the period</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-179705</wp:posOffset>
            </wp:positionV>
            <wp:extent cx="85725"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6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August 2023, the Company announced a plan to further reduce the Company’s workforce by approximately 255 employees, representing about 34% of the Company’s current global workforce. This includes approximately 160 employees in the United States, representing about 41% of the Company's domestic workforce and approximately 95 non-U.S. employees, representing about 26% of the Company's international workforce. The August 2023 reduction in workforce (the “August RIF”) is intended to refocus the Company’s operations to support its ongoing business prioritization efforts, better align resources, and improve operational efficiencies. The Company estimates that it will incur non-recurring charges of approximately $9 million in connection with the August RIF primarily related to employee severance and other personnel reduction costs. The Company expects that the majority of these charges will be incurred in the third quarter of 2023 and that the implementation of the August RIF will be substantially complete by the end of 2023.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2022 included in our Annual Report on Form 10-K for the year ended December 31, 2022 (the "2022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2022 Form 10-K, as updated and supplemented by our Quarterly Reports on Form 10-Q, including in Part 2, Item 1A, the Special Note Regarding Forward-Looking Statements in this Quarterly Report on Form 10-Q, and elsewhere in this Quarterly Report on 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2023</w:t>
      </w:r>
    </w:p>
    <w:p>
      <w:pPr>
        <w:spacing w:after="0" w:line="168" w:lineRule="exact"/>
        <w:rPr>
          <w:sz w:val="20"/>
          <w:szCs w:val="20"/>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was $78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revenue and operating expenses were $161 million, including stock-based compensation expense of $15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from operations was $83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was $80 million.</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was a loss of $66 million or (85)% of total revenue.</w:t>
      </w:r>
    </w:p>
    <w:p>
      <w:pPr>
        <w:spacing w:after="0" w:line="90" w:lineRule="exact"/>
        <w:rPr>
          <w:rFonts w:ascii="Arial" w:cs="Arial" w:eastAsia="Arial" w:hAnsi="Arial"/>
          <w:sz w:val="18"/>
          <w:szCs w:val="18"/>
          <w:color w:val="auto"/>
        </w:rPr>
      </w:pPr>
    </w:p>
    <w:p>
      <w:pPr>
        <w:ind w:left="1020" w:hanging="26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and marketable securities were $531 million.</w:t>
      </w:r>
    </w:p>
    <w:p>
      <w:pPr>
        <w:spacing w:after="0" w:line="17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June 30, 2023, we had an accumulated deficit of $3.1 billion. We expect losses from operations to continue for the foreseeable future as we incur costs and expenses related to brand development, expansion of market share, and continued development of our mobile shopping marketplace infrastructure.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Considerations</w:t>
      </w:r>
    </w:p>
    <w:p>
      <w:pPr>
        <w:spacing w:after="0" w:line="16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We are monitoring the recent volatility in the global financial markets, including inflation, instability in the banking sector, and rising interest rates. These developments could continue to negatively impact global economic activity and consumer behavior, which may adversely affect our business and our results of operations. As our customers react to these global economic conditions, we may take additional precautionary measures to limit or delay expenditures and preserve capital and liquidity.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Reductions in Workforce</w:t>
      </w:r>
    </w:p>
    <w:p>
      <w:pPr>
        <w:spacing w:after="0" w:line="16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January 2023, we announced a plan to reduce our workforce by up to 150 employees, representing approximately 17% of our then global workforce. In connection with this reduction in workforce ("RIF"), or the January RIF, we incurred a one-time charge of approximately $3 million consisting of severance and other personnel reduction costs. The implementation of the January RIF was substantially complete by the end of the second quarter of 2023.</w:t>
      </w:r>
    </w:p>
    <w:p>
      <w:pPr>
        <w:spacing w:after="0" w:line="134"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In August 2023, the Company announced a plan to further reduce the Company’s workforce by approximately 255 employees, representing about 34% of our current global workforce. This includes approximately 160 employees in the United States, representing about 41% of our domestic workforce and approximately 95 non-U.S. employees, representing about 26% of our international workforce. We estimate that we will incur non-recurring charges of approximately $9 million in connection with the August RIF, primarily consisting of severance and other personnel reduction costs. We expect that the majority of these charges will be incurred in the third quarter of 2023 and that the implementation of the August RIF will be substantially complete by the end of 2023. We expect to realize run-rate savings in connection with the August RIF of approximately $43 to $46 million on an annualized basis starting in the fourth quarter of 2023.</w:t>
      </w:r>
    </w:p>
    <w:p>
      <w:pPr>
        <w:spacing w:after="0" w:line="137"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January RIF and the August RIF are intended to refocus the Company’s operations to support its ongoing business prioritization efforts, better align resources, and improve operational efficiencies.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Our Financial Model</w:t>
      </w:r>
    </w:p>
    <w:p>
      <w:pPr>
        <w:spacing w:after="0" w:line="168" w:lineRule="exact"/>
        <w:rPr>
          <w:sz w:val="20"/>
          <w:szCs w:val="20"/>
          <w:color w:val="auto"/>
        </w:rPr>
      </w:pPr>
    </w:p>
    <w:p>
      <w:pPr>
        <w:jc w:val="both"/>
        <w:ind w:right="80" w:firstLine="644"/>
        <w:spacing w:after="0" w:line="241" w:lineRule="auto"/>
        <w:rPr>
          <w:sz w:val="20"/>
          <w:szCs w:val="20"/>
          <w:color w:val="auto"/>
        </w:rPr>
      </w:pPr>
      <w:r>
        <w:rPr>
          <w:rFonts w:ascii="Arial" w:cs="Arial" w:eastAsia="Arial" w:hAnsi="Arial"/>
          <w:sz w:val="18"/>
          <w:szCs w:val="18"/>
          <w:color w:val="auto"/>
        </w:rPr>
        <w:t>Our business benefits from powerful network effects, fueled by our data advantage and scale. As more users join Wish, attracted by our affordable value proposition and personalized shopping experiences, we can increase revenue potential for our merchants. The successes of our merchants can then attract more merchants and broaden the product selection on Wish’s platform, which further improves user experiences. As users and merchants grow, we can generate more data, which, in turn, refines our algorithm and strengthens our data advantage. By focusing on users and merchants, we align their success with our own.</w:t>
      </w:r>
    </w:p>
    <w:p>
      <w:pPr>
        <w:spacing w:after="0" w:line="135" w:lineRule="exact"/>
        <w:rPr>
          <w:sz w:val="20"/>
          <w:szCs w:val="20"/>
          <w:color w:val="auto"/>
        </w:rPr>
      </w:pPr>
    </w:p>
    <w:p>
      <w:pPr>
        <w:jc w:val="both"/>
        <w:ind w:right="80" w:firstLine="636"/>
        <w:spacing w:after="0" w:line="247" w:lineRule="auto"/>
        <w:rPr>
          <w:sz w:val="20"/>
          <w:szCs w:val="20"/>
          <w:color w:val="auto"/>
        </w:rPr>
      </w:pPr>
      <w:r>
        <w:rPr>
          <w:rFonts w:ascii="Arial" w:cs="Arial" w:eastAsia="Arial" w:hAnsi="Arial"/>
          <w:sz w:val="18"/>
          <w:szCs w:val="18"/>
          <w:color w:val="auto"/>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68" w:lineRule="exact"/>
        <w:rPr>
          <w:sz w:val="20"/>
          <w:szCs w:val="20"/>
          <w:color w:val="auto"/>
        </w:rPr>
      </w:pPr>
    </w:p>
    <w:p>
      <w:pPr>
        <w:jc w:val="both"/>
        <w:ind w:right="80" w:firstLine="644"/>
        <w:spacing w:after="0" w:line="260" w:lineRule="auto"/>
        <w:rPr>
          <w:sz w:val="20"/>
          <w:szCs w:val="20"/>
          <w:color w:val="auto"/>
        </w:rPr>
      </w:pPr>
      <w:r>
        <w:rPr>
          <w:rFonts w:ascii="Arial" w:cs="Arial" w:eastAsia="Arial" w:hAnsi="Arial"/>
          <w:sz w:val="18"/>
          <w:szCs w:val="18"/>
          <w:color w:val="auto"/>
        </w:rPr>
        <w:t>In addition to the measures presented in our condensed consolidated financial statements, we monitor the following key metrics and other financial information to measure our performance, identify trends affecting our business, and make strategic decisions.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8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40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000" w:type="dxa"/>
            <w:vAlign w:val="bottom"/>
          </w:tcPr>
          <w:p>
            <w:pPr>
              <w:spacing w:after="0"/>
              <w:rPr>
                <w:sz w:val="18"/>
                <w:szCs w:val="18"/>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9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except percentages)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MAU</w:t>
            </w: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LTM Active Buyers</w:t>
            </w: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(66 )</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(58 )</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(128 )</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9"/>
                <w:szCs w:val="19"/>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(85 )%</w:t>
            </w:r>
          </w:p>
        </w:tc>
        <w:tc>
          <w:tcPr>
            <w:tcW w:w="100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(43 )%</w:t>
            </w:r>
          </w:p>
        </w:tc>
        <w:tc>
          <w:tcPr>
            <w:tcW w:w="10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(74 )%</w:t>
            </w:r>
          </w:p>
        </w:tc>
        <w:tc>
          <w:tcPr>
            <w:tcW w:w="6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Free Cash Flow</w:t>
            </w: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(91 )</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(67 )</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(183 )</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(215 )</w:t>
            </w:r>
          </w:p>
        </w:tc>
        <w:tc>
          <w:tcPr>
            <w:tcW w:w="80" w:type="dxa"/>
            <w:vAlign w:val="bottom"/>
          </w:tcPr>
          <w:p>
            <w:pPr>
              <w:spacing w:after="0"/>
              <w:rPr>
                <w:sz w:val="19"/>
                <w:szCs w:val="19"/>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168" w:lineRule="exact"/>
        <w:rPr>
          <w:sz w:val="20"/>
          <w:szCs w:val="20"/>
          <w:color w:val="auto"/>
        </w:rPr>
      </w:pPr>
    </w:p>
    <w:p>
      <w:pPr>
        <w:jc w:val="both"/>
        <w:ind w:right="80" w:firstLine="636"/>
        <w:spacing w:after="0" w:line="241"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brand awareness.</w:t>
      </w:r>
    </w:p>
    <w:p>
      <w:pPr>
        <w:spacing w:after="0" w:line="135" w:lineRule="exact"/>
        <w:rPr>
          <w:sz w:val="20"/>
          <w:szCs w:val="20"/>
          <w:color w:val="auto"/>
        </w:rPr>
      </w:pPr>
    </w:p>
    <w:p>
      <w:pPr>
        <w:jc w:val="both"/>
        <w:ind w:right="80" w:firstLine="636"/>
        <w:spacing w:after="0" w:line="260" w:lineRule="auto"/>
        <w:rPr>
          <w:sz w:val="20"/>
          <w:szCs w:val="20"/>
          <w:color w:val="auto"/>
        </w:rPr>
      </w:pPr>
      <w:r>
        <w:rPr>
          <w:rFonts w:ascii="Arial" w:cs="Arial" w:eastAsia="Arial" w:hAnsi="Arial"/>
          <w:sz w:val="18"/>
          <w:szCs w:val="18"/>
          <w:color w:val="auto"/>
        </w:rPr>
        <w:t>MAUs decreased approximately 48% for the three and six months ended June 30, 2023 compared to the three and six months ended June 30, 2022. We believe this decline was primarily driven by our decision to significantly reduce our digital advertising expenditures.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LTM Active Buyers</w:t>
      </w:r>
    </w:p>
    <w:p>
      <w:pPr>
        <w:spacing w:after="0" w:line="168" w:lineRule="exact"/>
        <w:rPr>
          <w:sz w:val="20"/>
          <w:szCs w:val="20"/>
          <w:color w:val="auto"/>
        </w:rPr>
      </w:pPr>
    </w:p>
    <w:p>
      <w:pPr>
        <w:jc w:val="both"/>
        <w:ind w:right="80" w:firstLine="636"/>
        <w:spacing w:after="0" w:line="239" w:lineRule="auto"/>
        <w:rPr>
          <w:sz w:val="20"/>
          <w:szCs w:val="20"/>
          <w:color w:val="auto"/>
        </w:rPr>
      </w:pPr>
      <w:r>
        <w:rPr>
          <w:rFonts w:ascii="Arial" w:cs="Arial" w:eastAsia="Arial" w:hAnsi="Arial"/>
          <w:sz w:val="18"/>
          <w:szCs w:val="18"/>
          <w:color w:val="auto"/>
        </w:rPr>
        <w:t>As of the last date of each reported period, we determine our number of unique last-twelve-months active buyers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LTM active buyers is an indicator of our ability to attract and monetize a large user base to our platform and of our ability to convert visits into purchases. We believe that increasing our LTM active buyers will be a significant driver to our future revenue growth.</w:t>
      </w:r>
    </w:p>
    <w:p>
      <w:pPr>
        <w:spacing w:after="0" w:line="140" w:lineRule="exact"/>
        <w:rPr>
          <w:sz w:val="20"/>
          <w:szCs w:val="20"/>
          <w:color w:val="auto"/>
        </w:rPr>
      </w:pPr>
    </w:p>
    <w:p>
      <w:pPr>
        <w:jc w:val="both"/>
        <w:ind w:right="80" w:firstLine="636"/>
        <w:spacing w:after="0" w:line="247" w:lineRule="auto"/>
        <w:rPr>
          <w:sz w:val="20"/>
          <w:szCs w:val="20"/>
          <w:color w:val="auto"/>
        </w:rPr>
      </w:pPr>
      <w:r>
        <w:rPr>
          <w:rFonts w:ascii="Arial" w:cs="Arial" w:eastAsia="Arial" w:hAnsi="Arial"/>
          <w:sz w:val="18"/>
          <w:szCs w:val="18"/>
          <w:color w:val="auto"/>
        </w:rPr>
        <w:t>LTM Active Buyers decreased approximately 50% for the three and six months ended June 30, 2023 compared to the three and six months ended June 30, 2022. We believe this decline was primarily driven by lower MAUs which we believe was driven by reduced digital advertising expenditures.</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8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 Note About Metrics</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We provide Adjusted EBITDA, a non-GAAP financial measure that represents our loss before interest and other income, net (which includes foreign exchange gain or loss and other non-operating income and expenses), income tax expense, and depreciation and amortization, adjusted to eliminate stock-based compensation expense, lease termination and impairment related expenses, restructuring and other discrete charges, and to add back certain recurring other items. Additionally, we provide Adjusted EBITDA Margin, a non-GAAP financial measure that represents Adjusted EBITDA divided by revenue. Below is a reconciliation of Adjusted EBITDA to net loss, the most directly comparable GAAP financial measure.</w:t>
      </w:r>
    </w:p>
    <w:p>
      <w:pPr>
        <w:spacing w:after="0" w:line="140"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the Board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spacing w:after="0" w:line="135"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U.S. GAAP. Some of these limitations are:</w:t>
      </w:r>
    </w:p>
    <w:p>
      <w:pPr>
        <w:spacing w:after="0" w:line="119" w:lineRule="exact"/>
        <w:rPr>
          <w:sz w:val="20"/>
          <w:szCs w:val="20"/>
          <w:color w:val="auto"/>
        </w:rPr>
      </w:pPr>
    </w:p>
    <w:p>
      <w:pPr>
        <w:jc w:val="both"/>
        <w:ind w:left="1020" w:hanging="376"/>
        <w:spacing w:after="0" w:line="24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49" w:lineRule="exact"/>
        <w:rPr>
          <w:rFonts w:ascii="Arial" w:cs="Arial" w:eastAsia="Arial" w:hAnsi="Arial"/>
          <w:sz w:val="18"/>
          <w:szCs w:val="18"/>
          <w:color w:val="auto"/>
        </w:rPr>
      </w:pPr>
    </w:p>
    <w:p>
      <w:pPr>
        <w:ind w:left="1020" w:hanging="37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1020" w:hanging="37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consider the impact of stock-based compensation and related payroll taxes;</w:t>
      </w:r>
    </w:p>
    <w:p>
      <w:pPr>
        <w:spacing w:after="0" w:line="90" w:lineRule="exact"/>
        <w:rPr>
          <w:rFonts w:ascii="Arial" w:cs="Arial" w:eastAsia="Arial" w:hAnsi="Arial"/>
          <w:sz w:val="18"/>
          <w:szCs w:val="18"/>
          <w:color w:val="auto"/>
        </w:rPr>
      </w:pPr>
    </w:p>
    <w:p>
      <w:pPr>
        <w:ind w:left="1020" w:hanging="37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rFonts w:ascii="Arial" w:cs="Arial" w:eastAsia="Arial" w:hAnsi="Arial"/>
          <w:sz w:val="18"/>
          <w:szCs w:val="18"/>
          <w:color w:val="auto"/>
        </w:rPr>
      </w:pPr>
    </w:p>
    <w:p>
      <w:pPr>
        <w:ind w:left="1020" w:hanging="376"/>
        <w:spacing w:after="0" w:line="26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19"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loss and our other U.S. GAAP results.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5" w:name="page26"/>
    <w:bookmarkEnd w:id="25"/>
    <w:p>
      <w:pPr>
        <w:ind w:right="80" w:firstLine="644"/>
        <w:spacing w:after="0" w:line="260"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160" w:type="dxa"/>
            <w:vAlign w:val="bottom"/>
            <w:gridSpan w:val="4"/>
          </w:tcPr>
          <w:p>
            <w:pPr>
              <w:jc w:val="center"/>
              <w:ind w:left="27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1"/>
        </w:trPr>
        <w:tc>
          <w:tcPr>
            <w:tcW w:w="57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6"/>
                <w:szCs w:val="16"/>
                <w:b w:val="1"/>
                <w:bCs w:val="1"/>
                <w:color w:val="auto"/>
                <w:w w:val="99"/>
              </w:rPr>
              <w:t>June 30,</w:t>
            </w: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w w:val="99"/>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millions,</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73"/>
              </w:rPr>
              <w:t>except</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percentages)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color w:val="auto"/>
              </w:rPr>
              <w:t>Net loss</w:t>
            </w:r>
          </w:p>
        </w:tc>
        <w:tc>
          <w:tcPr>
            <w:tcW w:w="7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(80 )</w:t>
            </w:r>
          </w:p>
        </w:tc>
        <w:tc>
          <w:tcPr>
            <w:tcW w:w="860" w:type="dxa"/>
            <w:vAlign w:val="bottom"/>
          </w:tcPr>
          <w:p>
            <w:pPr>
              <w:spacing w:after="0"/>
              <w:rPr>
                <w:sz w:val="18"/>
                <w:szCs w:val="18"/>
                <w:color w:val="auto"/>
              </w:rPr>
            </w:pPr>
          </w:p>
        </w:tc>
        <w:tc>
          <w:tcPr>
            <w:tcW w:w="660" w:type="dxa"/>
            <w:vAlign w:val="bottom"/>
            <w:gridSpan w:val="2"/>
          </w:tcPr>
          <w:p>
            <w:pPr>
              <w:jc w:val="right"/>
              <w:ind w:right="179"/>
              <w:spacing w:after="0"/>
              <w:rPr>
                <w:sz w:val="20"/>
                <w:szCs w:val="20"/>
                <w:color w:val="auto"/>
              </w:rPr>
            </w:pPr>
            <w:r>
              <w:rPr>
                <w:rFonts w:ascii="Arial" w:cs="Arial" w:eastAsia="Arial" w:hAnsi="Arial"/>
                <w:sz w:val="16"/>
                <w:szCs w:val="16"/>
                <w:color w:val="auto"/>
              </w:rPr>
              <w:t>(90 )</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(169 )</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(150 )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Net loss as a percentage of revenue</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(102 )%</w:t>
            </w:r>
          </w:p>
        </w:tc>
        <w:tc>
          <w:tcPr>
            <w:tcW w:w="860" w:type="dxa"/>
            <w:vAlign w:val="bottom"/>
          </w:tcPr>
          <w:p>
            <w:pPr>
              <w:spacing w:after="0"/>
              <w:rPr>
                <w:sz w:val="18"/>
                <w:szCs w:val="18"/>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6"/>
                <w:szCs w:val="16"/>
                <w:color w:val="auto"/>
              </w:rPr>
              <w:t>(67 )%</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(97 )%</w:t>
            </w:r>
          </w:p>
        </w:tc>
        <w:tc>
          <w:tcPr>
            <w:tcW w:w="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Arial" w:cs="Arial" w:eastAsia="Arial" w:hAnsi="Arial"/>
                <w:sz w:val="16"/>
                <w:szCs w:val="16"/>
                <w:color w:val="auto"/>
              </w:rPr>
              <w:t>Excluding:</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(6 )</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(2 )</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(10 )</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00"/>
              <w:spacing w:after="0" w:line="162" w:lineRule="exact"/>
              <w:rPr>
                <w:sz w:val="20"/>
                <w:szCs w:val="20"/>
                <w:color w:val="auto"/>
              </w:rPr>
            </w:pPr>
            <w:r>
              <w:rPr>
                <w:rFonts w:ascii="Arial" w:cs="Arial" w:eastAsia="Arial" w:hAnsi="Arial"/>
                <w:sz w:val="14"/>
                <w:szCs w:val="14"/>
                <w:color w:val="auto"/>
              </w:rPr>
              <w:t>Stock-based compensation expense and related employer payroll taxes</w:t>
            </w:r>
            <w:r>
              <w:rPr>
                <w:rFonts w:ascii="Arial" w:cs="Arial" w:eastAsia="Arial" w:hAnsi="Arial"/>
                <w:sz w:val="18"/>
                <w:szCs w:val="18"/>
                <w:color w:val="auto"/>
                <w:vertAlign w:val="superscript"/>
              </w:rPr>
              <w:t>(1)</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760" w:type="dxa"/>
            <w:vAlign w:val="bottom"/>
          </w:tcPr>
          <w:p>
            <w:pPr>
              <w:ind w:left="200"/>
              <w:spacing w:after="0" w:line="122" w:lineRule="exact"/>
              <w:rPr>
                <w:sz w:val="20"/>
                <w:szCs w:val="20"/>
                <w:color w:val="auto"/>
              </w:rPr>
            </w:pPr>
            <w:r>
              <w:rPr>
                <w:rFonts w:ascii="Arial" w:cs="Arial" w:eastAsia="Arial" w:hAnsi="Arial"/>
                <w:sz w:val="11"/>
                <w:szCs w:val="11"/>
                <w:color w:val="auto"/>
              </w:rPr>
              <w:t>(2)(3)</w:t>
            </w:r>
          </w:p>
        </w:tc>
        <w:tc>
          <w:tcPr>
            <w:tcW w:w="740" w:type="dxa"/>
            <w:vAlign w:val="bottom"/>
          </w:tcPr>
          <w:p>
            <w:pPr>
              <w:spacing w:after="0"/>
              <w:rPr>
                <w:sz w:val="10"/>
                <w:szCs w:val="10"/>
                <w:color w:val="auto"/>
              </w:rPr>
            </w:pPr>
          </w:p>
        </w:tc>
        <w:tc>
          <w:tcPr>
            <w:tcW w:w="28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15</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30</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42</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28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line="216" w:lineRule="exact"/>
              <w:rPr>
                <w:sz w:val="20"/>
                <w:szCs w:val="20"/>
                <w:color w:val="auto"/>
              </w:rPr>
            </w:pPr>
            <w:r>
              <w:rPr>
                <w:rFonts w:ascii="Arial" w:cs="Arial" w:eastAsia="Arial" w:hAnsi="Arial"/>
                <w:sz w:val="16"/>
                <w:szCs w:val="16"/>
                <w:color w:val="auto"/>
              </w:rPr>
              <w:t>Restructuring and other discrete items</w:t>
            </w:r>
            <w:r>
              <w:rPr>
                <w:rFonts w:ascii="Arial" w:cs="Arial" w:eastAsia="Arial" w:hAnsi="Arial"/>
                <w:sz w:val="21"/>
                <w:szCs w:val="21"/>
                <w:color w:val="auto"/>
                <w:vertAlign w:val="superscript"/>
              </w:rPr>
              <w:t>(4)</w:t>
            </w:r>
          </w:p>
        </w:tc>
        <w:tc>
          <w:tcPr>
            <w:tcW w:w="7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line="216" w:lineRule="exact"/>
              <w:rPr>
                <w:sz w:val="20"/>
                <w:szCs w:val="20"/>
                <w:color w:val="auto"/>
              </w:rPr>
            </w:pPr>
            <w:r>
              <w:rPr>
                <w:rFonts w:ascii="Arial" w:cs="Arial" w:eastAsia="Arial" w:hAnsi="Arial"/>
                <w:sz w:val="16"/>
                <w:szCs w:val="16"/>
                <w:color w:val="auto"/>
              </w:rPr>
              <w:t>Impairment of lease assets and property and equipment</w:t>
            </w:r>
            <w:r>
              <w:rPr>
                <w:rFonts w:ascii="Arial" w:cs="Arial" w:eastAsia="Arial" w:hAnsi="Arial"/>
                <w:sz w:val="21"/>
                <w:szCs w:val="21"/>
                <w:color w:val="auto"/>
                <w:vertAlign w:val="superscript"/>
              </w:rPr>
              <w:t>(5)</w:t>
            </w: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Others</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(1 )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74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(66 )</w:t>
            </w:r>
          </w:p>
        </w:tc>
        <w:tc>
          <w:tcPr>
            <w:tcW w:w="860" w:type="dxa"/>
            <w:vAlign w:val="bottom"/>
          </w:tcPr>
          <w:p>
            <w:pPr>
              <w:spacing w:after="0"/>
              <w:rPr>
                <w:sz w:val="17"/>
                <w:szCs w:val="17"/>
                <w:color w:val="auto"/>
              </w:rPr>
            </w:pPr>
          </w:p>
        </w:tc>
        <w:tc>
          <w:tcPr>
            <w:tcW w:w="660" w:type="dxa"/>
            <w:vAlign w:val="bottom"/>
            <w:gridSpan w:val="2"/>
          </w:tcPr>
          <w:p>
            <w:pPr>
              <w:jc w:val="right"/>
              <w:ind w:right="179"/>
              <w:spacing w:after="0"/>
              <w:rPr>
                <w:sz w:val="20"/>
                <w:szCs w:val="20"/>
                <w:color w:val="auto"/>
              </w:rPr>
            </w:pPr>
            <w:r>
              <w:rPr>
                <w:rFonts w:ascii="Arial" w:cs="Arial" w:eastAsia="Arial" w:hAnsi="Arial"/>
                <w:sz w:val="16"/>
                <w:szCs w:val="16"/>
                <w:color w:val="auto"/>
              </w:rPr>
              <w:t>(58 )</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(128 )</w:t>
            </w:r>
          </w:p>
        </w:tc>
        <w:tc>
          <w:tcPr>
            <w:tcW w:w="3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ind w:left="300"/>
              <w:spacing w:after="0"/>
              <w:rPr>
                <w:sz w:val="20"/>
                <w:szCs w:val="20"/>
                <w:color w:val="auto"/>
              </w:rPr>
            </w:pPr>
            <w:r>
              <w:rPr>
                <w:rFonts w:ascii="Arial" w:cs="Arial" w:eastAsia="Arial" w:hAnsi="Arial"/>
                <w:sz w:val="16"/>
                <w:szCs w:val="16"/>
                <w:color w:val="auto"/>
              </w:rPr>
              <w:t>Adjusted EBITDA margin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(85 )%</w:t>
            </w:r>
          </w:p>
        </w:tc>
        <w:tc>
          <w:tcPr>
            <w:tcW w:w="860" w:type="dxa"/>
            <w:vAlign w:val="bottom"/>
          </w:tcPr>
          <w:p>
            <w:pPr>
              <w:spacing w:after="0"/>
              <w:rPr>
                <w:sz w:val="17"/>
                <w:szCs w:val="17"/>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6"/>
                <w:szCs w:val="16"/>
                <w:color w:val="auto"/>
              </w:rPr>
              <w:t>(43 )%</w:t>
            </w:r>
          </w:p>
        </w:tc>
        <w:tc>
          <w:tcPr>
            <w:tcW w:w="2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(74 )%</w:t>
            </w:r>
          </w:p>
        </w:tc>
        <w:tc>
          <w:tcPr>
            <w:tcW w:w="3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3346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83" w:lineRule="exact"/>
        <w:rPr>
          <w:sz w:val="20"/>
          <w:szCs w:val="20"/>
          <w:color w:val="auto"/>
        </w:rPr>
      </w:pPr>
    </w:p>
    <w:p>
      <w:pPr>
        <w:jc w:val="both"/>
        <w:ind w:left="1020" w:right="80" w:hanging="503"/>
        <w:spacing w:after="0" w:line="252"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amount for the three months ended June 30, 2023 consists of $15 million of stock-based compensation expense. Total amount for the three months ended June 30, 2022 consists of $29 million of stock-based compensation expense and $1 million of related employer payroll taxes. Total amount for the six months ended June 30, 2023 consists of $41 million of stock-based compensation expense and $1 million of related employer payroll taxes. Total amount for six months ended June 30, 2022 consists of $27 million of stock-based compensation expense and $1 million of related employer payroll taxes.</w:t>
      </w:r>
    </w:p>
    <w:p>
      <w:pPr>
        <w:spacing w:after="0" w:line="79" w:lineRule="exact"/>
        <w:rPr>
          <w:rFonts w:ascii="Arial" w:cs="Arial" w:eastAsia="Arial" w:hAnsi="Arial"/>
          <w:sz w:val="14"/>
          <w:szCs w:val="14"/>
          <w:color w:val="auto"/>
        </w:rPr>
      </w:pPr>
    </w:p>
    <w:p>
      <w:pPr>
        <w:jc w:val="both"/>
        <w:ind w:left="1020" w:right="80" w:hanging="503"/>
        <w:spacing w:after="0" w:line="252"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stock-based compensation for the three months June 30, 2023 decreased by $14 million compared to the three months ended June 30, 2022. This decrease was primarily due to (i) stock-based compensation of outstanding equity awards during the second quarter of 2023 was based off a lower weighted average grant date fair value compared to that of outstanding equity awards from the same period in 2022 and (ii) the departures of the Company's former Chief Product Officer ("CPO") and Chief Administrative Officer ("CAO") during the first quarter of 2023.</w:t>
      </w:r>
    </w:p>
    <w:p>
      <w:pPr>
        <w:spacing w:after="0" w:line="79" w:lineRule="exact"/>
        <w:rPr>
          <w:rFonts w:ascii="Arial" w:cs="Arial" w:eastAsia="Arial" w:hAnsi="Arial"/>
          <w:sz w:val="14"/>
          <w:szCs w:val="14"/>
          <w:color w:val="auto"/>
        </w:rPr>
      </w:pPr>
    </w:p>
    <w:p>
      <w:pPr>
        <w:jc w:val="both"/>
        <w:ind w:left="1020" w:right="80" w:hanging="503"/>
        <w:spacing w:after="0" w:line="248"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stock-based compensation for the six months ended June 30, 2023 increased by $14 million compared to the six months ended June 30, 2022 primarily due to (i) accelerated vesting of the Company's former CPO and CAO's RSUs upon their departures in accordance to their separation agreements during the first quarter of 2023, and (ii) forfeitures originating from the resignation of the Company’s former CEO, and modifications to the Company’s former Executive Chair’s equity awards, both during the first quarter of 2022. These contributing factors were partially offset by stock-based compensation of outstanding equity awards during the six months ended June 2023 was based off a lower weighted average grant date fair value compared to that of outstanding equity awards from the same period in 2022.</w:t>
      </w:r>
    </w:p>
    <w:p>
      <w:pPr>
        <w:spacing w:after="0" w:line="248" w:lineRule="exact"/>
        <w:rPr>
          <w:rFonts w:ascii="Arial" w:cs="Arial" w:eastAsia="Arial" w:hAnsi="Arial"/>
          <w:sz w:val="14"/>
          <w:szCs w:val="14"/>
          <w:color w:val="auto"/>
        </w:rPr>
      </w:pPr>
    </w:p>
    <w:p>
      <w:pPr>
        <w:jc w:val="both"/>
        <w:ind w:left="1020" w:right="80" w:hanging="503"/>
        <w:spacing w:after="0" w:line="249"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amount for the six months ended June 30, 2023 consisted of $3 million of employee severance and other personnel reduction costs. Total amount for the three months ended June 30, 2022 includes restructuring charges consisting of $2 million in impairment of lease assets and property and equipment. Total amount for the six months ended June 30, 2022 includes a $15 million one-time discretionary cash bonus paid to select employees to cover their respective tax obligations triggered by the settlement of their RSUs that vested upon the Company’s IPO as well as restructuring charges consisting of $3 million of employee severance and $6 million in impairment of lease assets and property and equipment.</w:t>
      </w:r>
    </w:p>
    <w:p>
      <w:pPr>
        <w:spacing w:after="0" w:line="82" w:lineRule="exact"/>
        <w:rPr>
          <w:rFonts w:ascii="Arial" w:cs="Arial" w:eastAsia="Arial" w:hAnsi="Arial"/>
          <w:sz w:val="14"/>
          <w:szCs w:val="14"/>
          <w:color w:val="auto"/>
        </w:rPr>
      </w:pPr>
    </w:p>
    <w:p>
      <w:pPr>
        <w:ind w:left="1020" w:hanging="503"/>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Impairment of lease assets and property and equipment unrelated to restructuring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68" w:lineRule="exact"/>
        <w:rPr>
          <w:sz w:val="20"/>
          <w:szCs w:val="20"/>
          <w:color w:val="auto"/>
        </w:rPr>
      </w:pPr>
    </w:p>
    <w:p>
      <w:pPr>
        <w:jc w:val="both"/>
        <w:ind w:right="80" w:firstLine="636"/>
        <w:spacing w:after="0" w:line="247" w:lineRule="auto"/>
        <w:rPr>
          <w:sz w:val="20"/>
          <w:szCs w:val="20"/>
          <w:color w:val="auto"/>
        </w:rPr>
      </w:pPr>
      <w:r>
        <w:rPr>
          <w:rFonts w:ascii="Arial" w:cs="Arial" w:eastAsia="Arial" w:hAnsi="Arial"/>
          <w:sz w:val="18"/>
          <w:szCs w:val="18"/>
          <w:color w:val="auto"/>
        </w:rPr>
        <w:t>We also provide Free Cash Flow, a non-GAAP financial measure that represents net cash used in operating activities less purchases of property and equipment and development of internal-use software. We believe that Free Cash Flow is an important measure since we use third parties to host our services and therefore, we do not incur significant capital expenditures to support revenue generating activities.</w:t>
      </w:r>
    </w:p>
    <w:p>
      <w:pPr>
        <w:spacing w:after="0" w:line="130" w:lineRule="exact"/>
        <w:rPr>
          <w:sz w:val="20"/>
          <w:szCs w:val="20"/>
          <w:color w:val="auto"/>
        </w:rPr>
      </w:pPr>
    </w:p>
    <w:p>
      <w:pPr>
        <w:jc w:val="both"/>
        <w:ind w:right="80" w:firstLine="636"/>
        <w:spacing w:after="0" w:line="260"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U.S. GAAP. Some of these limitations are:</w:t>
      </w:r>
    </w:p>
    <w:p>
      <w:pPr>
        <w:spacing w:after="0" w:line="119" w:lineRule="exact"/>
        <w:rPr>
          <w:sz w:val="20"/>
          <w:szCs w:val="20"/>
          <w:color w:val="auto"/>
        </w:rPr>
      </w:pPr>
    </w:p>
    <w:p>
      <w:pPr>
        <w:ind w:left="1020" w:hanging="376"/>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not a substitute for net cash used in operating activities;</w:t>
      </w:r>
    </w:p>
    <w:p>
      <w:pPr>
        <w:spacing w:after="0" w:line="90" w:lineRule="exact"/>
        <w:rPr>
          <w:rFonts w:ascii="Arial" w:cs="Arial" w:eastAsia="Arial" w:hAnsi="Arial"/>
          <w:sz w:val="18"/>
          <w:szCs w:val="18"/>
          <w:color w:val="auto"/>
        </w:rPr>
      </w:pPr>
    </w:p>
    <w:p>
      <w:pPr>
        <w:jc w:val="both"/>
        <w:ind w:left="1020" w:right="80" w:hanging="376"/>
        <w:spacing w:after="0" w:line="26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calculate Free Cash Flow or similarly titled non-U.S. GAAP measures differently or may use other measures to evaluate their performance, all of which could reduce the usefulness of free cash flow as a tool for comparison; and</w:t>
      </w:r>
    </w:p>
    <w:p>
      <w:pPr>
        <w:spacing w:after="0" w:line="37" w:lineRule="exact"/>
        <w:rPr>
          <w:rFonts w:ascii="Arial" w:cs="Arial" w:eastAsia="Arial" w:hAnsi="Arial"/>
          <w:sz w:val="18"/>
          <w:szCs w:val="18"/>
          <w:color w:val="auto"/>
        </w:rPr>
      </w:pPr>
    </w:p>
    <w:p>
      <w:pPr>
        <w:ind w:left="1020" w:right="80" w:hanging="376"/>
        <w:spacing w:after="0" w:line="26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91" w:right="259" w:bottom="1440" w:gutter="0" w:footer="0" w:header="0"/>
        </w:sectPr>
      </w:pPr>
    </w:p>
    <w:bookmarkStart w:id="26" w:name="page27"/>
    <w:bookmarkEnd w:id="26"/>
    <w:p>
      <w:pPr>
        <w:ind w:firstLine="636"/>
        <w:spacing w:after="0" w:line="260"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used in operating activities, net loss and our other U.S. GAAP results.</w:t>
      </w:r>
    </w:p>
    <w:p>
      <w:pPr>
        <w:spacing w:after="0" w:line="119" w:lineRule="exact"/>
        <w:rPr>
          <w:sz w:val="20"/>
          <w:szCs w:val="20"/>
          <w:color w:val="auto"/>
        </w:rPr>
      </w:pPr>
    </w:p>
    <w:p>
      <w:pPr>
        <w:ind w:firstLine="644"/>
        <w:spacing w:after="0" w:line="260" w:lineRule="auto"/>
        <w:rPr>
          <w:sz w:val="20"/>
          <w:szCs w:val="20"/>
          <w:color w:val="auto"/>
        </w:rPr>
      </w:pPr>
      <w:r>
        <w:rPr>
          <w:rFonts w:ascii="Arial" w:cs="Arial" w:eastAsia="Arial" w:hAnsi="Arial"/>
          <w:sz w:val="18"/>
          <w:szCs w:val="18"/>
          <w:color w:val="auto"/>
        </w:rPr>
        <w:t>The following table reflects the reconciliation of net cash used in operating activities to Free Cash Flow for each of the periods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6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(in</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78"/>
              </w:rPr>
              <w:t>millions)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(88 )</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(67 )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Less:</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Purchases of property and equipment and</w:t>
            </w:r>
          </w:p>
        </w:tc>
        <w:tc>
          <w:tcPr>
            <w:tcW w:w="1040" w:type="dxa"/>
            <w:vAlign w:val="bottom"/>
            <w:shd w:val="clear" w:color="auto" w:fill="CFF0FC"/>
          </w:tcPr>
          <w:p>
            <w:pPr>
              <w:spacing w:after="0"/>
              <w:rPr>
                <w:sz w:val="17"/>
                <w:szCs w:val="17"/>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development of internal-use software</w:t>
            </w:r>
          </w:p>
        </w:tc>
        <w:tc>
          <w:tcPr>
            <w:tcW w:w="10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vMerge w:val="continue"/>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(91 )</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(67 )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-179070</wp:posOffset>
            </wp:positionV>
            <wp:extent cx="85725"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-179070</wp:posOffset>
            </wp:positionV>
            <wp:extent cx="85725"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8572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-179070</wp:posOffset>
            </wp:positionV>
            <wp:extent cx="85725"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8"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color w:val="auto"/>
        </w:rPr>
        <w:t>The following table shows our results of operations for the periods presented and expresses the relationship of certain line items as a percentage of revenue for those periods. The period-to-period comparison of financial results is not necessarily indicative of future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2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Six Months Ended</w:t>
            </w:r>
          </w:p>
        </w:tc>
      </w:tr>
      <w:tr>
        <w:trPr>
          <w:trHeight w:val="221"/>
        </w:trPr>
        <w:tc>
          <w:tcPr>
            <w:tcW w:w="57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57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209"/>
        </w:trPr>
        <w:tc>
          <w:tcPr>
            <w:tcW w:w="5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w w:val="85"/>
              </w:rPr>
              <w:t>millions)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FF0FC"/>
          </w:tcPr>
          <w:p>
            <w:pPr>
              <w:spacing w:after="0"/>
              <w:rPr>
                <w:sz w:val="18"/>
                <w:szCs w:val="18"/>
                <w:color w:val="auto"/>
              </w:rPr>
            </w:pPr>
          </w:p>
        </w:tc>
      </w:tr>
      <w:tr>
        <w:trPr>
          <w:trHeight w:val="216"/>
        </w:trPr>
        <w:tc>
          <w:tcPr>
            <w:tcW w:w="5720" w:type="dxa"/>
            <w:vAlign w:val="bottom"/>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8"/>
                <w:szCs w:val="18"/>
                <w:color w:val="auto"/>
              </w:rPr>
            </w:pPr>
          </w:p>
        </w:tc>
      </w:tr>
      <w:tr>
        <w:trPr>
          <w:trHeight w:val="209"/>
        </w:trPr>
        <w:tc>
          <w:tcPr>
            <w:tcW w:w="57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Gross profit</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FF0FC"/>
          </w:tcPr>
          <w:p>
            <w:pPr>
              <w:spacing w:after="0"/>
              <w:rPr>
                <w:sz w:val="18"/>
                <w:szCs w:val="18"/>
                <w:color w:val="auto"/>
              </w:rPr>
            </w:pPr>
          </w:p>
        </w:tc>
      </w:tr>
      <w:tr>
        <w:trPr>
          <w:trHeight w:val="213"/>
        </w:trPr>
        <w:tc>
          <w:tcPr>
            <w:tcW w:w="5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720" w:type="dxa"/>
            <w:vAlign w:val="bottom"/>
            <w:shd w:val="clear" w:color="auto" w:fill="CFF0FC"/>
          </w:tcPr>
          <w:p>
            <w:pPr>
              <w:ind w:left="280"/>
              <w:spacing w:after="0" w:line="219"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spacing w:after="0"/>
              <w:rPr>
                <w:sz w:val="19"/>
                <w:szCs w:val="19"/>
                <w:color w:val="auto"/>
              </w:rPr>
            </w:pPr>
          </w:p>
        </w:tc>
      </w:tr>
      <w:tr>
        <w:trPr>
          <w:trHeight w:val="216"/>
        </w:trPr>
        <w:tc>
          <w:tcPr>
            <w:tcW w:w="5720" w:type="dxa"/>
            <w:vAlign w:val="bottom"/>
          </w:tcPr>
          <w:p>
            <w:pPr>
              <w:ind w:left="280"/>
              <w:spacing w:after="0" w:line="216" w:lineRule="exact"/>
              <w:rPr>
                <w:sz w:val="20"/>
                <w:szCs w:val="20"/>
                <w:color w:val="auto"/>
              </w:rPr>
            </w:pPr>
            <w:r>
              <w:rPr>
                <w:rFonts w:ascii="Arial" w:cs="Arial" w:eastAsia="Arial" w:hAnsi="Arial"/>
                <w:sz w:val="16"/>
                <w:szCs w:val="16"/>
                <w:color w:val="auto"/>
              </w:rPr>
              <w:t>Product development</w:t>
            </w:r>
            <w:r>
              <w:rPr>
                <w:rFonts w:ascii="Arial" w:cs="Arial" w:eastAsia="Arial" w:hAnsi="Arial"/>
                <w:sz w:val="21"/>
                <w:szCs w:val="21"/>
                <w:color w:val="auto"/>
                <w:vertAlign w:val="superscript"/>
              </w:rPr>
              <w:t>(1)</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18"/>
                <w:szCs w:val="18"/>
                <w:color w:val="auto"/>
              </w:rPr>
            </w:pPr>
          </w:p>
        </w:tc>
      </w:tr>
      <w:tr>
        <w:trPr>
          <w:trHeight w:val="216"/>
        </w:trPr>
        <w:tc>
          <w:tcPr>
            <w:tcW w:w="5720" w:type="dxa"/>
            <w:vAlign w:val="bottom"/>
            <w:tcBorders>
              <w:bottom w:val="single" w:sz="8" w:color="CFF0FC"/>
            </w:tcBorders>
            <w:shd w:val="clear" w:color="auto" w:fill="CFF0FC"/>
          </w:tcPr>
          <w:p>
            <w:pPr>
              <w:ind w:left="28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8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7"/>
        </w:trPr>
        <w:tc>
          <w:tcPr>
            <w:tcW w:w="572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7"/>
                <w:szCs w:val="17"/>
                <w:color w:val="auto"/>
              </w:rPr>
            </w:pPr>
          </w:p>
        </w:tc>
      </w:tr>
      <w:tr>
        <w:trPr>
          <w:trHeight w:val="219"/>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(83 )</w:t>
            </w: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(91 )</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(176 )</w:t>
            </w: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(153 )</w:t>
            </w:r>
          </w:p>
        </w:tc>
      </w:tr>
      <w:tr>
        <w:trPr>
          <w:trHeight w:val="213"/>
        </w:trPr>
        <w:tc>
          <w:tcPr>
            <w:tcW w:w="57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Interest and other income, net</w:t>
            </w:r>
          </w:p>
        </w:tc>
        <w:tc>
          <w:tcPr>
            <w:tcW w:w="8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5720" w:type="dxa"/>
            <w:vAlign w:val="bottom"/>
          </w:tcPr>
          <w:p>
            <w:pPr>
              <w:ind w:left="280"/>
              <w:spacing w:after="0"/>
              <w:rPr>
                <w:sz w:val="20"/>
                <w:szCs w:val="20"/>
                <w:color w:val="auto"/>
              </w:rPr>
            </w:pPr>
            <w:r>
              <w:rPr>
                <w:rFonts w:ascii="Arial" w:cs="Arial" w:eastAsia="Arial" w:hAnsi="Arial"/>
                <w:sz w:val="16"/>
                <w:szCs w:val="16"/>
                <w:color w:val="auto"/>
              </w:rPr>
              <w:t>Loss before provision for income taxes</w:t>
            </w:r>
          </w:p>
        </w:tc>
        <w:tc>
          <w:tcPr>
            <w:tcW w:w="8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(77 )</w:t>
            </w:r>
          </w:p>
        </w:tc>
        <w:tc>
          <w:tcPr>
            <w:tcW w:w="780" w:type="dxa"/>
            <w:vAlign w:val="bottom"/>
          </w:tcPr>
          <w:p>
            <w:pPr>
              <w:spacing w:after="0"/>
              <w:rPr>
                <w:sz w:val="18"/>
                <w:szCs w:val="18"/>
                <w:color w:val="auto"/>
              </w:rPr>
            </w:pPr>
          </w:p>
        </w:tc>
        <w:tc>
          <w:tcPr>
            <w:tcW w:w="640" w:type="dxa"/>
            <w:vAlign w:val="bottom"/>
            <w:gridSpan w:val="2"/>
          </w:tcPr>
          <w:p>
            <w:pPr>
              <w:jc w:val="right"/>
              <w:ind w:right="139"/>
              <w:spacing w:after="0"/>
              <w:rPr>
                <w:sz w:val="20"/>
                <w:szCs w:val="20"/>
                <w:color w:val="auto"/>
              </w:rPr>
            </w:pPr>
            <w:r>
              <w:rPr>
                <w:rFonts w:ascii="Arial" w:cs="Arial" w:eastAsia="Arial" w:hAnsi="Arial"/>
                <w:sz w:val="16"/>
                <w:szCs w:val="16"/>
                <w:color w:val="auto"/>
              </w:rPr>
              <w:t>(89 )</w:t>
            </w:r>
          </w:p>
        </w:tc>
        <w:tc>
          <w:tcPr>
            <w:tcW w:w="3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(166 )</w:t>
            </w: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(149 )</w:t>
            </w:r>
          </w:p>
        </w:tc>
      </w:tr>
      <w:tr>
        <w:trPr>
          <w:trHeight w:val="216"/>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(80 )</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139"/>
              <w:spacing w:after="0"/>
              <w:rPr>
                <w:sz w:val="20"/>
                <w:szCs w:val="20"/>
                <w:color w:val="auto"/>
              </w:rPr>
            </w:pPr>
            <w:r>
              <w:rPr>
                <w:rFonts w:ascii="Arial" w:cs="Arial" w:eastAsia="Arial" w:hAnsi="Arial"/>
                <w:sz w:val="16"/>
                <w:szCs w:val="16"/>
                <w:color w:val="auto"/>
              </w:rPr>
              <w:t>(90 )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(169 )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(150 )</w:t>
            </w:r>
          </w:p>
        </w:tc>
      </w:tr>
      <w:tr>
        <w:trPr>
          <w:trHeight w:val="20"/>
        </w:trPr>
        <w:tc>
          <w:tcPr>
            <w:tcW w:w="5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-1010920</wp:posOffset>
            </wp:positionV>
            <wp:extent cx="85725"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-1010920</wp:posOffset>
            </wp:positionV>
            <wp:extent cx="85725"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-1010920</wp:posOffset>
            </wp:positionV>
            <wp:extent cx="85725"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-1010920</wp:posOffset>
            </wp:positionV>
            <wp:extent cx="85725"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-454025</wp:posOffset>
            </wp:positionV>
            <wp:extent cx="8572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-454025</wp:posOffset>
            </wp:positionV>
            <wp:extent cx="85725"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-454025</wp:posOffset>
            </wp:positionV>
            <wp:extent cx="85725"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-454025</wp:posOffset>
            </wp:positionV>
            <wp:extent cx="85725"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8572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8572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8572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7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Includes stock-based compensation expense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2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57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5700" w:type="dxa"/>
            <w:vAlign w:val="bottom"/>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(in</w:t>
            </w:r>
          </w:p>
        </w:tc>
        <w:tc>
          <w:tcPr>
            <w:tcW w:w="114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88"/>
              </w:rPr>
              <w:t>millions)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6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140" w:type="dxa"/>
            <w:vAlign w:val="bottom"/>
            <w:gridSpan w:val="2"/>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2"/>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8"/>
                <w:szCs w:val="18"/>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r>
      <w:tr>
        <w:trPr>
          <w:trHeight w:val="219"/>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development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9"/>
                <w:szCs w:val="19"/>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r>
      <w:tr>
        <w:trPr>
          <w:trHeight w:val="250"/>
        </w:trPr>
        <w:tc>
          <w:tcPr>
            <w:tcW w:w="5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stock-based compensation</w:t>
            </w: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revenue: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200" w:type="dxa"/>
            <w:vAlign w:val="bottom"/>
            <w:gridSpan w:val="4"/>
          </w:tcPr>
          <w:p>
            <w:pPr>
              <w:jc w:val="center"/>
              <w:ind w:left="27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rPr>
              <w:t>Six Months Ended</w:t>
            </w:r>
          </w:p>
        </w:tc>
      </w:tr>
      <w:tr>
        <w:trPr>
          <w:trHeight w:val="221"/>
        </w:trPr>
        <w:tc>
          <w:tcPr>
            <w:tcW w:w="57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7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100 %</w:t>
            </w:r>
          </w:p>
        </w:tc>
        <w:tc>
          <w:tcPr>
            <w:tcW w:w="8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100 %</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100 %</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7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79 %</w:t>
            </w:r>
          </w:p>
        </w:tc>
        <w:tc>
          <w:tcPr>
            <w:tcW w:w="8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6"/>
                <w:szCs w:val="16"/>
                <w:color w:val="auto"/>
              </w:rPr>
              <w:t>69 %</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79 %</w:t>
            </w:r>
          </w:p>
        </w:tc>
        <w:tc>
          <w:tcPr>
            <w:tcW w:w="3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67 %</w:t>
            </w:r>
          </w:p>
        </w:tc>
      </w:tr>
      <w:tr>
        <w:trPr>
          <w:trHeight w:val="20"/>
        </w:trPr>
        <w:tc>
          <w:tcPr>
            <w:tcW w:w="5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13"/>
        </w:trPr>
        <w:tc>
          <w:tcPr>
            <w:tcW w:w="57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Gross profit</w:t>
            </w: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21 %</w:t>
            </w:r>
          </w:p>
        </w:tc>
        <w:tc>
          <w:tcPr>
            <w:tcW w:w="8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31 %</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21 %</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80" w:type="dxa"/>
            <w:vAlign w:val="bottom"/>
          </w:tcPr>
          <w:p>
            <w:pPr>
              <w:spacing w:after="0"/>
              <w:rPr>
                <w:sz w:val="18"/>
                <w:szCs w:val="18"/>
                <w:color w:val="auto"/>
              </w:rPr>
            </w:pPr>
          </w:p>
        </w:tc>
      </w:tr>
      <w:tr>
        <w:trPr>
          <w:trHeight w:val="213"/>
        </w:trPr>
        <w:tc>
          <w:tcPr>
            <w:tcW w:w="642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642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Sales and marketing</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50 %</w:t>
            </w:r>
          </w:p>
        </w:tc>
        <w:tc>
          <w:tcPr>
            <w:tcW w:w="8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42 %</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44 %</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80" w:type="dxa"/>
            <w:vAlign w:val="bottom"/>
          </w:tcPr>
          <w:p>
            <w:pPr>
              <w:spacing w:after="0"/>
              <w:rPr>
                <w:sz w:val="19"/>
                <w:szCs w:val="19"/>
                <w:color w:val="auto"/>
              </w:rPr>
            </w:pPr>
          </w:p>
        </w:tc>
      </w:tr>
      <w:tr>
        <w:trPr>
          <w:trHeight w:val="213"/>
        </w:trPr>
        <w:tc>
          <w:tcPr>
            <w:tcW w:w="6420" w:type="dxa"/>
            <w:vAlign w:val="bottom"/>
            <w:gridSpan w:val="2"/>
          </w:tcPr>
          <w:p>
            <w:pPr>
              <w:ind w:left="280"/>
              <w:spacing w:after="0"/>
              <w:rPr>
                <w:sz w:val="20"/>
                <w:szCs w:val="20"/>
                <w:color w:val="auto"/>
              </w:rPr>
            </w:pPr>
            <w:r>
              <w:rPr>
                <w:rFonts w:ascii="Arial" w:cs="Arial" w:eastAsia="Arial" w:hAnsi="Arial"/>
                <w:sz w:val="16"/>
                <w:szCs w:val="16"/>
                <w:color w:val="auto"/>
              </w:rPr>
              <w:t>Product development</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49 %</w:t>
            </w:r>
          </w:p>
        </w:tc>
        <w:tc>
          <w:tcPr>
            <w:tcW w:w="8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6"/>
                <w:szCs w:val="16"/>
                <w:color w:val="auto"/>
              </w:rPr>
              <w:t>34 %</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51 %</w:t>
            </w:r>
          </w:p>
        </w:tc>
        <w:tc>
          <w:tcPr>
            <w:tcW w:w="3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35 %</w:t>
            </w:r>
          </w:p>
        </w:tc>
      </w:tr>
      <w:tr>
        <w:trPr>
          <w:trHeight w:val="216"/>
        </w:trPr>
        <w:tc>
          <w:tcPr>
            <w:tcW w:w="57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General and administrative</w:t>
            </w: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28 %</w:t>
            </w:r>
          </w:p>
        </w:tc>
        <w:tc>
          <w:tcPr>
            <w:tcW w:w="8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23 %</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27 %</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8"/>
                <w:szCs w:val="18"/>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6"/>
        </w:trPr>
        <w:tc>
          <w:tcPr>
            <w:tcW w:w="570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7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color w:val="auto"/>
                <w:highlight w:val="white"/>
              </w:rPr>
              <w:t>%</w:t>
            </w:r>
          </w:p>
        </w:tc>
        <w:tc>
          <w:tcPr>
            <w:tcW w:w="880" w:type="dxa"/>
            <w:vAlign w:val="bottom"/>
          </w:tcPr>
          <w:p>
            <w:pPr>
              <w:spacing w:after="0"/>
              <w:rPr>
                <w:sz w:val="17"/>
                <w:szCs w:val="17"/>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color w:val="auto"/>
                <w:highlight w:val="white"/>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color w:val="auto"/>
                <w:highlight w:val="white"/>
              </w:rPr>
              <w:t>%</w:t>
            </w:r>
          </w:p>
        </w:tc>
        <w:tc>
          <w:tcPr>
            <w:tcW w:w="36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 xml:space="preserve">80 </w:t>
            </w:r>
            <w:r>
              <w:rPr>
                <w:rFonts w:ascii="Arial" w:cs="Arial" w:eastAsia="Arial" w:hAnsi="Arial"/>
                <w:sz w:val="16"/>
                <w:szCs w:val="16"/>
                <w:color w:val="auto"/>
                <w:highlight w:val="white"/>
              </w:rPr>
              <w:t>%</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6"/>
                <w:szCs w:val="16"/>
                <w:color w:val="auto"/>
              </w:rPr>
              <w:t>Loss from operations</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(106 )%</w:t>
            </w:r>
          </w:p>
        </w:tc>
        <w:tc>
          <w:tcPr>
            <w:tcW w:w="8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(68 )%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(101 )%</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(47 )%</w:t>
            </w:r>
          </w:p>
        </w:tc>
      </w:tr>
      <w:tr>
        <w:trPr>
          <w:trHeight w:val="219"/>
        </w:trPr>
        <w:tc>
          <w:tcPr>
            <w:tcW w:w="642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7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Interest and other income, net</w:t>
            </w: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8 %</w:t>
            </w:r>
          </w:p>
        </w:tc>
        <w:tc>
          <w:tcPr>
            <w:tcW w:w="8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2 %</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6 %</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700" w:type="dxa"/>
            <w:vAlign w:val="bottom"/>
          </w:tcPr>
          <w:p>
            <w:pPr>
              <w:ind w:left="520"/>
              <w:spacing w:after="0"/>
              <w:rPr>
                <w:sz w:val="20"/>
                <w:szCs w:val="20"/>
                <w:color w:val="auto"/>
              </w:rPr>
            </w:pPr>
            <w:r>
              <w:rPr>
                <w:rFonts w:ascii="Arial" w:cs="Arial" w:eastAsia="Arial" w:hAnsi="Arial"/>
                <w:sz w:val="16"/>
                <w:szCs w:val="16"/>
                <w:color w:val="auto"/>
              </w:rPr>
              <w:t>Loss before provision for income taxes</w:t>
            </w:r>
          </w:p>
        </w:tc>
        <w:tc>
          <w:tcPr>
            <w:tcW w:w="7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color w:val="auto"/>
                <w:highlight w:val="white"/>
              </w:rPr>
              <w:t>)</w:t>
            </w:r>
            <w:r>
              <w:rPr>
                <w:rFonts w:ascii="Arial" w:cs="Arial" w:eastAsia="Arial" w:hAnsi="Arial"/>
                <w:sz w:val="16"/>
                <w:szCs w:val="16"/>
                <w:color w:val="auto"/>
              </w:rPr>
              <w:t>%</w:t>
            </w: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4 %</w:t>
            </w:r>
          </w:p>
        </w:tc>
        <w:tc>
          <w:tcPr>
            <w:tcW w:w="8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1 %</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2 %</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 xml:space="preserve">(102 </w:t>
            </w:r>
            <w:r>
              <w:rPr>
                <w:rFonts w:ascii="Arial" w:cs="Arial" w:eastAsia="Arial" w:hAnsi="Arial"/>
                <w:sz w:val="16"/>
                <w:szCs w:val="16"/>
                <w:color w:val="auto"/>
                <w:highlight w:val="white"/>
                <w:w w:val="96"/>
              </w:rPr>
              <w:t>)</w:t>
            </w: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color w:val="auto"/>
                <w:highlight w:val="white"/>
              </w:rPr>
              <w:t>)</w:t>
            </w:r>
            <w:r>
              <w:rPr>
                <w:rFonts w:ascii="Arial" w:cs="Arial" w:eastAsia="Arial" w:hAnsi="Arial"/>
                <w:sz w:val="16"/>
                <w:szCs w:val="16"/>
                <w:color w:val="auto"/>
              </w:rPr>
              <w:t>%</w:t>
            </w:r>
          </w:p>
        </w:tc>
      </w:tr>
      <w:tr>
        <w:trPr>
          <w:trHeight w:val="20"/>
        </w:trPr>
        <w:tc>
          <w:tcPr>
            <w:tcW w:w="5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9" w:lineRule="exact"/>
        <w:rPr>
          <w:sz w:val="20"/>
          <w:szCs w:val="20"/>
          <w:color w:val="auto"/>
        </w:rPr>
      </w:pPr>
    </w:p>
    <w:p>
      <w:pPr>
        <w:ind w:right="5480"/>
        <w:spacing w:after="0" w:line="472" w:lineRule="auto"/>
        <w:rPr>
          <w:sz w:val="20"/>
          <w:szCs w:val="20"/>
          <w:color w:val="auto"/>
        </w:rPr>
      </w:pPr>
      <w:r>
        <w:rPr>
          <w:rFonts w:ascii="Arial" w:cs="Arial" w:eastAsia="Arial" w:hAnsi="Arial"/>
          <w:sz w:val="18"/>
          <w:szCs w:val="18"/>
          <w:b w:val="1"/>
          <w:bCs w:val="1"/>
          <w:i w:val="1"/>
          <w:iCs w:val="1"/>
          <w:color w:val="auto"/>
        </w:rPr>
        <w:t>Comparison of Three and Six Months Ended June 30, 2023 and 2022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080" w:type="dxa"/>
            <w:vAlign w:val="bottom"/>
            <w:gridSpan w:val="5"/>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ind w:left="6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Core marketplace revenue</w:t>
            </w:r>
            <w:r>
              <w:rPr>
                <w:rFonts w:ascii="Arial" w:cs="Arial" w:eastAsia="Arial" w:hAnsi="Arial"/>
                <w:sz w:val="21"/>
                <w:szCs w:val="21"/>
                <w:color w:val="auto"/>
                <w:vertAlign w:val="superscript"/>
              </w:rPr>
              <w:t>(1)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232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w w:val="99"/>
              </w:rPr>
              <w:t>millions, except percentages)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vMerge w:val="continue"/>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24</w:t>
            </w: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4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rPr>
              <w:t>(30 )</w:t>
            </w:r>
          </w:p>
        </w:tc>
        <w:tc>
          <w:tcPr>
            <w:tcW w:w="300" w:type="dxa"/>
            <w:vAlign w:val="bottom"/>
          </w:tcPr>
          <w:p>
            <w:pPr>
              <w:spacing w:after="0"/>
              <w:rPr>
                <w:sz w:val="18"/>
                <w:szCs w:val="18"/>
                <w:color w:val="auto"/>
              </w:rPr>
            </w:pPr>
          </w:p>
        </w:tc>
        <w:tc>
          <w:tcPr>
            <w:tcW w:w="940" w:type="dxa"/>
            <w:vAlign w:val="bottom"/>
            <w:gridSpan w:val="3"/>
          </w:tcPr>
          <w:p>
            <w:pPr>
              <w:ind w:left="280"/>
              <w:spacing w:after="0"/>
              <w:rPr>
                <w:sz w:val="20"/>
                <w:szCs w:val="20"/>
                <w:color w:val="auto"/>
              </w:rPr>
            </w:pPr>
            <w:r>
              <w:rPr>
                <w:rFonts w:ascii="Arial" w:cs="Arial" w:eastAsia="Arial" w:hAnsi="Arial"/>
                <w:sz w:val="16"/>
                <w:szCs w:val="16"/>
                <w:color w:val="auto"/>
              </w:rPr>
              <w:t>(56 )% $</w:t>
            </w: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144</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(92 )</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ProductBoost revenue</w:t>
            </w:r>
          </w:p>
        </w:tc>
        <w:tc>
          <w:tcPr>
            <w:tcW w:w="6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rPr>
              <w:t>(5 )</w:t>
            </w:r>
          </w:p>
        </w:tc>
        <w:tc>
          <w:tcPr>
            <w:tcW w:w="3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6"/>
                <w:szCs w:val="16"/>
                <w:color w:val="auto"/>
              </w:rPr>
              <w:t>(45 )%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(11 )</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Marketplace revenue</w:t>
            </w: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6"/>
                <w:szCs w:val="16"/>
                <w:color w:val="auto"/>
              </w:rPr>
              <w:t>(54 )%</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rPr>
              <w:t>(35 )</w:t>
            </w:r>
          </w:p>
        </w:tc>
        <w:tc>
          <w:tcPr>
            <w:tcW w:w="3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(103 )</w:t>
            </w:r>
          </w:p>
        </w:tc>
        <w:tc>
          <w:tcPr>
            <w:tcW w:w="2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00" w:type="dxa"/>
            <w:vAlign w:val="bottom"/>
          </w:tcPr>
          <w:p>
            <w:pPr>
              <w:ind w:left="20"/>
              <w:spacing w:after="0"/>
              <w:rPr>
                <w:sz w:val="20"/>
                <w:szCs w:val="20"/>
                <w:color w:val="auto"/>
              </w:rPr>
            </w:pPr>
            <w:r>
              <w:rPr>
                <w:rFonts w:ascii="Arial" w:cs="Arial" w:eastAsia="Arial" w:hAnsi="Arial"/>
                <w:sz w:val="16"/>
                <w:szCs w:val="16"/>
                <w:color w:val="auto"/>
              </w:rPr>
              <w:t>Logistics revenue</w:t>
            </w:r>
          </w:p>
        </w:tc>
        <w:tc>
          <w:tcPr>
            <w:tcW w:w="6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rPr>
              <w:t>(21 )</w:t>
            </w:r>
          </w:p>
        </w:tc>
        <w:tc>
          <w:tcPr>
            <w:tcW w:w="3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6"/>
                <w:szCs w:val="16"/>
                <w:color w:val="auto"/>
              </w:rPr>
              <w:t>(30 )%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(46 )</w:t>
            </w: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ind w:left="520"/>
              <w:spacing w:after="0"/>
              <w:rPr>
                <w:sz w:val="20"/>
                <w:szCs w:val="20"/>
                <w:color w:val="auto"/>
              </w:rPr>
            </w:pPr>
            <w:r>
              <w:rPr>
                <w:rFonts w:ascii="Arial" w:cs="Arial" w:eastAsia="Arial" w:hAnsi="Arial"/>
                <w:sz w:val="16"/>
                <w:szCs w:val="16"/>
                <w:color w:val="auto"/>
              </w:rPr>
              <w:t>Revenue</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99"/>
              <w:spacing w:after="0"/>
              <w:rPr>
                <w:sz w:val="20"/>
                <w:szCs w:val="20"/>
                <w:color w:val="auto"/>
              </w:rPr>
            </w:pPr>
            <w:r>
              <w:rPr>
                <w:rFonts w:ascii="Arial" w:cs="Arial" w:eastAsia="Arial" w:hAnsi="Arial"/>
                <w:sz w:val="16"/>
                <w:szCs w:val="16"/>
                <w:color w:val="auto"/>
              </w:rPr>
              <w:t>(56 )</w:t>
            </w:r>
          </w:p>
        </w:tc>
        <w:tc>
          <w:tcPr>
            <w:tcW w:w="300" w:type="dxa"/>
            <w:vAlign w:val="bottom"/>
          </w:tcPr>
          <w:p>
            <w:pPr>
              <w:spacing w:after="0"/>
              <w:rPr>
                <w:sz w:val="18"/>
                <w:szCs w:val="18"/>
                <w:color w:val="auto"/>
              </w:rPr>
            </w:pPr>
          </w:p>
        </w:tc>
        <w:tc>
          <w:tcPr>
            <w:tcW w:w="940" w:type="dxa"/>
            <w:vAlign w:val="bottom"/>
            <w:gridSpan w:val="3"/>
          </w:tcPr>
          <w:p>
            <w:pPr>
              <w:ind w:left="280"/>
              <w:spacing w:after="0" w:line="210" w:lineRule="exact"/>
              <w:rPr>
                <w:sz w:val="20"/>
                <w:szCs w:val="20"/>
                <w:color w:val="auto"/>
              </w:rPr>
            </w:pPr>
            <w:r>
              <w:rPr>
                <w:rFonts w:ascii="Arial" w:cs="Arial" w:eastAsia="Arial" w:hAnsi="Arial"/>
                <w:sz w:val="13"/>
                <w:szCs w:val="13"/>
                <w:color w:val="auto"/>
              </w:rPr>
              <w:t xml:space="preserve">(42 )% </w:t>
            </w:r>
            <w:r>
              <w:rPr>
                <w:rFonts w:ascii="Arial" w:cs="Arial" w:eastAsia="Arial" w:hAnsi="Arial"/>
                <w:sz w:val="24"/>
                <w:szCs w:val="24"/>
                <w:color w:val="auto"/>
                <w:vertAlign w:val="superscript"/>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174</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323</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(149 )</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7" w:lineRule="exact"/>
        <w:rPr>
          <w:sz w:val="20"/>
          <w:szCs w:val="20"/>
          <w:color w:val="auto"/>
        </w:rPr>
      </w:pPr>
    </w:p>
    <w:p>
      <w:pPr>
        <w:ind w:left="760" w:right="80" w:hanging="378"/>
        <w:spacing w:after="0" w:line="273"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Core marketplace revenue included a $2 million net loss for both the three months ended June 30, 2023 and 2022, and a zero net loss for both the six months ended June 30, 2023 and 2022, from our cash flow hedging program.</w:t>
      </w:r>
    </w:p>
    <w:p>
      <w:pPr>
        <w:spacing w:after="0" w:line="112" w:lineRule="exact"/>
        <w:rPr>
          <w:sz w:val="20"/>
          <w:szCs w:val="20"/>
          <w:color w:val="auto"/>
        </w:rPr>
      </w:pPr>
    </w:p>
    <w:p>
      <w:pPr>
        <w:jc w:val="both"/>
        <w:ind w:right="80" w:firstLine="636"/>
        <w:spacing w:after="0" w:line="243" w:lineRule="auto"/>
        <w:rPr>
          <w:sz w:val="20"/>
          <w:szCs w:val="20"/>
          <w:color w:val="auto"/>
        </w:rPr>
      </w:pPr>
      <w:r>
        <w:rPr>
          <w:rFonts w:ascii="Arial" w:cs="Arial" w:eastAsia="Arial" w:hAnsi="Arial"/>
          <w:sz w:val="18"/>
          <w:szCs w:val="18"/>
          <w:color w:val="auto"/>
        </w:rPr>
        <w:t>Revenue decreased $56 million, or 42%, to $78 million for the three months ended June 30, 2023 as compared to $134 million for the three months ended June 30, 2022. Revenue decreased $149 million, or 46%, to $174 million for the six months ended June 30, 2023 as compared to $323 million for the six months ended June 30, 2022. The decreases were attributable to decreased marketplace and logistics revenue, as noted below.</w:t>
      </w:r>
    </w:p>
    <w:p>
      <w:pPr>
        <w:spacing w:after="0" w:line="134" w:lineRule="exact"/>
        <w:rPr>
          <w:sz w:val="20"/>
          <w:szCs w:val="20"/>
          <w:color w:val="auto"/>
        </w:rPr>
      </w:pPr>
    </w:p>
    <w:p>
      <w:pPr>
        <w:jc w:val="both"/>
        <w:ind w:right="80" w:firstLine="636"/>
        <w:spacing w:after="0" w:line="269" w:lineRule="auto"/>
        <w:rPr>
          <w:sz w:val="20"/>
          <w:szCs w:val="20"/>
          <w:color w:val="auto"/>
        </w:rPr>
      </w:pPr>
      <w:r>
        <w:rPr>
          <w:rFonts w:ascii="Arial" w:cs="Arial" w:eastAsia="Arial" w:hAnsi="Arial"/>
          <w:sz w:val="17"/>
          <w:szCs w:val="17"/>
          <w:color w:val="auto"/>
        </w:rPr>
        <w:t>Marketplace revenue for the three and six months ended June 30, 2023 decreased $35 million, or 54%, and $103 million, or 61%, respectively, compared to the same periods in 2022. These decreases were primarily driven by lower order volumes associated with reduced MAUs and LTM Active Buyers and to a lesser extent, revisions to our pricing strategy, which resulted in lower marketplace revenue per order.</w:t>
      </w:r>
    </w:p>
    <w:p>
      <w:pPr>
        <w:spacing w:after="0" w:line="112" w:lineRule="exact"/>
        <w:rPr>
          <w:sz w:val="20"/>
          <w:szCs w:val="20"/>
          <w:color w:val="auto"/>
        </w:rPr>
      </w:pPr>
    </w:p>
    <w:p>
      <w:pPr>
        <w:jc w:val="both"/>
        <w:ind w:right="80" w:firstLine="636"/>
        <w:spacing w:after="0" w:line="260" w:lineRule="auto"/>
        <w:rPr>
          <w:sz w:val="20"/>
          <w:szCs w:val="20"/>
          <w:color w:val="auto"/>
        </w:rPr>
      </w:pPr>
      <w:r>
        <w:rPr>
          <w:rFonts w:ascii="Arial" w:cs="Arial" w:eastAsia="Arial" w:hAnsi="Arial"/>
          <w:sz w:val="18"/>
          <w:szCs w:val="18"/>
          <w:color w:val="auto"/>
        </w:rPr>
        <w:t>Logistics revenue for the three and six months ended June 30, 2023 decreased $21 million, or 30%, and $46 million, or 30%, respectively, compared to the same periods in 2022. Like marketplace revenue, the decrease was primarily driven by lower order volumes.</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9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4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6"/>
          </w:tcPr>
          <w:p>
            <w:pPr>
              <w:ind w:left="2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27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June 30,</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June 30,</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740" w:type="dxa"/>
            <w:vAlign w:val="bottom"/>
          </w:tcPr>
          <w:p>
            <w:pPr>
              <w:spacing w:after="0"/>
              <w:rPr>
                <w:sz w:val="18"/>
                <w:szCs w:val="18"/>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9"/>
          </w:tcPr>
          <w:p>
            <w:pPr>
              <w:jc w:val="right"/>
              <w:spacing w:after="0"/>
              <w:rPr>
                <w:sz w:val="20"/>
                <w:szCs w:val="20"/>
                <w:color w:val="auto"/>
              </w:rPr>
            </w:pPr>
            <w:r>
              <w:rPr>
                <w:rFonts w:ascii="Arial" w:cs="Arial" w:eastAsia="Arial" w:hAnsi="Arial"/>
                <w:sz w:val="16"/>
                <w:szCs w:val="16"/>
                <w:b w:val="1"/>
                <w:bCs w:val="1"/>
                <w:color w:val="auto"/>
              </w:rPr>
              <w:t>($ in millions, except percentages)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89"/>
              </w:rPr>
              <w:t>62</w:t>
            </w:r>
          </w:p>
        </w:tc>
        <w:tc>
          <w:tcPr>
            <w:tcW w:w="26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(30 )</w:t>
            </w:r>
          </w:p>
        </w:tc>
        <w:tc>
          <w:tcPr>
            <w:tcW w:w="3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(33 )% $</w:t>
            </w:r>
          </w:p>
        </w:tc>
        <w:tc>
          <w:tcPr>
            <w:tcW w:w="54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217</w:t>
            </w:r>
          </w:p>
        </w:tc>
        <w:tc>
          <w:tcPr>
            <w:tcW w:w="24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(79 )</w:t>
            </w: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(36 )%</w:t>
            </w:r>
          </w:p>
        </w:tc>
      </w:tr>
      <w:tr>
        <w:trPr>
          <w:trHeight w:val="219"/>
        </w:trPr>
        <w:tc>
          <w:tcPr>
            <w:tcW w:w="274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60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79 %</w:t>
            </w:r>
          </w:p>
        </w:tc>
        <w:tc>
          <w:tcPr>
            <w:tcW w:w="78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69 %</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79 %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67 %</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21 %</w:t>
            </w: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31 %</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21 %</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33 %</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-410845</wp:posOffset>
            </wp:positionV>
            <wp:extent cx="69951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Cost of revenue for the three and six months ended June 30, 2023 decreased $30 million, or 33%, and $79 million, or 36%, respectively, compared to the same periods in 2022. These decreases were primarily due to lower marketplace and logistics related costs as a result of lower order volumes.</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Gross margin decreased to 21% for both the three and six months ended June 30, 2023, from 31% and 33% for the three and six months ended June 30, 2022, respectively, primarily driven by a greater percentage of overall revenue coming from lower margin logistics services during the first half of 2023 compared to the same period in 2022 and revisions to our pricing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4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1"/>
        </w:trPr>
        <w:tc>
          <w:tcPr>
            <w:tcW w:w="2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5"/>
          </w:tcPr>
          <w:p>
            <w:pPr>
              <w:ind w:left="4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9"/>
                <w:szCs w:val="19"/>
                <w:color w:val="auto"/>
              </w:rPr>
            </w:pPr>
          </w:p>
        </w:tc>
        <w:tc>
          <w:tcPr>
            <w:tcW w:w="104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9"/>
        </w:trPr>
        <w:tc>
          <w:tcPr>
            <w:tcW w:w="274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10"/>
        </w:trPr>
        <w:tc>
          <w:tcPr>
            <w:tcW w:w="2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9"/>
          </w:tcPr>
          <w:p>
            <w:pPr>
              <w:jc w:val="right"/>
              <w:spacing w:after="0"/>
              <w:rPr>
                <w:sz w:val="20"/>
                <w:szCs w:val="20"/>
                <w:color w:val="auto"/>
              </w:rPr>
            </w:pPr>
            <w:r>
              <w:rPr>
                <w:rFonts w:ascii="Arial" w:cs="Arial" w:eastAsia="Arial" w:hAnsi="Arial"/>
                <w:sz w:val="16"/>
                <w:szCs w:val="16"/>
                <w:b w:val="1"/>
                <w:bCs w:val="1"/>
                <w:color w:val="auto"/>
              </w:rPr>
              <w:t>($ in millions, except percentages)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89"/>
              </w:rPr>
              <w:t>39</w:t>
            </w:r>
          </w:p>
        </w:tc>
        <w:tc>
          <w:tcPr>
            <w:tcW w:w="26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(17 )</w:t>
            </w:r>
          </w:p>
        </w:tc>
        <w:tc>
          <w:tcPr>
            <w:tcW w:w="3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(30 )% $</w:t>
            </w:r>
          </w:p>
        </w:tc>
        <w:tc>
          <w:tcPr>
            <w:tcW w:w="540" w:type="dxa"/>
            <w:vAlign w:val="bottom"/>
          </w:tcPr>
          <w:p>
            <w:pPr>
              <w:ind w:left="340"/>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(25 )</w:t>
            </w: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16"/>
        </w:trPr>
        <w:tc>
          <w:tcPr>
            <w:tcW w:w="274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6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50 %</w:t>
            </w:r>
          </w:p>
        </w:tc>
        <w:tc>
          <w:tcPr>
            <w:tcW w:w="7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42 %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44 %</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-269875</wp:posOffset>
            </wp:positionV>
            <wp:extent cx="699516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Sales and marketing expense decreased $17 million, or 30% to $39 million for the three months ended June 30, 2023, compared to $ 56 million for the three months ended June 30, 2022. The decrease was primarily due to a $ 13 million reduction in advertising expenditures, a $2 million reduction in customer support service costs as a result of lower order volumes, and a $2 million reduction of employee-related costs, including stock-based compensation due to lower headcount.</w:t>
      </w:r>
    </w:p>
    <w:p>
      <w:pPr>
        <w:spacing w:after="0" w:line="134"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Sales and marketing expense decreased $25 million, or 25% to $76 million for the six months ended June 30, 2023, compared to $ 101 million for the six months ended June 30, 2022. The decrease was primarily due to a $13 million reduction in advertising expenditures, a $5 million reduction of employee-related costs including stock-based compensation due to lower headcount, a $3 million reduction in customer support service costs as a result of lower order volumes, and a $4 million reduction in other sales and marketing related expenditures.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2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1"/>
        </w:trPr>
        <w:tc>
          <w:tcPr>
            <w:tcW w:w="2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5"/>
          </w:tcPr>
          <w:p>
            <w:pPr>
              <w:ind w:left="3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9"/>
                <w:szCs w:val="19"/>
                <w:color w:val="auto"/>
              </w:rPr>
            </w:pPr>
          </w:p>
        </w:tc>
        <w:tc>
          <w:tcPr>
            <w:tcW w:w="108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274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10"/>
        </w:trPr>
        <w:tc>
          <w:tcPr>
            <w:tcW w:w="2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9"/>
          </w:tcPr>
          <w:p>
            <w:pPr>
              <w:jc w:val="right"/>
              <w:spacing w:after="0"/>
              <w:rPr>
                <w:sz w:val="20"/>
                <w:szCs w:val="20"/>
                <w:color w:val="auto"/>
              </w:rPr>
            </w:pPr>
            <w:r>
              <w:rPr>
                <w:rFonts w:ascii="Arial" w:cs="Arial" w:eastAsia="Arial" w:hAnsi="Arial"/>
                <w:sz w:val="16"/>
                <w:szCs w:val="16"/>
                <w:b w:val="1"/>
                <w:bCs w:val="1"/>
                <w:color w:val="auto"/>
              </w:rPr>
              <w:t>($ in millions, except percentages)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Product development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89"/>
              </w:rPr>
              <w:t>38</w:t>
            </w:r>
          </w:p>
        </w:tc>
        <w:tc>
          <w:tcPr>
            <w:tcW w:w="26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(8 )</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(17 )% $</w:t>
            </w:r>
          </w:p>
        </w:tc>
        <w:tc>
          <w:tcPr>
            <w:tcW w:w="540" w:type="dxa"/>
            <w:vAlign w:val="bottom"/>
          </w:tcPr>
          <w:p>
            <w:pPr>
              <w:ind w:left="340"/>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(23 )</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274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6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49 %</w:t>
            </w:r>
          </w:p>
        </w:tc>
        <w:tc>
          <w:tcPr>
            <w:tcW w:w="7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34 %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51 %</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35 %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-269875</wp:posOffset>
            </wp:positionV>
            <wp:extent cx="699516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5"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Product development expense decreased $8 million, or 17% to $38 million for the three months ended June 30, 2023, compared to $46 million for the three months ended June 30, 2022. The decrease was primarily due to a $10 million reduction of employee-related costs including stock-based compensation due to lower headcount, offset by a $2 million increase in service costs from external consultants.</w:t>
      </w:r>
    </w:p>
    <w:p>
      <w:pPr>
        <w:spacing w:after="0" w:line="130"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Product development expense decreased $23 million, or 21% to $89 million for the six months ended June 30, 2023, compared to $112 million for the six months ended June 30, 2022. The decrease was primarily due to a $15 million reduction of employee-related costs including stock-based compensation due to lower headcount and a $9 million one-time discretionary bonus paid to select product development employees during the first quarter of 2022 to help cover their tax obligations triggered by the settlement of their RSUs that vested upon the Company’s IPO. These decreases were partially offset by an increase of $1 million in other product development related expenditures.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4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7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June 30,</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June 30,</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740" w:type="dxa"/>
            <w:vAlign w:val="bottom"/>
          </w:tcPr>
          <w:p>
            <w:pPr>
              <w:spacing w:after="0"/>
              <w:rPr>
                <w:sz w:val="18"/>
                <w:szCs w:val="18"/>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9"/>
          </w:tcPr>
          <w:p>
            <w:pPr>
              <w:jc w:val="right"/>
              <w:ind w:right="419"/>
              <w:spacing w:after="0"/>
              <w:rPr>
                <w:sz w:val="20"/>
                <w:szCs w:val="20"/>
                <w:color w:val="auto"/>
              </w:rPr>
            </w:pPr>
            <w:r>
              <w:rPr>
                <w:rFonts w:ascii="Arial" w:cs="Arial" w:eastAsia="Arial" w:hAnsi="Arial"/>
                <w:sz w:val="16"/>
                <w:szCs w:val="16"/>
                <w:b w:val="1"/>
                <w:bCs w:val="1"/>
                <w:color w:val="auto"/>
              </w:rPr>
              <w:t>($ in millions, except percentages)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and administrative</w:t>
            </w: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22</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31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(9 )</w:t>
            </w:r>
          </w:p>
        </w:tc>
        <w:tc>
          <w:tcPr>
            <w:tcW w:w="3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(29 )% $</w:t>
            </w:r>
          </w:p>
        </w:tc>
        <w:tc>
          <w:tcPr>
            <w:tcW w:w="5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46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ind w:left="380"/>
              <w:spacing w:after="0"/>
              <w:rPr>
                <w:sz w:val="20"/>
                <w:szCs w:val="20"/>
                <w:color w:val="auto"/>
              </w:rPr>
            </w:pPr>
            <w:r>
              <w:rPr>
                <w:rFonts w:ascii="Arial" w:cs="Arial" w:eastAsia="Arial" w:hAnsi="Arial"/>
                <w:sz w:val="16"/>
                <w:szCs w:val="16"/>
                <w:color w:val="auto"/>
                <w:w w:val="89"/>
              </w:rPr>
              <w:t>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20" w:type="dxa"/>
            <w:vAlign w:val="bottom"/>
          </w:tcPr>
          <w:p>
            <w:pPr>
              <w:spacing w:after="0"/>
              <w:rPr>
                <w:sz w:val="18"/>
                <w:szCs w:val="18"/>
                <w:color w:val="auto"/>
              </w:rPr>
            </w:pPr>
          </w:p>
        </w:tc>
      </w:tr>
      <w:tr>
        <w:trPr>
          <w:trHeight w:val="210"/>
        </w:trPr>
        <w:tc>
          <w:tcPr>
            <w:tcW w:w="274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6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28 %</w:t>
            </w:r>
          </w:p>
        </w:tc>
        <w:tc>
          <w:tcPr>
            <w:tcW w:w="7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23 %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6"/>
                <w:szCs w:val="16"/>
                <w:color w:val="auto"/>
              </w:rPr>
              <w:t>27 %</w:t>
            </w:r>
          </w:p>
        </w:tc>
        <w:tc>
          <w:tcPr>
            <w:tcW w:w="5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14 %</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55"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General and administrative expense decreased $9 million, or 29% to $ 22 million for the three months ended June 30, 2023, compared to $31 million for the three months ended June 30, 2022. The decrease was primarily due to a $6 million reduction of employee-related costs, including stock-based compensation, due to lower headcount, a $1 million decrease in impairment of lease assets and property and equipment, and a $2 million reduction in other general and administrative related expenditures.</w:t>
      </w:r>
    </w:p>
    <w:p>
      <w:pPr>
        <w:spacing w:after="0" w:line="13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General and administrative expense increased $1 million, or 2% to $47 million for the six months ended June 30, 2023, compared to $46 million for the three months ended June 30, 2022. The increase was primarily due to an $18 million increase in stock-based compensation mostly driven by a one-time reversal of $21 million of stock-based compensation during the first quarter of 2022 in connection with the resignation of Mr. Szulczewski from his former position as CEO offset in part by $2 million share-based compensation recognized in connection with accelerated vesting of the Company's former CAO's RSUs in accordance with his separation agreement during the first quarter of 2023. This increase was offset by a $8 million decrease in insurance and legal related expenses, a $5 million decrease in impairment of lease assets and property and equipment, and a $4 million reduction in other general and administrative related expenditures.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6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7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June 30,</w:t>
            </w:r>
          </w:p>
        </w:tc>
        <w:tc>
          <w:tcPr>
            <w:tcW w:w="1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June 30,</w:t>
            </w:r>
          </w:p>
        </w:tc>
        <w:tc>
          <w:tcPr>
            <w:tcW w:w="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740" w:type="dxa"/>
            <w:vAlign w:val="bottom"/>
          </w:tcPr>
          <w:p>
            <w:pPr>
              <w:spacing w:after="0"/>
              <w:rPr>
                <w:sz w:val="18"/>
                <w:szCs w:val="18"/>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gridSpan w:val="9"/>
          </w:tcPr>
          <w:p>
            <w:pPr>
              <w:ind w:left="20"/>
              <w:spacing w:after="0"/>
              <w:rPr>
                <w:sz w:val="20"/>
                <w:szCs w:val="20"/>
                <w:color w:val="auto"/>
              </w:rPr>
            </w:pPr>
            <w:r>
              <w:rPr>
                <w:rFonts w:ascii="Arial" w:cs="Arial" w:eastAsia="Arial" w:hAnsi="Arial"/>
                <w:sz w:val="16"/>
                <w:szCs w:val="16"/>
                <w:b w:val="1"/>
                <w:bCs w:val="1"/>
                <w:color w:val="auto"/>
              </w:rPr>
              <w:t>($ in millions, except percentages)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shd w:val="clear" w:color="auto" w:fill="CFF0FC"/>
          </w:tcPr>
          <w:p>
            <w:pPr>
              <w:jc w:val="center"/>
              <w:ind w:right="479"/>
              <w:spacing w:after="0"/>
              <w:rPr>
                <w:sz w:val="20"/>
                <w:szCs w:val="20"/>
                <w:color w:val="auto"/>
              </w:rPr>
            </w:pPr>
            <w:r>
              <w:rPr>
                <w:rFonts w:ascii="Arial" w:cs="Arial" w:eastAsia="Arial" w:hAnsi="Arial"/>
                <w:sz w:val="16"/>
                <w:szCs w:val="16"/>
                <w:color w:val="auto"/>
              </w:rPr>
              <w:t>Interest and other income, net</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6</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2"/>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ind w:left="180"/>
              <w:spacing w:after="0"/>
              <w:rPr>
                <w:sz w:val="20"/>
                <w:szCs w:val="20"/>
                <w:color w:val="auto"/>
              </w:rPr>
            </w:pPr>
            <w:r>
              <w:rPr>
                <w:rFonts w:ascii="Arial" w:cs="Arial" w:eastAsia="Arial" w:hAnsi="Arial"/>
                <w:sz w:val="16"/>
                <w:szCs w:val="16"/>
                <w:color w:val="auto"/>
                <w:w w:val="89"/>
              </w:rPr>
              <w:t>4</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200 %  $</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150 %</w:t>
            </w:r>
          </w:p>
        </w:tc>
        <w:tc>
          <w:tcPr>
            <w:tcW w:w="20" w:type="dxa"/>
            <w:vAlign w:val="bottom"/>
          </w:tcPr>
          <w:p>
            <w:pPr>
              <w:spacing w:after="0"/>
              <w:rPr>
                <w:sz w:val="18"/>
                <w:szCs w:val="18"/>
                <w:color w:val="auto"/>
              </w:rPr>
            </w:pPr>
          </w:p>
        </w:tc>
      </w:tr>
      <w:tr>
        <w:trPr>
          <w:trHeight w:val="210"/>
        </w:trPr>
        <w:tc>
          <w:tcPr>
            <w:tcW w:w="2740" w:type="dxa"/>
            <w:vAlign w:val="bottom"/>
          </w:tcPr>
          <w:p>
            <w:pPr>
              <w:jc w:val="center"/>
              <w:ind w:right="499"/>
              <w:spacing w:after="0"/>
              <w:rPr>
                <w:sz w:val="20"/>
                <w:szCs w:val="20"/>
                <w:color w:val="auto"/>
              </w:rPr>
            </w:pPr>
            <w:r>
              <w:rPr>
                <w:rFonts w:ascii="Arial" w:cs="Arial" w:eastAsia="Arial" w:hAnsi="Arial"/>
                <w:sz w:val="16"/>
                <w:szCs w:val="16"/>
                <w:color w:val="auto"/>
              </w:rPr>
              <w:t>Percentage of revenue</w:t>
            </w:r>
          </w:p>
        </w:tc>
        <w:tc>
          <w:tcPr>
            <w:tcW w:w="64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8 %</w:t>
            </w:r>
          </w:p>
        </w:tc>
        <w:tc>
          <w:tcPr>
            <w:tcW w:w="8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2 %</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6 %</w:t>
            </w:r>
          </w:p>
        </w:tc>
        <w:tc>
          <w:tcPr>
            <w:tcW w:w="64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55" w:lineRule="exact"/>
        <w:rPr>
          <w:sz w:val="20"/>
          <w:szCs w:val="20"/>
          <w:color w:val="auto"/>
        </w:rPr>
      </w:pPr>
    </w:p>
    <w:p>
      <w:pPr>
        <w:jc w:val="both"/>
        <w:ind w:firstLine="599"/>
        <w:spacing w:after="0" w:line="243" w:lineRule="auto"/>
        <w:rPr>
          <w:sz w:val="20"/>
          <w:szCs w:val="20"/>
          <w:color w:val="auto"/>
        </w:rPr>
      </w:pPr>
      <w:r>
        <w:rPr>
          <w:rFonts w:ascii="Arial" w:cs="Arial" w:eastAsia="Arial" w:hAnsi="Arial"/>
          <w:sz w:val="18"/>
          <w:szCs w:val="18"/>
          <w:color w:val="auto"/>
        </w:rPr>
        <w:t>Interest and other income, net increased $4 million, or 200%, to $6 million for the three months ended June 30, 2023 as compared to $2 million for the three months ended June 30, 2022. Interest and other income, net increased $6 million, or 150%, to $10 million for the six months ended June 30, 2023 as compared to $4 million for the six months ended June 30, 2022. The increase was attributable to an increase in interest income due to higher interest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6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4"/>
          </w:tcPr>
          <w:p>
            <w:pPr>
              <w:ind w:left="16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7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740" w:type="dxa"/>
            <w:vAlign w:val="bottom"/>
          </w:tcPr>
          <w:p>
            <w:pPr>
              <w:spacing w:after="0"/>
              <w:rPr>
                <w:sz w:val="18"/>
                <w:szCs w:val="18"/>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w w:val="95"/>
              </w:rPr>
              <w:t>2023</w:t>
            </w: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gridSpan w:val="9"/>
          </w:tcPr>
          <w:p>
            <w:pPr>
              <w:ind w:left="20"/>
              <w:spacing w:after="0"/>
              <w:rPr>
                <w:sz w:val="20"/>
                <w:szCs w:val="20"/>
                <w:color w:val="auto"/>
              </w:rPr>
            </w:pPr>
            <w:r>
              <w:rPr>
                <w:rFonts w:ascii="Arial" w:cs="Arial" w:eastAsia="Arial" w:hAnsi="Arial"/>
                <w:sz w:val="16"/>
                <w:szCs w:val="16"/>
                <w:b w:val="1"/>
                <w:bCs w:val="1"/>
                <w:color w:val="auto"/>
              </w:rPr>
              <w:t>($ in millions, except percentages)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3</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1</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ind w:left="160"/>
              <w:spacing w:after="0"/>
              <w:rPr>
                <w:sz w:val="20"/>
                <w:szCs w:val="20"/>
                <w:color w:val="auto"/>
              </w:rPr>
            </w:pPr>
            <w:r>
              <w:rPr>
                <w:rFonts w:ascii="Arial" w:cs="Arial" w:eastAsia="Arial" w:hAnsi="Arial"/>
                <w:sz w:val="16"/>
                <w:szCs w:val="16"/>
                <w:color w:val="auto"/>
                <w:w w:val="89"/>
              </w:rPr>
              <w:t>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319"/>
              <w:spacing w:after="0"/>
              <w:rPr>
                <w:sz w:val="20"/>
                <w:szCs w:val="20"/>
                <w:color w:val="auto"/>
              </w:rPr>
            </w:pPr>
            <w:r>
              <w:rPr>
                <w:rFonts w:ascii="Arial" w:cs="Arial" w:eastAsia="Arial" w:hAnsi="Arial"/>
                <w:sz w:val="16"/>
                <w:szCs w:val="16"/>
                <w:color w:val="auto"/>
              </w:rPr>
              <w:t>200 %  $</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3</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200 %</w:t>
            </w:r>
          </w:p>
        </w:tc>
        <w:tc>
          <w:tcPr>
            <w:tcW w:w="20" w:type="dxa"/>
            <w:vAlign w:val="bottom"/>
          </w:tcPr>
          <w:p>
            <w:pPr>
              <w:spacing w:after="0"/>
              <w:rPr>
                <w:sz w:val="18"/>
                <w:szCs w:val="18"/>
                <w:color w:val="auto"/>
              </w:rPr>
            </w:pPr>
          </w:p>
        </w:tc>
      </w:tr>
      <w:tr>
        <w:trPr>
          <w:trHeight w:val="210"/>
        </w:trPr>
        <w:tc>
          <w:tcPr>
            <w:tcW w:w="274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64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4 %</w:t>
            </w:r>
          </w:p>
        </w:tc>
        <w:tc>
          <w:tcPr>
            <w:tcW w:w="8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1 %</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2 %</w:t>
            </w:r>
          </w:p>
        </w:tc>
        <w:tc>
          <w:tcPr>
            <w:tcW w:w="64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5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Provision for income taxes for the three and six months ended June 30, 2023 increased $2 million, or 200% compared to the same periods in 2022. The increase in the provision for income taxes was primarily related to an increase in unrecognized tax benefits during the three months ended June 30, 2023, in addition to the increase in pre-tax earnings of our international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As of June 30, 2023, we had cash, cash equivalents and marketable securities of $531 million,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We have been accumulating net losses, and thus may require additional financing or capital resources in the future.</w:t>
      </w:r>
    </w:p>
    <w:p>
      <w:pPr>
        <w:spacing w:after="0" w:line="13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Our material cash requirements outside our normal operating costs include $123 million in accounts and merchants payable, $56 million remaining on a colocation and cloud services purchase commitment, and $17 million of facility lease obligations, of which $8 million is due within the next 12 months.</w:t>
      </w:r>
    </w:p>
    <w:p>
      <w:pPr>
        <w:spacing w:after="0" w:line="130"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While we maintain our cash and short-term investments with a diverse group of large national financial institutions ,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8"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In December 2020, we completed our IPO of common stock and received net proceeds of approximately $1.1 billion after deducting underwriting discounts and commissions of approximately $52 million, but before deducting offering costs, net of reimbursements, of approximately $6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On April 20, 2023, we announced that our board of directors authorized us to repurchase up to $50 million of the Company’s common stock, effective through December 31, 2023. Under this Program, we may repurchase our common stock through open market transactions, in privately negotiated transactions, or by other means, including through the use of trading plans, each in accordance with applicable securities laws and other restrictions. 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share repurchases through June 30,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The Revolving Credit Facility is available through November 2025.</w:t>
      </w:r>
    </w:p>
    <w:p>
      <w:pPr>
        <w:spacing w:after="0" w:line="13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As of June 30, 2023, we had not made any borrowings under the Revolving Credit Facility. Refer to Note 7 to our condensed consolidated financial statements in Item 1 of Part I, “Financial Information” for additional details related to the Revolving Credit Facility.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1680" w:type="dxa"/>
            <w:vAlign w:val="bottom"/>
            <w:gridSpan w:val="2"/>
          </w:tcPr>
          <w:p>
            <w:pPr>
              <w:jc w:val="right"/>
              <w:ind w:right="979"/>
              <w:spacing w:after="0"/>
              <w:rPr>
                <w:sz w:val="20"/>
                <w:szCs w:val="20"/>
                <w:color w:val="auto"/>
              </w:rPr>
            </w:pPr>
            <w:r>
              <w:rPr>
                <w:rFonts w:ascii="Arial" w:cs="Arial" w:eastAsia="Arial" w:hAnsi="Arial"/>
                <w:sz w:val="16"/>
                <w:szCs w:val="16"/>
                <w:b w:val="1"/>
                <w:bCs w:val="1"/>
                <w:color w:val="auto"/>
                <w:w w:val="91"/>
              </w:rPr>
              <w:t>millions)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w:t>
            </w: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6980" w:type="dxa"/>
            <w:vAlign w:val="bottom"/>
          </w:tcPr>
          <w:p>
            <w:pPr>
              <w:ind w:left="280"/>
              <w:spacing w:after="0"/>
              <w:rPr>
                <w:sz w:val="20"/>
                <w:szCs w:val="20"/>
                <w:color w:val="auto"/>
              </w:rPr>
            </w:pPr>
            <w:r>
              <w:rPr>
                <w:rFonts w:ascii="Arial" w:cs="Arial" w:eastAsia="Arial" w:hAnsi="Arial"/>
                <w:sz w:val="16"/>
                <w:szCs w:val="16"/>
                <w:color w:val="auto"/>
              </w:rPr>
              <w:t>Operating activities</w:t>
            </w: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2220" w:type="dxa"/>
            <w:vAlign w:val="bottom"/>
            <w:gridSpan w:val="3"/>
          </w:tcPr>
          <w:p>
            <w:pPr>
              <w:jc w:val="right"/>
              <w:ind w:right="1179"/>
              <w:spacing w:after="0"/>
              <w:rPr>
                <w:sz w:val="20"/>
                <w:szCs w:val="20"/>
                <w:color w:val="auto"/>
              </w:rPr>
            </w:pPr>
            <w:r>
              <w:rPr>
                <w:rFonts w:ascii="Arial" w:cs="Arial" w:eastAsia="Arial" w:hAnsi="Arial"/>
                <w:sz w:val="16"/>
                <w:szCs w:val="16"/>
                <w:color w:val="auto"/>
              </w:rPr>
              <w:t>(180 )   $</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(213 )</w:t>
            </w:r>
          </w:p>
        </w:tc>
      </w:tr>
      <w:tr>
        <w:trPr>
          <w:trHeight w:val="219"/>
        </w:trPr>
        <w:tc>
          <w:tcPr>
            <w:tcW w:w="69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Investing activities</w:t>
            </w:r>
          </w:p>
        </w:tc>
        <w:tc>
          <w:tcPr>
            <w:tcW w:w="1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(91 )</w:t>
            </w:r>
          </w:p>
        </w:tc>
      </w:tr>
      <w:tr>
        <w:trPr>
          <w:trHeight w:val="210"/>
        </w:trPr>
        <w:tc>
          <w:tcPr>
            <w:tcW w:w="6980" w:type="dxa"/>
            <w:vAlign w:val="bottom"/>
          </w:tcPr>
          <w:p>
            <w:pPr>
              <w:ind w:left="280"/>
              <w:spacing w:after="0"/>
              <w:rPr>
                <w:sz w:val="20"/>
                <w:szCs w:val="20"/>
                <w:color w:val="auto"/>
              </w:rPr>
            </w:pPr>
            <w:r>
              <w:rPr>
                <w:rFonts w:ascii="Arial" w:cs="Arial" w:eastAsia="Arial" w:hAnsi="Arial"/>
                <w:sz w:val="16"/>
                <w:szCs w:val="16"/>
                <w:color w:val="auto"/>
              </w:rPr>
              <w:t>Financing activities</w:t>
            </w:r>
          </w:p>
        </w:tc>
        <w:tc>
          <w:tcPr>
            <w:tcW w:w="1340" w:type="dxa"/>
            <w:vAlign w:val="bottom"/>
          </w:tcPr>
          <w:p>
            <w:pPr>
              <w:spacing w:after="0"/>
              <w:rPr>
                <w:sz w:val="18"/>
                <w:szCs w:val="18"/>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(4 )</w:t>
            </w:r>
          </w:p>
        </w:tc>
        <w:tc>
          <w:tcPr>
            <w:tcW w:w="13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Net cash used in our operating activities for the six months ended June 30, 2023 was $ 180 million. This was driven by our net loss of $169 million and $48 million unfavorable changes in our operating assets and liabilities, which was partially offset by non-cash expenses of $37 million. Unfavorable working capital movement was mainly driven by reductions in accounts payable, merchants payable and accrued and refund liabilities. Accounts payable, merchants payable,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accrued and refund liabilities decreased by $67 million primarily due to lower order volumes and reduced digital advertising expenditures.</w:t>
      </w:r>
    </w:p>
    <w:p>
      <w:pPr>
        <w:spacing w:after="0" w:line="158"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Net cash used in our operating activities for the six months ended June 30, 2022 was $213 million. This was driven by our net loss of $150 million and $105 million unfavorable changes in our operating assets and liabilities, which was partially offset by non-cash expenses of $42 million. Unfavorable working capital movement was mainly driven by reductions in accounts payable, merchants payable and accrued and refund liabilities. Accounts payable, merchants payable, and accrued and refund liabilities decreased by $106 million primarily due to lower order volumes and reduced digital advertising expenditures.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Net cash provided by investing activities was $3 million for the six months ended June 30, 2023. This was primarily due to $176 million of maturities in marketable securities, partially offset by $170 million in purchases of marketable securities and $3 million in capital expenditures.</w:t>
      </w:r>
    </w:p>
    <w:p>
      <w:pPr>
        <w:spacing w:after="0" w:line="13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Net cash used in investing activities was $91 million for the six months ended June 30, 2022. This was primarily due to $226 million in purchases of marketable securities and $2 million in capital expenditures, partially offset by $137 million of maturities in marketable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87"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Net cash used in our financing activities was $4 million for the six months ended June 30, 2023, primarily due to tax payments related to employee RSU settlement.</w:t>
      </w:r>
    </w:p>
    <w:p>
      <w:pPr>
        <w:spacing w:after="0" w:line="3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Net cash used in our financing activities was $4 million for the six months ended June 30, 2022. This was primarily due to $5 million in payments of taxes related to employee RSU settlements, offset by $1 million in proceeds from common stock purchased under the Company's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6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For the three and six months ended June 30, 2023 and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8"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2022 Form 10-K, filed with the SEC on February 27, 2023.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68"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Cash, cash equivalents and marketable securities as of June 30, 2023 were held primarily in cash deposits, treasuries, and, to a lesser extent, corporate bonds and commercial paper. The fair value of our cash, cash equivalents, and investments would not be materially affected by either an increase or decrease in interest rates of 100 basis points due mainly to the short-term nature of these instruments and that the Company’s policy is to hold investments to maturity except in cases of non-compliance with our investment policy.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processes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p>
    <w:p>
      <w:pPr>
        <w:spacing w:after="0" w:line="13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consolidated balance sheets. The majority of these foreign exchange contracts expire in less than three months and all expire within one year. Refer to Note 5 to our condensed consolidated financial statements in Item 1 of Part I, “Financial Statements” for more information related to our derivative financial instruments.</w:t>
      </w:r>
    </w:p>
    <w:p>
      <w:pPr>
        <w:spacing w:after="0" w:line="140"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Based on our overall currency rate exposures as of June 30, 2023,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68"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As of the date of filing of this Quarterly Report, we do not believe that inflation has had a material effect on our business, financial condition, or results of operations. If our costs were to become subject to significant inflationary pressures, we may not be able to fully offset such higher costs through increases in revenue as increases in core inflation rates may also affect consumers’ willingness to make discretionary purchases on our platforms. Our inability or failure to do so could harm the Company’s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8"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Chief Executive Officer (“CEO”) and Chief Financial Officer (“CFO”), with assistance from other members of management, have evaluated the effectiveness of our disclosure controls and procedures as of June 30, 2023, and based on their evaluation, have concluded that our disclosure controls and procedures were not effective as of such date due to material weaknesses in internal control over financial reporting,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Weaknesses in Internal Control over Financial Reporting</w:t>
      </w:r>
    </w:p>
    <w:p>
      <w:pPr>
        <w:spacing w:after="0" w:line="168" w:lineRule="exact"/>
        <w:rPr>
          <w:sz w:val="20"/>
          <w:szCs w:val="20"/>
          <w:color w:val="auto"/>
        </w:rPr>
      </w:pPr>
    </w:p>
    <w:p>
      <w:pPr>
        <w:jc w:val="both"/>
        <w:ind w:firstLine="675"/>
        <w:spacing w:after="0" w:line="260" w:lineRule="auto"/>
        <w:rPr>
          <w:sz w:val="20"/>
          <w:szCs w:val="20"/>
          <w:color w:val="auto"/>
        </w:rPr>
      </w:pPr>
      <w:r>
        <w:rPr>
          <w:rFonts w:ascii="Arial" w:cs="Arial" w:eastAsia="Arial" w:hAnsi="Arial"/>
          <w:sz w:val="18"/>
          <w:szCs w:val="18"/>
          <w:color w:val="auto"/>
        </w:rPr>
        <w:t>As disclosed in Item 9A, “Controls and Procedures” within our 2022 Form 10-K, which was filed with the SEC on February 27, 2023 the following material weaknesses were identified and remain outstanding as of June 30, 2023:</w:t>
      </w:r>
    </w:p>
    <w:p>
      <w:pPr>
        <w:spacing w:after="0" w:line="65" w:lineRule="exact"/>
        <w:rPr>
          <w:sz w:val="20"/>
          <w:szCs w:val="20"/>
          <w:color w:val="auto"/>
        </w:rPr>
      </w:pPr>
    </w:p>
    <w:p>
      <w:pPr>
        <w:jc w:val="both"/>
        <w:ind w:left="1020" w:hanging="503"/>
        <w:spacing w:after="0" w:line="24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w:t>
      </w:r>
    </w:p>
    <w:p>
      <w:pPr>
        <w:spacing w:after="0" w:line="79"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spacing w:after="0" w:line="140" w:lineRule="exact"/>
        <w:rPr>
          <w:sz w:val="20"/>
          <w:szCs w:val="20"/>
          <w:color w:val="auto"/>
        </w:rPr>
      </w:pPr>
    </w:p>
    <w:p>
      <w:pPr>
        <w:jc w:val="both"/>
        <w:ind w:firstLine="599"/>
        <w:spacing w:after="0" w:line="243" w:lineRule="auto"/>
        <w:rPr>
          <w:sz w:val="20"/>
          <w:szCs w:val="20"/>
          <w:color w:val="auto"/>
        </w:rPr>
      </w:pPr>
      <w:r>
        <w:rPr>
          <w:rFonts w:ascii="Arial" w:cs="Arial" w:eastAsia="Arial" w:hAnsi="Arial"/>
          <w:sz w:val="18"/>
          <w:szCs w:val="18"/>
          <w:color w:val="auto"/>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spacing w:after="0" w:line="134" w:lineRule="exact"/>
        <w:rPr>
          <w:sz w:val="20"/>
          <w:szCs w:val="20"/>
          <w:color w:val="auto"/>
        </w:rPr>
      </w:pPr>
    </w:p>
    <w:p>
      <w:pPr>
        <w:jc w:val="both"/>
        <w:ind w:firstLine="599"/>
        <w:spacing w:after="0" w:line="243" w:lineRule="auto"/>
        <w:rPr>
          <w:sz w:val="20"/>
          <w:szCs w:val="20"/>
          <w:color w:val="auto"/>
        </w:rPr>
      </w:pPr>
      <w:r>
        <w:rPr>
          <w:rFonts w:ascii="Arial" w:cs="Arial" w:eastAsia="Arial" w:hAnsi="Arial"/>
          <w:sz w:val="18"/>
          <w:szCs w:val="18"/>
          <w:color w:val="auto"/>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Weaknesses</w:t>
      </w:r>
    </w:p>
    <w:p>
      <w:pPr>
        <w:spacing w:after="0" w:line="16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remediation measures we have taken to date include:</w:t>
      </w:r>
    </w:p>
    <w:p>
      <w:pPr>
        <w:spacing w:after="0" w:line="104" w:lineRule="exact"/>
        <w:rPr>
          <w:sz w:val="20"/>
          <w:szCs w:val="20"/>
          <w:color w:val="auto"/>
        </w:rPr>
      </w:pPr>
    </w:p>
    <w:p>
      <w:pPr>
        <w:jc w:val="both"/>
        <w:ind w:left="1020" w:hanging="503"/>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and continuing to hire additional qualified accounting, financial reporting, tax and information technology personnel as well as increasing third-party consultants with public company and internal control over financial reporting experience including a new Chief Executive Officer with a deep understanding of ecommerce and cross border business, a technical project manager to assist with communicating, documenting, and assisting with the remediation of deficiencies, and additional resources to test internal controls;</w:t>
      </w:r>
    </w:p>
    <w:p>
      <w:pPr>
        <w:spacing w:after="0" w:line="81"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additional training for our personnel including the appropriate level of documentation to be maintained to support internal control over financial reporting;</w:t>
      </w:r>
    </w:p>
    <w:p>
      <w:pPr>
        <w:spacing w:after="0" w:line="64"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holding periodic SOX Steering Committee meetings which are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w:t>
      </w:r>
    </w:p>
    <w:p>
      <w:pPr>
        <w:spacing w:after="0" w:line="76"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designing and implementing controls to formalize roles and review responsibilities to align with the staff’s skills and experience and to ensure proper internal control over financial reporting;</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enhance processes to monitor critical batch and interface jobs;</w:t>
      </w:r>
    </w:p>
    <w:p>
      <w:pPr>
        <w:spacing w:after="0" w:line="103"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holding periodic meetings with the Audit Committee to communicate deficiencies, discuss the overall remediation plan, and discuss progress made against the approved plan;</w:t>
      </w:r>
    </w:p>
    <w:p>
      <w:pPr>
        <w:spacing w:after="0" w:line="64"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performed a comprehensive reassessment of financial reporting risks relevant to our consolidated financial statements, including identification of financially relevant systems and business processes at the financial statement assertion level, to facilitate the design and implementation or enhancement of existing controls to address the identified risks;</w:t>
      </w:r>
    </w:p>
    <w:p>
      <w:pPr>
        <w:spacing w:after="0" w:line="76"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the oversight and review of non-recurring transactions to include consistent communication between functional areas, support consistent documentation of conclusions reached, and retention of evidence supporting the operation of control activities;</w:t>
      </w:r>
    </w:p>
    <w:p>
      <w:pPr>
        <w:spacing w:after="0" w:line="76"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enhancing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79"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enhance and standardize user access reviews and monitoring controls to improve segregation of duties, and more comprehensively review user and privileged access to financial applications, programs and data to appropriate Company personnel;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enhance the design of computer operations controls related to the monitoring of critical batch and interface jobs.</w:t>
      </w:r>
    </w:p>
    <w:p>
      <w:pPr>
        <w:spacing w:after="0" w:line="158" w:lineRule="exact"/>
        <w:rPr>
          <w:sz w:val="20"/>
          <w:szCs w:val="20"/>
          <w:color w:val="auto"/>
        </w:rPr>
      </w:pPr>
    </w:p>
    <w:p>
      <w:pPr>
        <w:jc w:val="both"/>
        <w:ind w:firstLine="599"/>
        <w:spacing w:after="0" w:line="239" w:lineRule="auto"/>
        <w:rPr>
          <w:sz w:val="20"/>
          <w:szCs w:val="20"/>
          <w:color w:val="auto"/>
        </w:rPr>
      </w:pPr>
      <w:r>
        <w:rPr>
          <w:rFonts w:ascii="Arial" w:cs="Arial" w:eastAsia="Arial" w:hAnsi="Arial"/>
          <w:sz w:val="18"/>
          <w:szCs w:val="18"/>
          <w:color w:val="auto"/>
        </w:rPr>
        <w:t>We are committed to continuing to implement a strong system of controls and believe that our ongoing remediation efforts will result in significant improvements to our internal control over financial reporting and will remediate the material weaknesses. However, material weaknesses are not considered remediated until the new controls have been operational for a sufficient period of time, are tested, and management concludes that these controls are operating effectively. This remediation process will require resources and time to implement, and remediation efforts could continue beyond the fiscal year ending December 31, 2023. We will continue to monitor the effectiveness of these remediation measures, and we will make any changes to the design of this plan and take such other actions that we deem appropriate given the circumstances.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There were no material changes in our internal control over financial reporting during the quarter ended June 30, 2023 that have materially affected, or are reasonably likely to materially affect, our internal control over financial reporting.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Inherent Limitations on the Effectiveness of Disclosure Controls and Procedures</w:t>
      </w:r>
    </w:p>
    <w:p>
      <w:pPr>
        <w:spacing w:after="0" w:line="16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4"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information set forth under Note 7, Commitments and Contingencies, in Notes to Unaudited Condensed Consolidated Financial Statements included in Part I, Item 1, of this Quarterly Report on Form 10-Q,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7"/>
          <w:szCs w:val="17"/>
          <w:color w:val="auto"/>
        </w:rPr>
        <w:t>Investing in our Class A common stock involves a high degree of risk. You should carefully consider the risks and uncertainties described under the heading "Risk Factors" in Part I, Item 1A of our 2022 Form 10-K, together with all of the other information contained in this Quarterly Report on Form 10-Q, including our condensed consolidated financial statements and related notes, before making a decision to invest in our Class A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Class A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Other than the risk factors noted below, there have been no additional material changes from the risk factors previously disclosed under the heading "Risk Factors" in Part I, Item 1A of our 2022 Form 10-K and in Part II, Item 1A of our Form 10-Q for the quarterly period ended March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lose the services of members of our senior management team or key employees, we may not be able to execute our business strategy.</w:t>
      </w:r>
    </w:p>
    <w:p>
      <w:pPr>
        <w:spacing w:after="0" w:line="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Competition for talent in our industry and the technology industry has become increasingly intense as the current labor market to build, retain, and replace highly skilled personnel has become highly competitive. We rely on the continued service of our senior management team, key employees, and other highly skilled personnel. The failure to properly manage succession plans, develop leadership talent, and/or replace the loss of services of senior management or other key employees, could significantly delay or prevent the achievement of our objectives. From time to time, there have been and may continue be changes in our senior management team resulting from the hiring or departure of executives, which could disrupt our business. We do not have long-term employment agreements with any of our key personnel, and do not maintain any “key person” life insurance policies. The loss of the services of one or more of our senior management or other key employees for any reason could adversely affect our business, financial condition, and results of operations, and require significant amounts of time, training and resources to find suitable replacements and integrate them within our business and could affect our corporate culture. Further, in connection with the announcement of our restructuring plan in February 2022 and a reductions in workforce announced in January 2023 and August 2023, we may find it even more difficult to recruit and retain highly skilled personnel, which could harm our business. See the section titled “Management’s Discussion and Analysis of Financial Condition and Results of Operation” of this Quarterly Report on Form 10-Q as well as the sections of our 2022 Form 10-K titled Item 7, “Management’s Discussion and Analysis of Financial Condition and Results of Operations—February 2022 Restructuring Plan and January 2023 Reduction in Workforce” and Item 8, “Financial Statements and Supplementary Data, Note 12. Restructuring and Note 13. Subsequent Events”, for further discussion of our restructuring and turnaround initiatives.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7" w:name="page38"/>
    <w:bookmarkEnd w:id="37"/>
    <w:p>
      <w:pPr>
        <w:jc w:val="both"/>
        <w:spacing w:after="0" w:line="285" w:lineRule="auto"/>
        <w:rPr>
          <w:sz w:val="20"/>
          <w:szCs w:val="20"/>
          <w:color w:val="auto"/>
        </w:rPr>
      </w:pPr>
      <w:r>
        <w:rPr>
          <w:rFonts w:ascii="Arial" w:cs="Arial" w:eastAsia="Arial" w:hAnsi="Arial"/>
          <w:sz w:val="18"/>
          <w:szCs w:val="18"/>
          <w:b w:val="1"/>
          <w:bCs w:val="1"/>
          <w:i w:val="1"/>
          <w:iCs w:val="1"/>
          <w:color w:val="auto"/>
        </w:rPr>
        <w:t>We may not successfully execute or achieve the expected benefits of our restructuring and turnaround initiatives, which could adversely affect our business.</w:t>
      </w:r>
    </w:p>
    <w:p>
      <w:pPr>
        <w:spacing w:after="0" w:line="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recently announced a turnaround and restructuring strategy which focuses on narrowing our business focus, reducing our headcount and outside spend, reviewing our real estate footprint, and a number of other cost saving measures. These restructuring initiatives are intended to focus the business on operational efficiency and right-sizing our expenses for 2023 and beyond. Although we believe these initiatives address the needs of our business and its long-term objectives, our strategy is based on certain assumptions and forecasts, which are subject to risks and uncertainties, including whether we have accurately identified the issues, whether we targeted the appropriate cost saving measures, and whether our right-sizing efforts are executed at the appropriate scale and scope. Consequently, the implementation of these restructuring initiatives may not be successful in yielding the intended results. Moreover, implementation of these initiatives may be costly and disruptive to our business, with the intended impact falling short or resulting in an overcorrection. Our cost cutting initiatives may negatively affect employee morale, which could result in personnel losses beyond the planned workforce reduction, diminished productivity, loss of institutional knowledge, and difficulty attracting highly skilled employees. The intended results of our turnaround effort may also be impacted by negative publicity about the Company and/or our restructuring initiatives, resulting in reputational harm, diminished investor confidence, and consumer backlash. These new initiatives have and may continue to require a significant amount of executive management’s time and focus, which may divert attention from other areas of our business. See the section titled Item 7, “Management’s Discussion and Analysis of Financial Condition and Results of Operations” of this Quarterly Report on Form 10-Q as well as the sections of our 2022 Form 10-K titled Item 7, “Management’s Discussion and Analysis of Financial Condition and Results of Operations—February 2022 Restructuring Plan and January 2023 Reduction in Workforce” and Item 8, “Financial Statements and Supplementary Data, Note 12. Restructuring and Note 13. Subsequent Events”, for further discussion of our restructuring and turnaround initiatives.</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recent reductions in force may not achieve the anticipated cost savings, and any savings may be offset by increased costs in other areas due to the disruption of our business.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January 2023 and August 2023, we announced reductions in force affecting approximately 17% and 34% of our then global workforce in order to reduce operating costs and consolidate functions. These reductions in force reflect ongoing efforts focused on realigning our organizational structure, eliminating redundancies, and reducing operating costs. However, we may not realize, in full or in part, the anticipated savings due to unanticipated events and/or unexpected costs.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reductions in force may result in unintended consequences and costs, such as the loss of institutional knowledge and expertise, attrition beyond the intended number of employees, decreased morale and productivity among our remaining employees, inability to maintain an effective system of internal controls, and the risk that we may not achieve the anticipated benefits. In addition, while positions have been eliminated, certain functions necessary to our operations remain, and we may be unsuccessful in distributing the duties and obligations of departed employees among our remaining employees. Moreover, reductions in force may also result in increased costs due to associated legal risks, and could distract management and remaining employees.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If we are unable to realize the anticipated benefits from the reductions in force, or if we experience significant adverse consequences from the reductions in force, our business, financial condition, and results of operations may be materially adversely affected.</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are a smaller reporting company, and any decision on our part to comply only with reduced reporting and disclosure requirements applicable to such companies could make our ordinary shares less attractive to investors.</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June 30, 2023, we qualified as a “smaller reporting company,” as defined in the Exchange Act.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and only being required to provide two years of audited financial statements in annual reports</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will remain a smaller reporting company so long as, as of June 30 of the preceding year, (i) the market value of our shares of common stock held by non-affiliates, or our public float, is less than $250 million; or (ii) we have annual revenues less than $100 million and either we have no public float or our public float is less than $700 million.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If we take advantage of some or all of the reduced disclosure requirements available to smaller reporting companies, investors may find our ordinary shares less attractive, which may result in a less active trading market for our common stock and greater stock price volatility.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April 20, 2023, we announced that our board of directors authorized us to repurchase up to $50 million of our common stock, effective through December 31, 2023. Under the share repurchase program, we may repurchase shares of our common stock through open market transactions, in privately negotiated transactions, or by other means, including through the use of trading plans, each in accordance with applicable securities laws</w:t>
      </w:r>
    </w:p>
    <w:p>
      <w:pPr>
        <w:jc w:val="both"/>
        <w:spacing w:after="0" w:line="261" w:lineRule="auto"/>
        <w:rPr>
          <w:sz w:val="20"/>
          <w:szCs w:val="20"/>
          <w:color w:val="auto"/>
        </w:rPr>
      </w:pPr>
      <w:r>
        <w:rPr>
          <w:rFonts w:ascii="Arial" w:cs="Arial" w:eastAsia="Arial" w:hAnsi="Arial"/>
          <w:sz w:val="17"/>
          <w:szCs w:val="17"/>
          <w:color w:val="auto"/>
        </w:rPr>
        <w:t>and other restrictions. 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have not made any repurchases for the three and six months ended June 30,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7600" w:type="dxa"/>
            <w:vAlign w:val="bottom"/>
            <w:tcBorders>
              <w:bottom w:val="single" w:sz="8" w:color="auto"/>
            </w:tcBorders>
            <w:gridSpan w:val="4"/>
          </w:tcPr>
          <w:p>
            <w:pPr>
              <w:ind w:left="224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1"/>
                <w:szCs w:val="21"/>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80" w:type="dxa"/>
            <w:vAlign w:val="bottom"/>
            <w:gridSpan w:val="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2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73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80" w:type="dxa"/>
            <w:vAlign w:val="bottom"/>
            <w:gridSpan w:val="5"/>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2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58"/>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73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80" w:type="dxa"/>
            <w:vAlign w:val="bottom"/>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2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58"/>
        </w:trPr>
        <w:tc>
          <w:tcPr>
            <w:tcW w:w="120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80" w:type="dxa"/>
            <w:vAlign w:val="bottom"/>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2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r>
      <w:tr>
        <w:trPr>
          <w:trHeight w:val="359"/>
        </w:trPr>
        <w:tc>
          <w:tcPr>
            <w:tcW w:w="120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29"/>
        </w:trPr>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50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ContextLogic Inc.</w:t>
      </w:r>
    </w:p>
    <w:p>
      <w:pPr>
        <w:spacing w:after="0" w:line="252" w:lineRule="exact"/>
        <w:rPr>
          <w:sz w:val="20"/>
          <w:szCs w:val="20"/>
          <w:color w:val="auto"/>
        </w:rPr>
      </w:pPr>
    </w:p>
    <w:p>
      <w:pPr>
        <w:ind w:left="20"/>
        <w:spacing w:after="0"/>
        <w:tabs>
          <w:tab w:leader="none" w:pos="5620" w:val="left"/>
          <w:tab w:leader="none" w:pos="816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13970</wp:posOffset>
            </wp:positionV>
            <wp:extent cx="33350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Jun Yan</w:t>
      </w:r>
    </w:p>
    <w:p>
      <w:pPr>
        <w:spacing w:after="0" w:line="44"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Executive Officer and Director</w:t>
      </w:r>
    </w:p>
    <w:p>
      <w:pPr>
        <w:spacing w:after="0" w:line="1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ind w:left="56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13970</wp:posOffset>
            </wp:positionV>
            <wp:extent cx="33350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Vivian Liu</w:t>
      </w:r>
    </w:p>
    <w:p>
      <w:pPr>
        <w:spacing w:after="0" w:line="44"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 and Chief Operating Officer</w:t>
      </w:r>
    </w:p>
    <w:p>
      <w:pPr>
        <w:spacing w:after="0" w:line="1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Jun Yan, certify that:</w:t>
      </w:r>
    </w:p>
    <w:p>
      <w:pPr>
        <w:spacing w:after="0" w:line="10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8"/>
          <w:szCs w:val="18"/>
          <w:color w:val="auto"/>
        </w:rPr>
      </w:pPr>
    </w:p>
    <w:p>
      <w:pPr>
        <w:jc w:val="both"/>
        <w:ind w:left="1020" w:right="220" w:hanging="503"/>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ind w:left="1020" w:right="20" w:hanging="503"/>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8"/>
          <w:szCs w:val="18"/>
          <w:color w:val="auto"/>
        </w:rPr>
      </w:pPr>
    </w:p>
    <w:p>
      <w:pPr>
        <w:ind w:left="520" w:right="480" w:hanging="512"/>
        <w:spacing w:after="0" w:line="24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ind w:left="1020" w:right="200" w:hanging="503"/>
        <w:spacing w:after="0" w:line="24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020" w:right="120" w:hanging="503"/>
        <w:spacing w:after="0" w:line="260"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5500" w:val="left"/>
          <w:tab w:leader="none" w:pos="816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13970</wp:posOffset>
            </wp:positionV>
            <wp:extent cx="33350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Jun Yan</w:t>
      </w:r>
    </w:p>
    <w:p>
      <w:pPr>
        <w:spacing w:after="0" w:line="35"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Chief Executive Officer and Director</w:t>
      </w:r>
    </w:p>
    <w:p>
      <w:pPr>
        <w:spacing w:after="0" w:line="11"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04"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8"/>
          <w:szCs w:val="18"/>
          <w:color w:val="auto"/>
        </w:rPr>
      </w:pPr>
    </w:p>
    <w:p>
      <w:pPr>
        <w:ind w:left="520" w:right="26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8"/>
          <w:szCs w:val="18"/>
          <w:color w:val="auto"/>
        </w:rPr>
      </w:pPr>
    </w:p>
    <w:p>
      <w:pPr>
        <w:ind w:left="1020" w:right="28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8"/>
          <w:szCs w:val="18"/>
          <w:color w:val="auto"/>
        </w:rPr>
      </w:pPr>
    </w:p>
    <w:p>
      <w:pPr>
        <w:jc w:val="both"/>
        <w:ind w:left="1020" w:right="22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ind w:left="1020" w:right="2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8"/>
          <w:szCs w:val="18"/>
          <w:color w:val="auto"/>
        </w:rPr>
      </w:pPr>
    </w:p>
    <w:p>
      <w:pPr>
        <w:ind w:left="520" w:right="480" w:hanging="512"/>
        <w:spacing w:after="0" w:line="24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ind w:left="1020" w:right="200" w:hanging="503"/>
        <w:spacing w:after="0" w:line="24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020" w:right="120" w:hanging="503"/>
        <w:spacing w:after="0" w:line="260"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5500" w:val="left"/>
          <w:tab w:leader="none" w:pos="80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13970</wp:posOffset>
            </wp:positionV>
            <wp:extent cx="33350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Vivian Liu</w:t>
      </w:r>
    </w:p>
    <w:p>
      <w:pPr>
        <w:spacing w:after="0" w:line="35"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Chief Financial Officer and Chief Operating Officer</w:t>
      </w:r>
    </w:p>
    <w:p>
      <w:pPr>
        <w:spacing w:after="0" w:line="11"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line="260"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1" w:lineRule="exact"/>
        <w:rPr>
          <w:sz w:val="20"/>
          <w:szCs w:val="20"/>
          <w:color w:val="auto"/>
        </w:rPr>
      </w:pPr>
    </w:p>
    <w:p>
      <w:pPr>
        <w:jc w:val="both"/>
        <w:ind w:right="340" w:firstLine="509"/>
        <w:spacing w:after="0" w:line="247"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right="160" w:hanging="503"/>
        <w:spacing w:after="0" w:line="26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1020" w:right="40" w:hanging="503"/>
        <w:spacing w:after="0" w:line="26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40" w:lineRule="exact"/>
        <w:rPr>
          <w:sz w:val="20"/>
          <w:szCs w:val="20"/>
          <w:color w:val="auto"/>
        </w:rPr>
      </w:pPr>
    </w:p>
    <w:p>
      <w:pPr>
        <w:ind w:left="20"/>
        <w:spacing w:after="0"/>
        <w:tabs>
          <w:tab w:leader="none" w:pos="5280" w:val="left"/>
          <w:tab w:leader="none" w:pos="81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13970</wp:posOffset>
            </wp:positionV>
            <wp:extent cx="34118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5"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Jun Yan</w:t>
      </w:r>
    </w:p>
    <w:p>
      <w:pPr>
        <w:spacing w:after="0" w:line="35"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Chief Executive Officer and Director</w:t>
      </w:r>
    </w:p>
    <w:p>
      <w:pPr>
        <w:spacing w:after="0" w:line="1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line="260"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1" w:lineRule="exact"/>
        <w:rPr>
          <w:sz w:val="20"/>
          <w:szCs w:val="20"/>
          <w:color w:val="auto"/>
        </w:rPr>
      </w:pPr>
    </w:p>
    <w:p>
      <w:pPr>
        <w:jc w:val="both"/>
        <w:ind w:right="340" w:firstLine="509"/>
        <w:spacing w:after="0" w:line="247"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right="160" w:hanging="503"/>
        <w:spacing w:after="0" w:line="26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1020" w:right="40" w:hanging="503"/>
        <w:spacing w:after="0" w:line="26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40" w:lineRule="exact"/>
        <w:rPr>
          <w:sz w:val="20"/>
          <w:szCs w:val="20"/>
          <w:color w:val="auto"/>
        </w:rPr>
      </w:pPr>
    </w:p>
    <w:p>
      <w:pPr>
        <w:ind w:left="20"/>
        <w:spacing w:after="0"/>
        <w:tabs>
          <w:tab w:leader="none" w:pos="5280" w:val="left"/>
          <w:tab w:leader="none" w:pos="802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13970</wp:posOffset>
            </wp:positionV>
            <wp:extent cx="34118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5"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Vivian Liu</w:t>
      </w:r>
    </w:p>
    <w:p>
      <w:pPr>
        <w:spacing w:after="0" w:line="35"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Chief Financial Officer and Chief Operating Officer</w:t>
      </w:r>
    </w:p>
    <w:p>
      <w:pPr>
        <w:spacing w:after="0" w:line="1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2023-08-03T15:52:39Z</dcterms:created>
  <dcterms:modified xsi:type="dcterms:W3CDTF">2023-08-03T15:52:39Z</dcterms:modified>
</cp:coreProperties>
</file>