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ContextLogic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40" w:type="dxa"/>
        <w:tblCellMar>
          <w:top w:w="0" w:type="dxa"/>
          <w:left w:w="0" w:type="dxa"/>
          <w:bottom w:w="0" w:type="dxa"/>
          <w:right w:w="0" w:type="dxa"/>
        </w:tblCellMar>
      </w:tblPr>
      <w:tr>
        <w:trPr>
          <w:trHeight w:val="222"/>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27-2930953</w:t>
            </w:r>
          </w:p>
        </w:tc>
      </w:tr>
      <w:tr>
        <w:trPr>
          <w:trHeight w:val="149"/>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2648 International Blvd., Ste 115</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Oakland,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178"/>
        </w:trPr>
        <w:tc>
          <w:tcPr>
            <w:tcW w:w="316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965-8476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LOGC</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80" w:firstLine="599"/>
        <w:spacing w:after="0" w:line="282" w:lineRule="auto"/>
        <w:rPr>
          <w:sz w:val="20"/>
          <w:szCs w:val="20"/>
          <w:color w:val="auto"/>
        </w:rPr>
      </w:pPr>
      <w:r>
        <w:rPr>
          <w:rFonts w:ascii="Times New Roman" w:cs="Times New Roman" w:eastAsia="Times New Roman" w:hAnsi="Times New Roman"/>
          <w:sz w:val="18"/>
          <w:szCs w:val="18"/>
          <w:color w:val="auto"/>
        </w:rPr>
        <w:t>On March 12, 2025, ContextLogic Inc. (the “Company”) issued a press release announcing the Company’s financial results for the fourth quarter and year ended December 31, 2024. A copy of the Company’s press release is attached hereto as Exhibit 99.1.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firstLine="599"/>
        <w:spacing w:after="0" w:line="258" w:lineRule="auto"/>
        <w:rPr>
          <w:sz w:val="20"/>
          <w:szCs w:val="20"/>
          <w:color w:val="auto"/>
        </w:rPr>
      </w:pPr>
      <w:r>
        <w:rPr>
          <w:rFonts w:ascii="Times New Roman" w:cs="Times New Roman" w:eastAsia="Times New Roman" w:hAnsi="Times New Roman"/>
          <w:sz w:val="18"/>
          <w:szCs w:val="18"/>
          <w:color w:val="auto"/>
        </w:rPr>
        <w:t>The information set forth in Item 2.02 above and in Exhibit 99.1 to this Current Report on Form 8-K is incorporated herein by reference. On March 12, 2025, the Company posted supplemental investor materials on its ir.contextlogicinc.com website.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(ir.contextlogicinc.com) in order to achieve broad, non-exclusionary distribution of information to the public and for complying with its disclosure obligations under Regulation FD.</w:t>
      </w:r>
    </w:p>
    <w:p>
      <w:pPr>
        <w:spacing w:after="0" w:line="129"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2.02 and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820"/>
        <w:spacing w:after="0"/>
        <w:tabs>
          <w:tab w:leader="none" w:pos="176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ContextLogic Inc. on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3253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ind w:left="1100"/>
        <w:spacing w:after="0"/>
        <w:tabs>
          <w:tab w:leader="none" w:pos="1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ContextLogic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Rishi Bajaj</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765" w:right="699" w:bottom="1440" w:gutter="0" w:footer="0" w:header="0"/>
        </w:sectPr>
      </w:pPr>
    </w:p>
    <w:bookmarkStart w:id="3" w:name="page4"/>
    <w:bookmarkEnd w:id="3"/>
    <w:p>
      <w:pPr>
        <w:ind w:left="1000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 Reports Fourth-Quarter and Fiscal Year 2024 Financial Results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OAKLAND—(BUSINESS WIRE)—March 12, 2025—ContextLogic Inc. (Nasdaq: LOGC) (“ContextLogic,” the “Company,” “we” or “our”) today reported its financial results for the quarter and fiscal year ended December 31,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Update</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2024, management took several significant steps in the evolution of the Company’s business. These included, first, the sale of the Wish platform and its associated operations; second, streamlining the Company's operations; and most recently, on March 11, 2025, the Company announced the initial closing of the investment by BC Partners of $75 million in convertible preferred units in a subsidiary of ContextLogic. This investment, along with the approximately $66 million of cash and cash equivalents and approximately $83 million in marketable securities on the Company’s balance sheet, provides the Company with approximately $225 million in liquidity available for investment in its business, with the potential for an additional $75 million in convertible preferred units to be issued in connection with an acquisition.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Fourth-Quarter Fiscal 2024 Financial Highlights</w:t>
      </w:r>
    </w:p>
    <w:p>
      <w:pPr>
        <w:spacing w:after="0" w:line="10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Net Loss</w:t>
      </w:r>
      <w:r>
        <w:rPr>
          <w:rFonts w:ascii="Times New Roman" w:cs="Times New Roman" w:eastAsia="Times New Roman" w:hAnsi="Times New Roman"/>
          <w:sz w:val="20"/>
          <w:szCs w:val="20"/>
          <w:color w:val="auto"/>
        </w:rPr>
        <w:t>: Net Loss was $2 million, compared to a net loss of $68 million in the fourth quarter of fiscal 2023</w:t>
      </w:r>
    </w:p>
    <w:p>
      <w:pPr>
        <w:spacing w:after="0" w:line="111"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2024, the Company had $66 million in cash and cash equivalents, $83 million in marketable securities and $7 million in prepaid expenses and other current assets primarily made up of restricted cash. The Company had total liabilities of $5 million.</w:t>
      </w:r>
    </w:p>
    <w:p>
      <w:pPr>
        <w:spacing w:after="0" w:line="13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ContextLogic will host a financial results and strategic update conference call at 5pm EDT on March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The live conference call may be accessed by registering here. The associated strategic investment presentation deck can be found here on the ContextLogic Investor Relations website.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Outlook</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continues to streamline its administrative structure as it focuses on achieving its value maximization strategy both organically and through accretive acquisitions. The recent investment by BC Partners was an important milestone in that effort. Management and the Board of Directors continue to focus on identifying, evaluating and potentially executing strategic opportunities for the benefit of ContextLogic and its stockholders.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December 31, 2024, the Company incurred $4 million of general and administrative expenses primarily related to legal expenses, employee expenses, and other professional services. At the conclusion of the three months ended December 31, 2024, ContextLogic had eight full-time employees.</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earned interest income of $2 million during the three months ended December 31, 2024. With the Company's marketable securities and cash and cash equivalents primarily invested in U.S. government instruments.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very pleased with how far the Company has come and look forward to working with Ted Goldthorpe and Mark Ward, our new directors from the world class team at BC Partners, as we embark on the next stage of ContextLogic’s evolution,” said Rishi Bajaj, Chief Executive Officer and Director.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Contextlogic Inc</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ContextLogic Inc. is a publicly traded company currently seeking to develop and grow a de novo business and finance potential future bolt-on acquisitions of assets or businesses that are complementary to its operations. For more information on ContextLogic, please visit ir.contextlogicinc.com.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ContextLogic’s financial outlook, the strategic alternatives considered by our Board of Directors, including the decisions taken thereto and alternatives for the use of the cash or cash equivalents, and other quotes of management.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the strategic alternatives considered by our Board of Directors, including the decisions taken thereto; our lack of operating revenues after the sale of substantially all of our assets in April 2024; our prior history of losses; our intention not to liquidate and distribute sale proceeds to our stockholders after the sale of substantially all of our assets; our continuation as a publicly-traded and reporting company after the sale of substantially all of our assets; our ability to utilize our net operating loss carryforwards and other tax attributes; risks related to any future acquisition of a business or assets; risks if we fail to develop a viable future business plan or fail to acquire a business or assets and generate revenues; risks if we engage in a business combination that has adverse tax consequences to us or our stockholders; risks if we pursue a business combination with a privately-held target; our retention of certain liabilities relating to the assets we sold and our indemnification obligations under the sale agreement for those assets; risks if we fail to make, integrate or maintain future acquisitions and investments; risks associated with a failure to maintain effective disclosure controls and internal control over financial reporting; currently pending or future litigation; changes to laws and regulations that could affect our business or ability to pursue chosen strategic alternatives; risks if we are deemed to be an investment company under the Investment Company Act of 1940; our management strategies and plans, competitive position, business environment, potential growth strategies and opportunities; our continued listing on Nasdaq; impact of future issuances of our common stock or rights to purchase our common stock; impact of our Tax Benefits Preservation Plan on our stock performance; volatility in our stock price; impact of anti-takeover provisions in our charter documents, in our Tax Benefits Preservation Plan and under Delaware law; our possible or assumed future financial performance; our future liquidity and operating expenditures; our financial condition and results of operations; competitive changes in the marketplace; our expected tax rate; the effect of changes in or the application of new or revised tax laws; the effect of new accounting pronouncements;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(“SEC”), including the Quarterly Report on Form 10-Q for the periods ended June 30, 2024 and September 30, 2024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320" w:type="dxa"/>
            <w:vAlign w:val="bottom"/>
          </w:tcPr>
          <w:p>
            <w:pPr>
              <w:spacing w:after="0"/>
              <w:rPr>
                <w:sz w:val="20"/>
                <w:szCs w:val="20"/>
                <w:color w:val="auto"/>
              </w:rPr>
            </w:pPr>
          </w:p>
        </w:tc>
        <w:tc>
          <w:tcPr>
            <w:tcW w:w="19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09"/>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r>
      <w:tr>
        <w:trPr>
          <w:trHeight w:val="216"/>
        </w:trPr>
        <w:tc>
          <w:tcPr>
            <w:tcW w:w="6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Funds receivable</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r>
      <w:tr>
        <w:trPr>
          <w:trHeight w:val="210"/>
        </w:trPr>
        <w:tc>
          <w:tcPr>
            <w:tcW w:w="6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50"/>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2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FF0FC"/>
          </w:tcPr>
          <w:p>
            <w:pPr>
              <w:spacing w:after="0"/>
              <w:rPr>
                <w:sz w:val="21"/>
                <w:szCs w:val="21"/>
                <w:color w:val="auto"/>
              </w:rPr>
            </w:pPr>
          </w:p>
        </w:tc>
      </w:tr>
      <w:tr>
        <w:trPr>
          <w:trHeight w:val="196"/>
        </w:trPr>
        <w:tc>
          <w:tcPr>
            <w:tcW w:w="63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r>
      <w:tr>
        <w:trPr>
          <w:trHeight w:val="216"/>
        </w:trPr>
        <w:tc>
          <w:tcPr>
            <w:tcW w:w="6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Merchants payable</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Refunds liability</w:t>
            </w:r>
          </w:p>
        </w:tc>
        <w:tc>
          <w:tcPr>
            <w:tcW w:w="1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9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10"/>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9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20" w:type="dxa"/>
            <w:vAlign w:val="bottom"/>
            <w:shd w:val="clear" w:color="auto" w:fill="CFF0FC"/>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FF0FC"/>
          </w:tcPr>
          <w:p>
            <w:pPr>
              <w:spacing w:after="0"/>
              <w:rPr>
                <w:sz w:val="21"/>
                <w:szCs w:val="21"/>
                <w:color w:val="auto"/>
              </w:rPr>
            </w:pPr>
          </w:p>
        </w:tc>
      </w:tr>
      <w:tr>
        <w:trPr>
          <w:trHeight w:val="1175"/>
        </w:trPr>
        <w:tc>
          <w:tcPr>
            <w:tcW w:w="6320" w:type="dxa"/>
            <w:vAlign w:val="bottom"/>
            <w:tcBorders>
              <w:top w:val="single" w:sz="8" w:color="CFF0FC"/>
              <w:bottom w:val="single" w:sz="8" w:color="9A9A9A"/>
            </w:tcBorders>
          </w:tcPr>
          <w:p>
            <w:pPr>
              <w:spacing w:after="0"/>
              <w:rPr>
                <w:sz w:val="24"/>
                <w:szCs w:val="24"/>
                <w:color w:val="auto"/>
              </w:rPr>
            </w:pPr>
          </w:p>
        </w:tc>
        <w:tc>
          <w:tcPr>
            <w:tcW w:w="1920" w:type="dxa"/>
            <w:vAlign w:val="bottom"/>
            <w:tcBorders>
              <w:top w:val="single" w:sz="8" w:color="auto"/>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20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-2502535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-2485390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-1653540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-1653540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-1087755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-796290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-779145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Gross profit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Product development</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6"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1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20"/>
          <w:szCs w:val="20"/>
          <w:b w:val="1"/>
          <w:bCs w:val="1"/>
          <w:color w:val="auto"/>
        </w:rPr>
        <w:t>(in millions, except per share data)</w:t>
      </w:r>
    </w:p>
    <w:p>
      <w:pPr>
        <w:jc w:val="center"/>
        <w:ind w:right="348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98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09"/>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980" w:type="dxa"/>
            <w:vAlign w:val="bottom"/>
            <w:tcBorders>
              <w:top w:val="single" w:sz="8" w:color="auto"/>
            </w:tcBorders>
          </w:tcPr>
          <w:p>
            <w:pPr>
              <w:jc w:val="right"/>
              <w:ind w:right="770"/>
              <w:spacing w:after="0" w:line="191"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ind w:left="280"/>
              <w:spacing w:after="0" w:line="191"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6"/>
                <w:szCs w:val="16"/>
                <w:color w:val="auto"/>
              </w:rPr>
            </w:pPr>
          </w:p>
        </w:tc>
        <w:tc>
          <w:tcPr>
            <w:tcW w:w="1060" w:type="dxa"/>
            <w:vAlign w:val="bottom"/>
            <w:tcBorders>
              <w:top w:val="single" w:sz="8" w:color="auto"/>
            </w:tcBorders>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right"/>
              <w:ind w:right="7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6"/>
                <w:szCs w:val="16"/>
                <w:color w:val="auto"/>
              </w:rPr>
            </w:pPr>
          </w:p>
        </w:tc>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287</w:t>
            </w:r>
          </w:p>
        </w:tc>
      </w:tr>
      <w:tr>
        <w:trPr>
          <w:trHeight w:val="234"/>
        </w:trPr>
        <w:tc>
          <w:tcPr>
            <w:tcW w:w="980" w:type="dxa"/>
            <w:vAlign w:val="bottom"/>
          </w:tcPr>
          <w:p>
            <w:pPr>
              <w:spacing w:after="0"/>
              <w:rPr>
                <w:sz w:val="20"/>
                <w:szCs w:val="20"/>
                <w:color w:val="auto"/>
              </w:rPr>
            </w:pPr>
          </w:p>
        </w:tc>
        <w:tc>
          <w:tcPr>
            <w:tcW w:w="1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9"/>
        </w:trPr>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07"/>
        </w:trPr>
        <w:tc>
          <w:tcPr>
            <w:tcW w:w="980" w:type="dxa"/>
            <w:vAlign w:val="bottom"/>
          </w:tcPr>
          <w:p>
            <w:pPr>
              <w:spacing w:after="0"/>
              <w:rPr>
                <w:sz w:val="24"/>
                <w:szCs w:val="24"/>
                <w:color w:val="auto"/>
              </w:rPr>
            </w:pPr>
          </w:p>
        </w:tc>
        <w:tc>
          <w:tcPr>
            <w:tcW w:w="1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2"/>
        </w:trPr>
        <w:tc>
          <w:tcPr>
            <w:tcW w:w="980" w:type="dxa"/>
            <w:vAlign w:val="bottom"/>
          </w:tcPr>
          <w:p>
            <w:pPr>
              <w:spacing w:after="0"/>
              <w:rPr>
                <w:sz w:val="20"/>
                <w:szCs w:val="20"/>
                <w:color w:val="auto"/>
              </w:rPr>
            </w:pPr>
          </w:p>
        </w:tc>
        <w:tc>
          <w:tcPr>
            <w:tcW w:w="1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-838200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-272415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-555625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2760" w:space="720"/>
            <w:col w:w="7760"/>
          </w:cols>
          <w:pgMar w:left="320" w:top="76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4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(72 )</w:t>
            </w: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(79 )</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Asset Sale</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5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(0.08 )</w:t>
            </w: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(2.82 )</w:t>
            </w: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(2.92 )</w:t>
            </w: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(13.36 )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0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54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0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share, basic and diluted</w:t>
            </w: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75"/>
        </w:trPr>
        <w:tc>
          <w:tcPr>
            <w:tcW w:w="4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-2365375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-2365375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-2365375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-1233805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-1216660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-1233805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-1233805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-1216660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-796290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-779145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-796290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-779145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-796290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2200" w:type="dxa"/>
            <w:vAlign w:val="bottom"/>
            <w:gridSpan w:val="4"/>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7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(2 )</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(68 )</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(75 )</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Impairment of lease assets and property and equipment</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(accretion) of discounts and premiums on marketable securities</w:t>
            </w:r>
          </w:p>
        </w:tc>
        <w:tc>
          <w:tcPr>
            <w:tcW w:w="7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(1 )</w:t>
            </w:r>
          </w:p>
        </w:tc>
        <w:tc>
          <w:tcPr>
            <w:tcW w:w="8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(4 )</w:t>
            </w:r>
          </w:p>
        </w:tc>
        <w:tc>
          <w:tcPr>
            <w:tcW w:w="4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Gain on Asset Sale</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(4 )</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Funds receivable</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(2 )</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Prepaid expenses, other current and noncurrent assets</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(5 )</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(15 )</w:t>
            </w:r>
          </w:p>
        </w:tc>
        <w:tc>
          <w:tcPr>
            <w:tcW w:w="4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Merchants payable</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(8 )</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and refund liabilities</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(6 )</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(7 )</w:t>
            </w:r>
          </w:p>
        </w:tc>
        <w:tc>
          <w:tcPr>
            <w:tcW w:w="4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Lease liabilities</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(2 )</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and noncurrent liabilities</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(2 )</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(75 )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(94 )</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(341 )</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Purchases of property and equipment and development of internal-use software</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disposed on Asset Sale, net of proceeds</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(133 )</w:t>
            </w:r>
          </w:p>
        </w:tc>
        <w:tc>
          <w:tcPr>
            <w:tcW w:w="4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7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(48 )</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(74 )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(168 )</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(313 )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of marketable securities</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7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(68 )</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8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Payments of taxes related to RSU settlement and cashless exercise of stock</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options</w:t>
            </w:r>
          </w:p>
        </w:tc>
        <w:tc>
          <w:tcPr>
            <w:tcW w:w="76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(1 )</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197"/>
        </w:trPr>
        <w:tc>
          <w:tcPr>
            <w:tcW w:w="57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76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effects on cash, cash equivalents and restricted cash</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(2 )</w:t>
            </w:r>
          </w:p>
        </w:tc>
        <w:tc>
          <w:tcPr>
            <w:tcW w:w="4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(72 )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(165 )</w:t>
            </w: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780" w:type="dxa"/>
            <w:vAlign w:val="bottom"/>
          </w:tcPr>
          <w:p>
            <w:pPr>
              <w:ind w:left="20"/>
              <w:spacing w:after="0" w:line="158" w:lineRule="exact"/>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to the</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Restricted cash included in prepaid and other current assets in the consolidated</w:t>
            </w:r>
          </w:p>
        </w:tc>
        <w:tc>
          <w:tcPr>
            <w:tcW w:w="7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sheets</w:t>
            </w:r>
          </w:p>
        </w:tc>
        <w:tc>
          <w:tcPr>
            <w:tcW w:w="7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760" w:type="dxa"/>
            <w:vAlign w:val="bottom"/>
            <w:tcBorders>
              <w:top w:val="single" w:sz="8" w:color="auto"/>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cash flow disclosures:</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95"/>
        </w:trPr>
        <w:tc>
          <w:tcPr>
            <w:tcW w:w="5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-3839845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-3839845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-3839845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-3839845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-3059430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-3059430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-3059430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-3059430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-2540635</wp:posOffset>
            </wp:positionV>
            <wp:extent cx="93980" cy="170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-2540635</wp:posOffset>
            </wp:positionV>
            <wp:extent cx="93980" cy="170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-2540635</wp:posOffset>
            </wp:positionV>
            <wp:extent cx="93980" cy="170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-2540635</wp:posOffset>
            </wp:positionV>
            <wp:extent cx="102870" cy="17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-1851025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-1833880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-1851025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-1833880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-1851025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-1833880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-1851025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-1053465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-1036320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-1053465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-1036320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-1053465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-1036320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Lucy Simon, CLI</w:t>
      </w:r>
    </w:p>
    <w:p>
      <w:pPr>
        <w:spacing w:after="0"/>
        <w:rPr>
          <w:sz w:val="20"/>
          <w:szCs w:val="20"/>
          <w:color w:val="auto"/>
        </w:rPr>
      </w:pPr>
      <w:r>
        <w:rPr>
          <w:rFonts w:ascii="Times New Roman" w:cs="Times New Roman" w:eastAsia="Times New Roman" w:hAnsi="Times New Roman"/>
          <w:sz w:val="19"/>
          <w:szCs w:val="19"/>
          <w:color w:val="auto"/>
        </w:rPr>
        <w:t>ir@contextlogicinc.com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1"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2025-03-12T15:12:45Z</dcterms:created>
  <dcterms:modified xsi:type="dcterms:W3CDTF">2025-03-12T15:12:45Z</dcterms:modified>
</cp:coreProperties>
</file>