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jc w:val="both"/>
        <w:rPr/>
      </w:pPr>
      <w:bookmarkStart w:id="0" w:name="wish-10q_20210630.htm"/>
      <w:bookmarkStart w:id="1" w:name="kswish10q_20210630"/>
      <w:bookmarkEnd w:id="0"/>
      <w:bookmarkEnd w:id="1"/>
      <w:r>
        <w:rPr/>
        <w:t> </w:t>
      </w:r>
    </w:p>
    <w:p>
      <w:pPr>
        <w:pStyle w:val="TextBody"/>
        <w:spacing w:before="0" w:after="0"/>
        <w:jc w:val="center"/>
        <w:rPr>
          <w:rFonts w:ascii="Arial" w:hAnsi="Arial"/>
          <w:b/>
          <w:i w:val="false"/>
          <w:caps w:val="false"/>
          <w:smallCaps w:val="false"/>
          <w:sz w:val="36"/>
        </w:rPr>
      </w:pPr>
      <w:r>
        <w:rPr>
          <w:rFonts w:ascii="Arial" w:hAnsi="Arial"/>
          <w:b/>
          <w:i w:val="false"/>
          <w:caps w:val="false"/>
          <w:smallCaps w:val="false"/>
          <w:sz w:val="36"/>
        </w:rPr>
        <w:t>UNITED STATES</w:t>
      </w:r>
    </w:p>
    <w:p>
      <w:pPr>
        <w:pStyle w:val="TextBody"/>
        <w:spacing w:before="0" w:after="0"/>
        <w:jc w:val="center"/>
        <w:rPr>
          <w:rFonts w:ascii="Arial" w:hAnsi="Arial"/>
          <w:b/>
          <w:i w:val="false"/>
          <w:caps w:val="false"/>
          <w:smallCaps w:val="false"/>
          <w:sz w:val="36"/>
        </w:rPr>
      </w:pPr>
      <w:r>
        <w:rPr>
          <w:rFonts w:ascii="Arial" w:hAnsi="Arial"/>
          <w:b/>
          <w:i w:val="false"/>
          <w:caps w:val="false"/>
          <w:smallCaps w:val="false"/>
          <w:sz w:val="36"/>
        </w:rPr>
        <w:t>SECURITIES AND EXCHANGE COMMISSION</w:t>
      </w:r>
    </w:p>
    <w:p>
      <w:pPr>
        <w:pStyle w:val="TextBody"/>
        <w:spacing w:before="0" w:after="0"/>
        <w:jc w:val="center"/>
        <w:rPr>
          <w:rFonts w:ascii="Arial" w:hAnsi="Arial"/>
          <w:b/>
          <w:i w:val="false"/>
          <w:caps w:val="false"/>
          <w:smallCaps w:val="false"/>
          <w:sz w:val="24"/>
        </w:rPr>
      </w:pPr>
      <w:r>
        <w:rPr>
          <w:rFonts w:ascii="Arial" w:hAnsi="Arial"/>
          <w:b/>
          <w:i w:val="false"/>
          <w:caps w:val="false"/>
          <w:smallCaps w:val="false"/>
          <w:sz w:val="24"/>
        </w:rPr>
        <w:t>WASHINGTON, DC 20549</w:t>
      </w:r>
    </w:p>
    <w:p>
      <w:pPr>
        <w:pStyle w:val="TextBody"/>
        <w:pBdr>
          <w:bottom w:val="single" w:sz="6" w:space="1" w:color="000000"/>
        </w:pBdr>
        <w:spacing w:before="0" w:after="0"/>
        <w:jc w:val="center"/>
        <w:rPr/>
      </w:pPr>
      <w:r>
        <w:rPr/>
        <w:t> </w:t>
      </w:r>
    </w:p>
    <w:p>
      <w:pPr>
        <w:pStyle w:val="TextBody"/>
        <w:spacing w:before="80" w:after="0"/>
        <w:jc w:val="center"/>
        <w:rPr>
          <w:rFonts w:ascii="Arial" w:hAnsi="Arial"/>
          <w:b/>
          <w:i w:val="false"/>
          <w:caps w:val="false"/>
          <w:smallCaps w:val="false"/>
          <w:sz w:val="36"/>
        </w:rPr>
      </w:pPr>
      <w:r>
        <w:rPr>
          <w:rFonts w:ascii="Arial" w:hAnsi="Arial"/>
          <w:b/>
          <w:i w:val="false"/>
          <w:caps w:val="false"/>
          <w:smallCaps w:val="false"/>
          <w:sz w:val="36"/>
        </w:rPr>
        <w:t>FORM 10-Q</w:t>
      </w:r>
    </w:p>
    <w:p>
      <w:pPr>
        <w:pStyle w:val="TextBody"/>
        <w:pBdr>
          <w:bottom w:val="single" w:sz="6" w:space="1" w:color="000000"/>
        </w:pBdr>
        <w:spacing w:before="0" w:after="0"/>
        <w:jc w:val="center"/>
        <w:rPr/>
      </w:pPr>
      <w:r>
        <w:rPr/>
        <w:t> </w:t>
      </w:r>
    </w:p>
    <w:p>
      <w:pPr>
        <w:pStyle w:val="TextBody"/>
        <w:spacing w:before="80" w:after="0"/>
        <w:jc w:val="both"/>
        <w:rPr>
          <w:rFonts w:ascii="Arial" w:hAnsi="Arial"/>
          <w:b/>
          <w:i w:val="false"/>
          <w:caps w:val="false"/>
          <w:smallCaps w:val="false"/>
          <w:sz w:val="16"/>
        </w:rPr>
      </w:pPr>
      <w:r>
        <w:rPr>
          <w:rFonts w:ascii="Arial" w:hAnsi="Arial"/>
          <w:b/>
          <w:i w:val="false"/>
          <w:caps w:val="false"/>
          <w:smallCaps w:val="false"/>
          <w:sz w:val="16"/>
        </w:rPr>
        <w:t>(Mark One)</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QUARTERLY REPORT PURSUANT TO SECTION 13 OR 15(d) OF THE SECURITIES EXCHANGE ACT OF 1934</w:t>
            </w:r>
          </w:p>
        </w:tc>
      </w:tr>
    </w:tbl>
    <w:p>
      <w:pPr>
        <w:pStyle w:val="TextBody"/>
        <w:spacing w:before="80" w:after="0"/>
        <w:jc w:val="center"/>
        <w:rPr>
          <w:rFonts w:ascii="Arial" w:hAnsi="Arial"/>
          <w:b/>
          <w:i w:val="false"/>
          <w:caps w:val="false"/>
          <w:smallCaps w:val="false"/>
          <w:sz w:val="20"/>
        </w:rPr>
      </w:pPr>
      <w:r>
        <w:rPr>
          <w:rFonts w:ascii="Arial" w:hAnsi="Arial"/>
          <w:b/>
          <w:i w:val="false"/>
          <w:caps w:val="false"/>
          <w:smallCaps w:val="false"/>
          <w:sz w:val="20"/>
        </w:rPr>
        <w:t>For the quarterly period ended June 30, 2021</w:t>
      </w:r>
    </w:p>
    <w:p>
      <w:pPr>
        <w:pStyle w:val="TextBody"/>
        <w:spacing w:before="80" w:after="0"/>
        <w:jc w:val="center"/>
        <w:rPr>
          <w:rFonts w:ascii="Arial" w:hAnsi="Arial"/>
          <w:b/>
          <w:i w:val="false"/>
          <w:caps w:val="false"/>
          <w:smallCaps w:val="false"/>
          <w:sz w:val="20"/>
        </w:rPr>
      </w:pPr>
      <w:r>
        <w:rPr>
          <w:rFonts w:ascii="Arial" w:hAnsi="Arial"/>
          <w:b/>
          <w:i w:val="false"/>
          <w:caps w:val="false"/>
          <w:smallCaps w:val="false"/>
          <w:sz w:val="20"/>
        </w:rPr>
        <w:t>OR</w:t>
      </w:r>
    </w:p>
    <w:p>
      <w:pPr>
        <w:pStyle w:val="TextBody"/>
        <w:spacing w:before="0" w:after="0"/>
        <w:jc w:val="center"/>
        <w:rPr/>
      </w:pPr>
      <w:r>
        <w:rPr/>
        <w:t>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tcPr>
          <w:p>
            <w:pPr>
              <w:pStyle w:val="TableContents"/>
              <w:spacing w:before="0" w:after="0"/>
              <w:ind w:left="0" w:right="0" w:hanging="0"/>
              <w:jc w:val="both"/>
              <w:rPr>
                <w:rFonts w:ascii="Arial" w:hAnsi="Arial"/>
                <w:b/>
                <w:i w:val="false"/>
                <w:caps w:val="false"/>
                <w:smallCaps w:val="false"/>
                <w:sz w:val="20"/>
              </w:rPr>
            </w:pPr>
            <w:r>
              <w:rPr>
                <w:rFonts w:ascii="Arial" w:hAnsi="Arial"/>
                <w:b/>
                <w:i w:val="false"/>
                <w:caps w:val="false"/>
                <w:smallCaps w:val="false"/>
                <w:sz w:val="20"/>
              </w:rPr>
              <w:t>TRANSITION REPORT PURSUANT TO SECTION 13 OR 15(d) OF THE SECURITIES EXCHANGE ACT OF 1934</w:t>
            </w:r>
          </w:p>
        </w:tc>
      </w:tr>
    </w:tbl>
    <w:p>
      <w:pPr>
        <w:pStyle w:val="TextBody"/>
        <w:spacing w:before="80" w:after="0"/>
        <w:jc w:val="center"/>
        <w:rPr>
          <w:rFonts w:ascii="Arial" w:hAnsi="Arial"/>
          <w:b/>
          <w:i w:val="false"/>
          <w:caps w:val="false"/>
          <w:smallCaps w:val="false"/>
          <w:sz w:val="20"/>
        </w:rPr>
      </w:pPr>
      <w:r>
        <w:rPr>
          <w:rFonts w:ascii="Arial" w:hAnsi="Arial"/>
          <w:b/>
          <w:i w:val="false"/>
          <w:caps w:val="false"/>
          <w:smallCaps w:val="false"/>
          <w:sz w:val="20"/>
        </w:rPr>
        <w:t xml:space="preserve">Commission File Number: </w:t>
      </w:r>
      <w:r>
        <w:rPr>
          <w:rFonts w:ascii="Arial" w:hAnsi="Arial"/>
          <w:b/>
          <w:i w:val="false"/>
          <w:caps w:val="false"/>
          <w:smallCaps w:val="false"/>
          <w:sz w:val="18"/>
        </w:rPr>
        <w:t>001-39775</w:t>
      </w:r>
    </w:p>
    <w:p>
      <w:pPr>
        <w:pStyle w:val="TextBody"/>
        <w:pBdr>
          <w:bottom w:val="single" w:sz="6" w:space="1" w:color="000000"/>
        </w:pBdr>
        <w:spacing w:before="0" w:after="0"/>
        <w:jc w:val="center"/>
        <w:rPr/>
      </w:pPr>
      <w:r>
        <w:rPr/>
        <w:t> </w:t>
      </w:r>
    </w:p>
    <w:p>
      <w:pPr>
        <w:pStyle w:val="TextBody"/>
        <w:spacing w:before="80" w:after="0"/>
        <w:jc w:val="center"/>
        <w:rPr>
          <w:rFonts w:ascii="Arial" w:hAnsi="Arial"/>
          <w:b/>
          <w:i w:val="false"/>
          <w:caps w:val="false"/>
          <w:smallCaps w:val="false"/>
          <w:sz w:val="48"/>
        </w:rPr>
      </w:pPr>
      <w:r>
        <w:rPr>
          <w:rFonts w:ascii="Arial" w:hAnsi="Arial"/>
          <w:b/>
          <w:i w:val="false"/>
          <w:caps w:val="false"/>
          <w:smallCaps w:val="false"/>
          <w:sz w:val="48"/>
        </w:rPr>
        <w:t xml:space="preserve">ContextLogic Inc.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rPr/>
      </w:pPr>
      <w:r>
        <w:rPr/>
        <w:t> </w:t>
      </w:r>
    </w:p>
    <w:tbl>
      <w:tblPr>
        <w:tblW w:w="4570" w:type="dxa"/>
        <w:jc w:val="left"/>
        <w:tblInd w:w="0" w:type="dxa"/>
        <w:tblCellMar>
          <w:top w:w="0" w:type="dxa"/>
          <w:left w:w="0" w:type="dxa"/>
          <w:bottom w:w="0" w:type="dxa"/>
          <w:right w:w="0" w:type="dxa"/>
        </w:tblCellMar>
      </w:tblPr>
      <w:tblGrid>
        <w:gridCol w:w="3125"/>
        <w:gridCol w:w="1445"/>
      </w:tblGrid>
      <w:tr>
        <w:trPr/>
        <w:tc>
          <w:tcPr>
            <w:tcW w:w="3125" w:type="dxa"/>
            <w:tcBorders/>
            <w:shd w:fill="auto" w:val="clear"/>
            <w:vAlign w:val="bottom"/>
          </w:tcPr>
          <w:p>
            <w:pPr>
              <w:pStyle w:val="TableContents"/>
              <w:spacing w:before="0" w:after="0"/>
              <w:ind w:left="0" w:right="0" w:hanging="0"/>
              <w:jc w:val="center"/>
              <w:rPr>
                <w:rFonts w:ascii="Arial" w:hAnsi="Arial"/>
                <w:b/>
                <w:i w:val="false"/>
                <w:caps w:val="false"/>
                <w:smallCaps w:val="false"/>
                <w:sz w:val="18"/>
              </w:rPr>
            </w:pPr>
            <w:r>
              <w:rPr>
                <w:rFonts w:ascii="Arial" w:hAnsi="Arial"/>
                <w:b/>
                <w:i w:val="false"/>
                <w:caps w:val="false"/>
                <w:smallCaps w:val="false"/>
                <w:sz w:val="18"/>
              </w:rPr>
              <w:t>Delaware</w:t>
            </w:r>
          </w:p>
        </w:tc>
        <w:tc>
          <w:tcPr>
            <w:tcW w:w="1445" w:type="dxa"/>
            <w:tcBorders/>
            <w:shd w:fill="auto" w:val="clear"/>
            <w:vAlign w:val="bottom"/>
          </w:tcPr>
          <w:p>
            <w:pPr>
              <w:pStyle w:val="TableContents"/>
              <w:spacing w:before="0" w:after="0"/>
              <w:ind w:left="0" w:right="0" w:hanging="0"/>
              <w:jc w:val="center"/>
              <w:rPr>
                <w:rFonts w:ascii="Arial" w:hAnsi="Arial"/>
                <w:b/>
                <w:i w:val="false"/>
                <w:caps w:val="false"/>
                <w:smallCaps w:val="false"/>
                <w:sz w:val="18"/>
              </w:rPr>
            </w:pPr>
            <w:r>
              <w:rPr>
                <w:rFonts w:ascii="Arial" w:hAnsi="Arial"/>
                <w:b/>
                <w:i w:val="false"/>
                <w:caps w:val="false"/>
                <w:smallCaps w:val="false"/>
                <w:sz w:val="18"/>
              </w:rPr>
              <w:t>27-2930953</w:t>
            </w:r>
          </w:p>
        </w:tc>
      </w:tr>
      <w:tr>
        <w:trPr/>
        <w:tc>
          <w:tcPr>
            <w:tcW w:w="3125"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(State or other jurisdiction of</w:t>
            </w:r>
          </w:p>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incorporation or organization)</w:t>
            </w:r>
          </w:p>
        </w:tc>
        <w:tc>
          <w:tcPr>
            <w:tcW w:w="1445"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(I.R.S. Employer</w:t>
              <w:br/>
              <w:t>Identification No.)</w:t>
            </w:r>
          </w:p>
        </w:tc>
      </w:tr>
      <w:tr>
        <w:trPr/>
        <w:tc>
          <w:tcPr>
            <w:tcW w:w="3125" w:type="dxa"/>
            <w:tcBorders/>
            <w:shd w:fill="auto" w:val="clear"/>
            <w:vAlign w:val="bottom"/>
          </w:tcPr>
          <w:p>
            <w:pPr>
              <w:pStyle w:val="TableContents"/>
              <w:spacing w:before="0" w:after="0"/>
              <w:ind w:left="0" w:right="0" w:hanging="0"/>
              <w:jc w:val="center"/>
              <w:rPr/>
            </w:pPr>
            <w:r>
              <w:rPr/>
              <w:t> </w:t>
            </w:r>
          </w:p>
        </w:tc>
        <w:tc>
          <w:tcPr>
            <w:tcW w:w="1445" w:type="dxa"/>
            <w:tcBorders/>
            <w:shd w:fill="auto" w:val="clear"/>
            <w:vAlign w:val="bottom"/>
          </w:tcPr>
          <w:p>
            <w:pPr>
              <w:pStyle w:val="TableContents"/>
              <w:spacing w:before="0" w:after="0"/>
              <w:ind w:left="0" w:right="0" w:hanging="0"/>
              <w:jc w:val="center"/>
              <w:rPr/>
            </w:pPr>
            <w:r>
              <w:rPr/>
              <w:t> </w:t>
            </w:r>
          </w:p>
        </w:tc>
      </w:tr>
      <w:tr>
        <w:trPr/>
        <w:tc>
          <w:tcPr>
            <w:tcW w:w="3125" w:type="dxa"/>
            <w:tcBorders/>
            <w:shd w:fill="auto" w:val="clear"/>
            <w:vAlign w:val="bottom"/>
          </w:tcPr>
          <w:p>
            <w:pPr>
              <w:pStyle w:val="TableContents"/>
              <w:spacing w:lineRule="auto" w:line="288" w:before="0" w:after="0"/>
              <w:ind w:left="0" w:right="0" w:hanging="0"/>
              <w:jc w:val="center"/>
              <w:rPr>
                <w:rFonts w:ascii="Arial" w:hAnsi="Arial"/>
                <w:b/>
                <w:i w:val="false"/>
                <w:caps w:val="false"/>
                <w:smallCaps w:val="false"/>
                <w:sz w:val="18"/>
              </w:rPr>
            </w:pPr>
            <w:r>
              <w:rPr>
                <w:rFonts w:ascii="Arial" w:hAnsi="Arial"/>
                <w:b/>
                <w:i w:val="false"/>
                <w:caps w:val="false"/>
                <w:smallCaps w:val="false"/>
                <w:sz w:val="18"/>
              </w:rPr>
              <w:t>One Sansome Street 40th Floor</w:t>
            </w:r>
          </w:p>
          <w:p>
            <w:pPr>
              <w:pStyle w:val="TableContents"/>
              <w:spacing w:before="0" w:after="0"/>
              <w:ind w:left="0" w:right="0" w:hanging="0"/>
              <w:jc w:val="center"/>
              <w:rPr>
                <w:rFonts w:ascii="Arial" w:hAnsi="Arial"/>
                <w:b/>
                <w:i w:val="false"/>
                <w:caps w:val="false"/>
                <w:smallCaps w:val="false"/>
                <w:sz w:val="18"/>
              </w:rPr>
            </w:pPr>
            <w:r>
              <w:rPr>
                <w:rFonts w:ascii="Arial" w:hAnsi="Arial"/>
                <w:b/>
                <w:i w:val="false"/>
                <w:caps w:val="false"/>
                <w:smallCaps w:val="false"/>
                <w:sz w:val="18"/>
              </w:rPr>
              <w:t>San Francisco, CA</w:t>
            </w:r>
          </w:p>
        </w:tc>
        <w:tc>
          <w:tcPr>
            <w:tcW w:w="1445" w:type="dxa"/>
            <w:tcBorders/>
            <w:shd w:fill="auto" w:val="clear"/>
            <w:vAlign w:val="bottom"/>
          </w:tcPr>
          <w:p>
            <w:pPr>
              <w:pStyle w:val="TableContents"/>
              <w:spacing w:before="0" w:after="0"/>
              <w:ind w:left="0" w:right="0" w:hanging="0"/>
              <w:jc w:val="center"/>
              <w:rPr>
                <w:rFonts w:ascii="Arial" w:hAnsi="Arial"/>
                <w:b/>
                <w:i w:val="false"/>
                <w:caps w:val="false"/>
                <w:smallCaps w:val="false"/>
                <w:sz w:val="18"/>
              </w:rPr>
            </w:pPr>
            <w:r>
              <w:rPr>
                <w:rFonts w:ascii="Arial" w:hAnsi="Arial"/>
                <w:b/>
                <w:i w:val="false"/>
                <w:caps w:val="false"/>
                <w:smallCaps w:val="false"/>
                <w:sz w:val="18"/>
              </w:rPr>
              <w:t>94104</w:t>
            </w:r>
          </w:p>
        </w:tc>
      </w:tr>
      <w:tr>
        <w:trPr/>
        <w:tc>
          <w:tcPr>
            <w:tcW w:w="3125"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(Address of principal executive offices)</w:t>
            </w:r>
          </w:p>
        </w:tc>
        <w:tc>
          <w:tcPr>
            <w:tcW w:w="1445" w:type="dxa"/>
            <w:tcBorders/>
            <w:shd w:fill="auto" w:val="clear"/>
            <w:vAlign w:val="bottom"/>
          </w:tcPr>
          <w:p>
            <w:pPr>
              <w:pStyle w:val="TableContents"/>
              <w:spacing w:before="0" w:after="0"/>
              <w:ind w:left="0" w:right="0" w:hanging="0"/>
              <w:jc w:val="center"/>
              <w:rPr>
                <w:rFonts w:ascii="Arial" w:hAnsi="Arial"/>
                <w:b/>
                <w:i w:val="false"/>
                <w:caps w:val="false"/>
                <w:smallCaps w:val="false"/>
                <w:sz w:val="16"/>
              </w:rPr>
            </w:pPr>
            <w:r>
              <w:rPr>
                <w:rFonts w:ascii="Arial" w:hAnsi="Arial"/>
                <w:b/>
                <w:i w:val="false"/>
                <w:caps w:val="false"/>
                <w:smallCaps w:val="false"/>
                <w:sz w:val="16"/>
              </w:rPr>
              <w:t>(Zip Code)</w:t>
            </w:r>
          </w:p>
        </w:tc>
      </w:tr>
    </w:tbl>
    <w:p>
      <w:pPr>
        <w:pStyle w:val="TextBody"/>
        <w:spacing w:before="80" w:after="0"/>
        <w:jc w:val="center"/>
        <w:rPr>
          <w:rFonts w:ascii="Arial" w:hAnsi="Arial"/>
          <w:b/>
          <w:i w:val="false"/>
          <w:caps w:val="false"/>
          <w:smallCaps w:val="false"/>
          <w:sz w:val="20"/>
        </w:rPr>
      </w:pPr>
      <w:r>
        <w:rPr>
          <w:rFonts w:ascii="Arial" w:hAnsi="Arial"/>
          <w:b/>
          <w:i w:val="false"/>
          <w:caps w:val="false"/>
          <w:smallCaps w:val="false"/>
          <w:sz w:val="20"/>
        </w:rPr>
        <w:t xml:space="preserve">Registrant’s telephone number, including area code: </w:t>
      </w:r>
      <w:r>
        <w:rPr>
          <w:rFonts w:ascii="Arial" w:hAnsi="Arial"/>
          <w:b/>
          <w:i w:val="false"/>
          <w:caps w:val="false"/>
          <w:smallCaps w:val="false"/>
          <w:sz w:val="18"/>
        </w:rPr>
        <w:t>(415) 432-7323</w:t>
      </w:r>
    </w:p>
    <w:p>
      <w:pPr>
        <w:pStyle w:val="TextBody"/>
        <w:pBdr>
          <w:bottom w:val="single" w:sz="6" w:space="1" w:color="000000"/>
        </w:pBdr>
        <w:spacing w:before="0" w:after="0"/>
        <w:jc w:val="center"/>
        <w:rPr/>
      </w:pPr>
      <w:r>
        <w:rPr/>
        <w:t> </w:t>
      </w:r>
    </w:p>
    <w:p>
      <w:pPr>
        <w:pStyle w:val="TextBody"/>
        <w:spacing w:before="80" w:after="0"/>
        <w:jc w:val="both"/>
        <w:rPr>
          <w:rFonts w:ascii="Arial" w:hAnsi="Arial"/>
          <w:b w:val="false"/>
          <w:i w:val="false"/>
          <w:caps w:val="false"/>
          <w:smallCaps w:val="false"/>
          <w:sz w:val="18"/>
        </w:rPr>
      </w:pPr>
      <w:r>
        <w:rPr>
          <w:rFonts w:ascii="Arial" w:hAnsi="Arial"/>
          <w:b w:val="false"/>
          <w:i w:val="false"/>
          <w:caps w:val="false"/>
          <w:smallCaps w:val="false"/>
          <w:sz w:val="18"/>
        </w:rPr>
        <w:t xml:space="preserve">Securities registered pursuant to Section 12(b) of the Act: </w:t>
      </w:r>
    </w:p>
    <w:p>
      <w:pPr>
        <w:pStyle w:val="TextBody"/>
        <w:spacing w:before="0" w:after="0"/>
        <w:jc w:val="both"/>
        <w:rPr/>
      </w:pPr>
      <w:r>
        <w:rPr/>
        <w:t> </w:t>
      </w:r>
    </w:p>
    <w:tbl>
      <w:tblPr>
        <w:tblW w:w="8670" w:type="dxa"/>
        <w:jc w:val="left"/>
        <w:tblInd w:w="0" w:type="dxa"/>
        <w:tblCellMar>
          <w:top w:w="0" w:type="dxa"/>
          <w:left w:w="0" w:type="dxa"/>
          <w:bottom w:w="28" w:type="dxa"/>
          <w:right w:w="0" w:type="dxa"/>
        </w:tblCellMar>
      </w:tblPr>
      <w:tblGrid>
        <w:gridCol w:w="3155"/>
        <w:gridCol w:w="60"/>
        <w:gridCol w:w="1580"/>
        <w:gridCol w:w="60"/>
        <w:gridCol w:w="3815"/>
      </w:tblGrid>
      <w:tr>
        <w:trPr/>
        <w:tc>
          <w:tcPr>
            <w:tcW w:w="3155"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8"/>
              </w:rPr>
            </w:pPr>
            <w:r>
              <w:rPr>
                <w:rFonts w:ascii="Arial" w:hAnsi="Arial"/>
                <w:b/>
                <w:i w:val="false"/>
                <w:caps w:val="false"/>
                <w:smallCaps w:val="false"/>
                <w:sz w:val="18"/>
              </w:rPr>
              <w:t>Title of each class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1580"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8"/>
              </w:rPr>
            </w:pPr>
            <w:r>
              <w:rPr>
                <w:rFonts w:ascii="Arial" w:hAnsi="Arial"/>
                <w:b/>
                <w:i w:val="false"/>
                <w:caps w:val="false"/>
                <w:smallCaps w:val="false"/>
                <w:sz w:val="18"/>
              </w:rPr>
              <w:t>Trading Symbol(s)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3815" w:type="dxa"/>
            <w:tcBorders>
              <w:bottom w:val="single" w:sz="6" w:space="0" w:color="000000"/>
            </w:tcBorders>
            <w:shd w:fill="auto" w:val="clear"/>
            <w:vAlign w:val="bottom"/>
          </w:tcPr>
          <w:p>
            <w:pPr>
              <w:pStyle w:val="TableContents"/>
              <w:spacing w:before="0" w:after="0"/>
              <w:ind w:left="0" w:right="0" w:hanging="0"/>
              <w:jc w:val="center"/>
              <w:rPr>
                <w:rFonts w:ascii="Arial" w:hAnsi="Arial"/>
                <w:b/>
                <w:i w:val="false"/>
                <w:caps w:val="false"/>
                <w:smallCaps w:val="false"/>
                <w:sz w:val="18"/>
              </w:rPr>
            </w:pPr>
            <w:r>
              <w:rPr>
                <w:rFonts w:ascii="Arial" w:hAnsi="Arial"/>
                <w:b/>
                <w:i w:val="false"/>
                <w:caps w:val="false"/>
                <w:smallCaps w:val="false"/>
                <w:sz w:val="18"/>
              </w:rPr>
              <w:t>Name of each exchange on which registered</w:t>
            </w:r>
          </w:p>
        </w:tc>
      </w:tr>
      <w:tr>
        <w:trPr/>
        <w:tc>
          <w:tcPr>
            <w:tcW w:w="3155"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Class A Common Stock, $0.0001 par value</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1580"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WISH</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3815"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Arial" w:hAnsi="Arial"/>
                <w:b w:val="false"/>
                <w:i w:val="false"/>
                <w:caps w:val="false"/>
                <w:smallCaps w:val="false"/>
                <w:sz w:val="16"/>
              </w:rPr>
            </w:pPr>
            <w:r>
              <w:rPr>
                <w:rFonts w:ascii="Arial" w:hAnsi="Arial"/>
                <w:b w:val="false"/>
                <w:i w:val="false"/>
                <w:caps w:val="false"/>
                <w:smallCaps w:val="false"/>
                <w:sz w:val="16"/>
              </w:rPr>
              <w:t>Nasdaq Global Select Market</w:t>
            </w:r>
          </w:p>
        </w:tc>
      </w:tr>
    </w:tbl>
    <w:p>
      <w:pPr>
        <w:pStyle w:val="TextBody"/>
        <w:spacing w:before="80" w:after="0"/>
        <w:jc w:val="both"/>
        <w:rPr>
          <w:rFonts w:ascii="Arial" w:hAnsi="Arial"/>
          <w:b w:val="false"/>
          <w:i w:val="false"/>
          <w:caps w:val="false"/>
          <w:smallCaps w:val="false"/>
          <w:sz w:val="18"/>
        </w:rPr>
      </w:pPr>
      <w:r>
        <w:rPr>
          <w:rFonts w:ascii="Arial" w:hAnsi="Arial"/>
          <w:b w:val="false"/>
          <w:i w:val="false"/>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80" w:after="0"/>
        <w:jc w:val="both"/>
        <w:rPr>
          <w:rFonts w:ascii="Arial" w:hAnsi="Arial"/>
          <w:b w:val="false"/>
          <w:i w:val="false"/>
          <w:caps w:val="false"/>
          <w:smallCaps w:val="false"/>
          <w:sz w:val="18"/>
        </w:rPr>
      </w:pPr>
      <w:r>
        <w:rPr>
          <w:rFonts w:ascii="Arial" w:hAnsi="Arial"/>
          <w:b w:val="false"/>
          <w:i w:val="false"/>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80" w:after="0"/>
        <w:jc w:val="both"/>
        <w:rPr>
          <w:rFonts w:ascii="Arial" w:hAnsi="Arial"/>
          <w:b w:val="false"/>
          <w:i w:val="false"/>
          <w:caps w:val="false"/>
          <w:smallCaps w:val="false"/>
          <w:sz w:val="18"/>
        </w:rPr>
      </w:pPr>
      <w:r>
        <w:rPr>
          <w:rFonts w:ascii="Arial" w:hAnsi="Arial"/>
          <w:b w:val="false"/>
          <w:i w:val="false"/>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5158" w:type="dxa"/>
        <w:jc w:val="left"/>
        <w:tblInd w:w="0" w:type="dxa"/>
        <w:tblCellMar>
          <w:top w:w="0" w:type="dxa"/>
          <w:left w:w="0" w:type="dxa"/>
          <w:bottom w:w="0" w:type="dxa"/>
          <w:right w:w="0" w:type="dxa"/>
        </w:tblCellMar>
      </w:tblPr>
      <w:tblGrid>
        <w:gridCol w:w="2210"/>
        <w:gridCol w:w="60"/>
        <w:gridCol w:w="230"/>
        <w:gridCol w:w="120"/>
        <w:gridCol w:w="2225"/>
        <w:gridCol w:w="60"/>
        <w:gridCol w:w="230"/>
        <w:gridCol w:w="23"/>
      </w:tblGrid>
      <w:tr>
        <w:trPr/>
        <w:tc>
          <w:tcPr>
            <w:tcW w:w="2210" w:type="dxa"/>
            <w:tcBorders/>
            <w:shd w:fill="auto" w:val="clear"/>
          </w:tcPr>
          <w:p>
            <w:pPr>
              <w:pStyle w:val="TableContents"/>
              <w:spacing w:before="0" w:after="0"/>
              <w:ind w:left="0" w:right="0" w:hanging="0"/>
              <w:rPr>
                <w:rFonts w:ascii="Arial" w:hAnsi="Arial"/>
                <w:b w:val="false"/>
                <w:i w:val="false"/>
                <w:caps w:val="false"/>
                <w:smallCaps w:val="false"/>
                <w:sz w:val="18"/>
              </w:rPr>
            </w:pPr>
            <w:r>
              <w:rPr>
                <w:rFonts w:ascii="Arial" w:hAnsi="Arial"/>
                <w:b w:val="false"/>
                <w:i w:val="false"/>
                <w:caps w:val="false"/>
                <w:smallCaps w:val="false"/>
                <w:sz w:val="18"/>
              </w:rPr>
              <w:t>Large 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2225" w:type="dxa"/>
            <w:tcBorders/>
            <w:shd w:fill="auto" w:val="clear"/>
          </w:tcPr>
          <w:p>
            <w:pPr>
              <w:pStyle w:val="TableContents"/>
              <w:spacing w:before="0" w:after="0"/>
              <w:ind w:left="0" w:right="0" w:hanging="0"/>
              <w:rPr>
                <w:rFonts w:ascii="Arial" w:hAnsi="Arial"/>
                <w:b w:val="false"/>
                <w:i w:val="false"/>
                <w:caps w:val="false"/>
                <w:smallCaps w:val="false"/>
                <w:sz w:val="18"/>
              </w:rPr>
            </w:pPr>
            <w:r>
              <w:rPr>
                <w:rFonts w:ascii="Arial" w:hAnsi="Arial"/>
                <w:b w:val="false"/>
                <w:i w:val="false"/>
                <w:caps w:val="false"/>
                <w:smallCaps w:val="false"/>
                <w:sz w:val="18"/>
              </w:rPr>
              <w:t>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23" w:type="dxa"/>
            <w:tcBorders/>
            <w:shd w:fill="auto" w:val="clear"/>
          </w:tcPr>
          <w:p>
            <w:pPr>
              <w:pStyle w:val="TableContents"/>
              <w:spacing w:before="0" w:after="283"/>
              <w:rPr>
                <w:sz w:val="4"/>
                <w:szCs w:val="4"/>
              </w:rPr>
            </w:pPr>
            <w:r>
              <w:rPr>
                <w:sz w:val="4"/>
                <w:szCs w:val="4"/>
              </w:rPr>
            </w:r>
          </w:p>
        </w:tc>
      </w:tr>
      <w:tr>
        <w:trPr/>
        <w:tc>
          <w:tcPr>
            <w:tcW w:w="221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222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2210" w:type="dxa"/>
            <w:tcBorders/>
            <w:shd w:fill="auto" w:val="clear"/>
          </w:tcPr>
          <w:p>
            <w:pPr>
              <w:pStyle w:val="TableContents"/>
              <w:spacing w:before="0" w:after="0"/>
              <w:ind w:left="0" w:right="0" w:hanging="0"/>
              <w:rPr>
                <w:rFonts w:ascii="Arial" w:hAnsi="Arial"/>
                <w:b w:val="false"/>
                <w:i w:val="false"/>
                <w:caps w:val="false"/>
                <w:smallCaps w:val="false"/>
                <w:sz w:val="18"/>
              </w:rPr>
            </w:pPr>
            <w:r>
              <w:rPr>
                <w:rFonts w:ascii="Arial" w:hAnsi="Arial"/>
                <w:b w:val="false"/>
                <w:i w:val="false"/>
                <w:caps w:val="false"/>
                <w:smallCaps w:val="false"/>
                <w:sz w:val="18"/>
              </w:rPr>
              <w:t>Non-accelerated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2225" w:type="dxa"/>
            <w:tcBorders/>
            <w:shd w:fill="auto" w:val="clear"/>
          </w:tcPr>
          <w:p>
            <w:pPr>
              <w:pStyle w:val="TableContents"/>
              <w:spacing w:before="0" w:after="0"/>
              <w:ind w:left="0" w:right="0" w:hanging="0"/>
              <w:rPr>
                <w:rFonts w:ascii="Arial" w:hAnsi="Arial"/>
                <w:b w:val="false"/>
                <w:i w:val="false"/>
                <w:caps w:val="false"/>
                <w:smallCaps w:val="false"/>
                <w:sz w:val="18"/>
              </w:rPr>
            </w:pPr>
            <w:r>
              <w:rPr>
                <w:rFonts w:ascii="Arial" w:hAnsi="Arial"/>
                <w:b w:val="false"/>
                <w:i w:val="false"/>
                <w:caps w:val="false"/>
                <w:smallCaps w:val="false"/>
                <w:sz w:val="18"/>
              </w:rPr>
              <w:t>Smaller reporting company</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23" w:type="dxa"/>
            <w:tcBorders/>
            <w:shd w:fill="auto" w:val="clear"/>
            <w:vAlign w:val="center"/>
          </w:tcPr>
          <w:p>
            <w:pPr>
              <w:pStyle w:val="TableContents"/>
              <w:spacing w:before="0" w:after="283"/>
              <w:rPr>
                <w:sz w:val="4"/>
                <w:szCs w:val="4"/>
              </w:rPr>
            </w:pPr>
            <w:r>
              <w:rPr>
                <w:sz w:val="4"/>
                <w:szCs w:val="4"/>
              </w:rPr>
            </w:r>
          </w:p>
        </w:tc>
      </w:tr>
      <w:tr>
        <w:trPr/>
        <w:tc>
          <w:tcPr>
            <w:tcW w:w="221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222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23" w:type="dxa"/>
            <w:tcBorders/>
            <w:shd w:fill="auto" w:val="clear"/>
          </w:tcPr>
          <w:p>
            <w:pPr>
              <w:pStyle w:val="TableContents"/>
              <w:spacing w:before="0" w:after="283"/>
              <w:rPr>
                <w:sz w:val="4"/>
                <w:szCs w:val="4"/>
              </w:rPr>
            </w:pPr>
            <w:r>
              <w:rPr>
                <w:sz w:val="4"/>
                <w:szCs w:val="4"/>
              </w:rPr>
            </w:r>
          </w:p>
        </w:tc>
      </w:tr>
      <w:tr>
        <w:trPr/>
        <w:tc>
          <w:tcPr>
            <w:tcW w:w="2210" w:type="dxa"/>
            <w:tcBorders/>
            <w:shd w:fill="auto" w:val="clear"/>
          </w:tcPr>
          <w:p>
            <w:pPr>
              <w:pStyle w:val="TableContents"/>
              <w:spacing w:before="0" w:after="0"/>
              <w:ind w:left="0" w:right="0" w:hanging="0"/>
              <w:rPr>
                <w:rFonts w:ascii="Arial" w:hAnsi="Arial"/>
                <w:b w:val="false"/>
                <w:i w:val="false"/>
                <w:caps w:val="false"/>
                <w:smallCaps w:val="false"/>
                <w:sz w:val="18"/>
              </w:rPr>
            </w:pPr>
            <w:r>
              <w:rPr>
                <w:rFonts w:ascii="Arial" w:hAnsi="Arial"/>
                <w:b w:val="false"/>
                <w:i w:val="false"/>
                <w:caps w:val="false"/>
                <w:smallCaps w:val="false"/>
                <w:sz w:val="18"/>
              </w:rPr>
              <w:t>Emerging growth company</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pPr>
            <w:r>
              <w:rPr/>
              <w:t> </w:t>
            </w:r>
          </w:p>
        </w:tc>
        <w:tc>
          <w:tcPr>
            <w:tcW w:w="222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c>
          <w:tcPr>
            <w:tcW w:w="23" w:type="dxa"/>
            <w:tcBorders/>
            <w:shd w:fill="auto" w:val="clear"/>
          </w:tcPr>
          <w:p>
            <w:pPr>
              <w:pStyle w:val="TableContents"/>
              <w:spacing w:before="0" w:after="283"/>
              <w:rPr>
                <w:sz w:val="4"/>
                <w:szCs w:val="4"/>
              </w:rPr>
            </w:pPr>
            <w:r>
              <w:rPr>
                <w:sz w:val="4"/>
                <w:szCs w:val="4"/>
              </w:rPr>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18"/>
        </w:rPr>
      </w:pPr>
      <w:r>
        <w:rPr>
          <w:rFonts w:ascii="Arial" w:hAnsi="Arial"/>
          <w:b w:val="false"/>
          <w:i w:val="false"/>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80" w:after="0"/>
        <w:jc w:val="both"/>
        <w:rPr>
          <w:rFonts w:ascii="Arial" w:hAnsi="Arial"/>
          <w:b w:val="false"/>
          <w:i w:val="false"/>
          <w:caps w:val="false"/>
          <w:smallCaps w:val="false"/>
          <w:sz w:val="18"/>
        </w:rPr>
      </w:pPr>
      <w:r>
        <w:rPr>
          <w:rFonts w:ascii="Arial" w:hAnsi="Arial"/>
          <w:b w:val="false"/>
          <w:i w:val="false"/>
          <w:caps w:val="false"/>
          <w:smallCaps w:val="false"/>
          <w:sz w:val="18"/>
        </w:rPr>
        <w:t>Indicate by check mark whether the registrant is a shell company (as defined in Rule 12b-2 of the Exchange Act).     Yes  ☐    No  ☒</w:t>
      </w:r>
    </w:p>
    <w:p>
      <w:pPr>
        <w:pStyle w:val="TextBody"/>
        <w:spacing w:before="80" w:after="0"/>
        <w:jc w:val="both"/>
        <w:rPr>
          <w:rFonts w:ascii="Arial" w:hAnsi="Arial"/>
          <w:b w:val="false"/>
          <w:i w:val="false"/>
          <w:caps w:val="false"/>
          <w:smallCaps w:val="false"/>
          <w:sz w:val="18"/>
        </w:rPr>
      </w:pPr>
      <w:r>
        <w:rPr>
          <w:rFonts w:ascii="Arial" w:hAnsi="Arial"/>
          <w:b w:val="false"/>
          <w:i w:val="false"/>
          <w:caps w:val="false"/>
          <w:smallCaps w:val="false"/>
          <w:sz w:val="18"/>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spacing w:before="80" w:after="0"/>
        <w:jc w:val="both"/>
        <w:rPr>
          <w:rFonts w:ascii="Arial" w:hAnsi="Arial"/>
          <w:b w:val="false"/>
          <w:i w:val="false"/>
          <w:caps w:val="false"/>
          <w:smallCaps w:val="false"/>
          <w:sz w:val="18"/>
        </w:rPr>
      </w:pPr>
      <w:r>
        <w:rPr>
          <w:rFonts w:ascii="Arial" w:hAnsi="Arial"/>
          <w:b w:val="false"/>
          <w:i w:val="false"/>
          <w:caps w:val="false"/>
          <w:smallCaps w:val="false"/>
          <w:sz w:val="18"/>
        </w:rPr>
        <w:t xml:space="preserve">As of July 31, 2021, the number of shares of the registrant’s Class A common stock outstanding was 558 million and the number of shares of the registrant’s Class B common stock outstanding was 70 million. </w:t>
      </w:r>
    </w:p>
    <w:p>
      <w:pPr>
        <w:pStyle w:val="TextBody"/>
        <w:pBdr>
          <w:bottom w:val="double" w:sz="6" w:space="1" w:color="000000"/>
        </w:pBdr>
        <w:spacing w:before="0" w:after="0"/>
        <w:jc w:val="both"/>
        <w:rPr/>
      </w:pPr>
      <w:r>
        <w:rPr/>
        <w:t> </w:t>
      </w:r>
    </w:p>
    <w:p>
      <w:pPr>
        <w:pStyle w:val="TextBody"/>
        <w:spacing w:before="0" w:after="0"/>
        <w:jc w:val="center"/>
        <w:rPr/>
      </w:pPr>
      <w:r>
        <w:rPr/>
        <w:t> </w:t>
      </w:r>
    </w:p>
    <w:p>
      <w:pPr>
        <w:pStyle w:val="TextBody"/>
        <w:spacing w:before="0" w:after="0"/>
        <w:jc w:val="center"/>
        <w:rPr/>
      </w:pPr>
      <w:r>
        <w:rPr/>
        <w:t> </w:t>
      </w:r>
    </w:p>
    <w:p>
      <w:pPr>
        <w:pStyle w:val="TextBody"/>
        <w:spacing w:before="240" w:after="0"/>
        <w:jc w:val="center"/>
        <w:rPr/>
      </w:pPr>
      <w:r>
        <w:rPr/>
        <w:t> </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Table of Contents</w:t>
      </w:r>
    </w:p>
    <w:p>
      <w:pPr>
        <w:pStyle w:val="TextBody"/>
        <w:spacing w:before="0" w:after="0"/>
        <w:rPr/>
      </w:pPr>
      <w:r>
        <w:rPr/>
        <w:t> </w:t>
      </w:r>
    </w:p>
    <w:tbl>
      <w:tblPr>
        <w:tblW w:w="8955" w:type="dxa"/>
        <w:jc w:val="left"/>
        <w:tblInd w:w="0" w:type="dxa"/>
        <w:tblCellMar>
          <w:top w:w="0" w:type="dxa"/>
          <w:left w:w="0" w:type="dxa"/>
          <w:bottom w:w="28" w:type="dxa"/>
          <w:right w:w="0" w:type="dxa"/>
        </w:tblCellMar>
      </w:tblPr>
      <w:tblGrid>
        <w:gridCol w:w="785"/>
        <w:gridCol w:w="7760"/>
        <w:gridCol w:w="410"/>
      </w:tblGrid>
      <w:tr>
        <w:trPr/>
        <w:tc>
          <w:tcPr>
            <w:tcW w:w="785" w:type="dxa"/>
            <w:tcBorders>
              <w:bottom w:val="single" w:sz="6" w:space="0" w:color="000000"/>
            </w:tcBorders>
            <w:shd w:fill="FFFFFF" w:val="clear"/>
            <w:vAlign w:val="center"/>
          </w:tcPr>
          <w:p>
            <w:pPr>
              <w:pStyle w:val="TableContents"/>
              <w:spacing w:before="0" w:after="0"/>
              <w:ind w:left="137" w:right="0" w:hanging="0"/>
              <w:rPr>
                <w:caps w:val="false"/>
                <w:smallCaps w:val="false"/>
                <w:color w:val="000000"/>
              </w:rPr>
            </w:pPr>
            <w:r>
              <w:rPr>
                <w:caps w:val="false"/>
                <w:smallCaps w:val="false"/>
                <w:color w:val="000000"/>
              </w:rPr>
              <w:t> </w:t>
            </w:r>
          </w:p>
        </w:tc>
        <w:tc>
          <w:tcPr>
            <w:tcW w:w="77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bottom w:val="single" w:sz="6" w:space="0" w:color="000000"/>
            </w:tcBorders>
            <w:shd w:fill="FFFFFF" w:val="clear"/>
            <w:vAlign w:val="center"/>
          </w:tcPr>
          <w:p>
            <w:pPr>
              <w:pStyle w:val="TableContents"/>
              <w:spacing w:before="0" w:after="0"/>
              <w:ind w:left="137" w:right="0" w:hanging="0"/>
              <w:rPr>
                <w:rFonts w:ascii="Arial" w:hAnsi="Arial"/>
                <w:b/>
                <w:i w:val="false"/>
                <w:caps w:val="false"/>
                <w:smallCaps w:val="false"/>
                <w:color w:val="000000"/>
                <w:sz w:val="16"/>
              </w:rPr>
            </w:pPr>
            <w:r>
              <w:rPr>
                <w:rFonts w:ascii="Arial" w:hAnsi="Arial"/>
                <w:b/>
                <w:i w:val="false"/>
                <w:caps w:val="false"/>
                <w:smallCaps w:val="false"/>
                <w:color w:val="000000"/>
                <w:sz w:val="16"/>
              </w:rPr>
              <w:t>Page</w:t>
            </w:r>
          </w:p>
        </w:tc>
      </w:tr>
      <w:tr>
        <w:trPr/>
        <w:tc>
          <w:tcPr>
            <w:tcW w:w="785" w:type="dxa"/>
            <w:tcBorders/>
            <w:shd w:fill="FFFFFF" w:val="clear"/>
            <w:tcMar>
              <w:bottom w:w="0" w:type="dxa"/>
            </w:tcMar>
            <w:vAlign w:val="center"/>
          </w:tcPr>
          <w:p>
            <w:pPr>
              <w:pStyle w:val="TableContents"/>
              <w:spacing w:before="0" w:after="0"/>
              <w:ind w:left="0" w:right="0" w:hanging="0"/>
              <w:rPr/>
            </w:pPr>
            <w:r>
              <w:rPr/>
              <w:t> </w:t>
            </w:r>
          </w:p>
        </w:tc>
        <w:tc>
          <w:tcPr>
            <w:tcW w:w="7760" w:type="dxa"/>
            <w:tcBorders/>
            <w:shd w:fill="FFFFFF" w:val="clear"/>
            <w:tcMar>
              <w:bottom w:w="0" w:type="dxa"/>
            </w:tcMar>
            <w:vAlign w:val="center"/>
          </w:tcPr>
          <w:p>
            <w:pPr>
              <w:pStyle w:val="TableContents"/>
              <w:shd w:fill="FFFFFF" w:val="clear"/>
              <w:spacing w:before="0" w:after="0"/>
              <w:ind w:left="0" w:right="0" w:hanging="0"/>
              <w:rPr/>
            </w:pPr>
            <w:hyperlink w:anchor="SPECIAL_NOTE_REGARDING_FORWARD_LOOKING">
              <w:r>
                <w:rPr>
                  <w:rStyle w:val="InternetLink"/>
                  <w:rFonts w:ascii="Arial" w:hAnsi="Arial"/>
                  <w:b/>
                  <w:i w:val="false"/>
                  <w:caps w:val="false"/>
                  <w:smallCaps w:val="false"/>
                  <w:sz w:val="20"/>
                  <w:u w:val="single"/>
                </w:rPr>
                <w:t>Special Note Regarding Forward-Looking Statements</w:t>
              </w:r>
            </w:hyperlink>
          </w:p>
        </w:tc>
        <w:tc>
          <w:tcPr>
            <w:tcW w:w="41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ii</w:t>
            </w:r>
          </w:p>
        </w:tc>
      </w:tr>
      <w:tr>
        <w:trPr/>
        <w:tc>
          <w:tcPr>
            <w:tcW w:w="785" w:type="dxa"/>
            <w:tcBorders/>
            <w:shd w:fill="FFFFFF" w:val="clear"/>
            <w:tcMar>
              <w:bottom w:w="0" w:type="dxa"/>
            </w:tcMar>
            <w:vAlign w:val="cente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PART I.</w:t>
            </w:r>
          </w:p>
        </w:tc>
        <w:tc>
          <w:tcPr>
            <w:tcW w:w="7760" w:type="dxa"/>
            <w:tcBorders/>
            <w:shd w:fill="FFFFFF" w:val="clear"/>
            <w:tcMar>
              <w:bottom w:w="0" w:type="dxa"/>
            </w:tcMar>
            <w:vAlign w:val="center"/>
          </w:tcPr>
          <w:p>
            <w:pPr>
              <w:pStyle w:val="TableContents"/>
              <w:spacing w:before="0" w:after="0"/>
              <w:ind w:left="0" w:right="0" w:hanging="0"/>
              <w:rPr/>
            </w:pPr>
            <w:hyperlink w:anchor="PART_IFINANCIAL_INFORMATION">
              <w:r>
                <w:rPr>
                  <w:rStyle w:val="InternetLink"/>
                  <w:rFonts w:ascii="Arial" w:hAnsi="Arial"/>
                  <w:b w:val="false"/>
                  <w:i w:val="false"/>
                  <w:caps w:val="false"/>
                  <w:smallCaps w:val="false"/>
                  <w:sz w:val="20"/>
                  <w:u w:val="single"/>
                </w:rPr>
                <w:t>FINANCIAL INFORMATION</w:t>
              </w:r>
            </w:hyperlink>
          </w:p>
        </w:tc>
        <w:tc>
          <w:tcPr>
            <w:tcW w:w="4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78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Item 1.</w:t>
            </w:r>
          </w:p>
        </w:tc>
        <w:tc>
          <w:tcPr>
            <w:tcW w:w="7760" w:type="dxa"/>
            <w:tcBorders/>
            <w:shd w:fill="FFFFFF" w:val="clear"/>
            <w:tcMar>
              <w:bottom w:w="0" w:type="dxa"/>
            </w:tcMar>
            <w:vAlign w:val="center"/>
          </w:tcPr>
          <w:p>
            <w:pPr>
              <w:pStyle w:val="TableContents"/>
              <w:spacing w:before="0" w:after="0"/>
              <w:ind w:left="0" w:right="0" w:hanging="0"/>
              <w:rPr/>
            </w:pPr>
            <w:hyperlink w:anchor="ITEM_1_FINANCIAL_STATEMENTS_UNAUDITED">
              <w:r>
                <w:rPr>
                  <w:rStyle w:val="InternetLink"/>
                  <w:rFonts w:ascii="Arial" w:hAnsi="Arial"/>
                  <w:b w:val="false"/>
                  <w:i w:val="false"/>
                  <w:caps w:val="false"/>
                  <w:smallCaps w:val="false"/>
                  <w:sz w:val="20"/>
                  <w:u w:val="single"/>
                </w:rPr>
                <w:t>Financial Statements (Unaudited)</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r>
      <w:tr>
        <w:trPr/>
        <w:tc>
          <w:tcPr>
            <w:tcW w:w="785"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7760" w:type="dxa"/>
            <w:tcBorders/>
            <w:shd w:fill="FFFFFF" w:val="clear"/>
            <w:tcMar>
              <w:bottom w:w="0" w:type="dxa"/>
            </w:tcMar>
            <w:vAlign w:val="center"/>
          </w:tcPr>
          <w:p>
            <w:pPr>
              <w:pStyle w:val="TableContents"/>
              <w:spacing w:before="0" w:after="0"/>
              <w:ind w:left="0" w:right="0" w:hanging="0"/>
              <w:rPr/>
            </w:pPr>
            <w:hyperlink w:anchor="CONDENSED_CONSOLIDATED_BALANCE_SHEETS">
              <w:r>
                <w:rPr>
                  <w:rStyle w:val="InternetLink"/>
                  <w:rFonts w:ascii="Arial" w:hAnsi="Arial"/>
                  <w:b w:val="false"/>
                  <w:i w:val="false"/>
                  <w:caps w:val="false"/>
                  <w:smallCaps w:val="false"/>
                  <w:sz w:val="20"/>
                  <w:u w:val="single"/>
                </w:rPr>
                <w:t>Condensed Consolidated Balance Sheets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r>
      <w:tr>
        <w:trPr/>
        <w:tc>
          <w:tcPr>
            <w:tcW w:w="785"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7760" w:type="dxa"/>
            <w:tcBorders/>
            <w:shd w:fill="FFFFFF" w:val="clear"/>
            <w:tcMar>
              <w:bottom w:w="0" w:type="dxa"/>
            </w:tcMar>
            <w:vAlign w:val="center"/>
          </w:tcPr>
          <w:p>
            <w:pPr>
              <w:pStyle w:val="TableContents"/>
              <w:spacing w:before="0" w:after="0"/>
              <w:ind w:left="0" w:right="0" w:hanging="0"/>
              <w:rPr/>
            </w:pPr>
            <w:hyperlink w:anchor="CONDENSED_CONSOLIDATED_STATEMENTS_OPERAT">
              <w:r>
                <w:rPr>
                  <w:rStyle w:val="InternetLink"/>
                  <w:rFonts w:ascii="Arial" w:hAnsi="Arial"/>
                  <w:b w:val="false"/>
                  <w:i w:val="false"/>
                  <w:caps w:val="false"/>
                  <w:smallCaps w:val="false"/>
                  <w:sz w:val="20"/>
                  <w:u w:val="single"/>
                </w:rPr>
                <w:t>Condensed Consolidated Statements of Operations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r>
      <w:tr>
        <w:trPr/>
        <w:tc>
          <w:tcPr>
            <w:tcW w:w="785"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7760" w:type="dxa"/>
            <w:tcBorders/>
            <w:shd w:fill="FFFFFF" w:val="clear"/>
            <w:tcMar>
              <w:bottom w:w="0" w:type="dxa"/>
            </w:tcMar>
            <w:vAlign w:val="center"/>
          </w:tcPr>
          <w:p>
            <w:pPr>
              <w:pStyle w:val="TableContents"/>
              <w:spacing w:before="0" w:after="0"/>
              <w:ind w:left="0" w:right="0" w:hanging="0"/>
              <w:rPr/>
            </w:pPr>
            <w:hyperlink w:anchor="CONDENSED_CONSOLIDATED_STATEMENTS_COMPRE">
              <w:r>
                <w:rPr>
                  <w:rStyle w:val="InternetLink"/>
                  <w:rFonts w:ascii="Arial" w:hAnsi="Arial"/>
                  <w:b w:val="false"/>
                  <w:i w:val="false"/>
                  <w:caps w:val="false"/>
                  <w:smallCaps w:val="false"/>
                  <w:sz w:val="20"/>
                  <w:u w:val="single"/>
                </w:rPr>
                <w:t>Condensed Consolidated Statements of Comprehensive Loss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r>
      <w:tr>
        <w:trPr/>
        <w:tc>
          <w:tcPr>
            <w:tcW w:w="785" w:type="dxa"/>
            <w:tcBorders/>
            <w:shd w:fill="FFFFFF" w:val="clear"/>
            <w:tcMar>
              <w:bottom w:w="0" w:type="dxa"/>
            </w:tcMar>
            <w:vAlign w:val="center"/>
          </w:tcPr>
          <w:p>
            <w:pPr>
              <w:pStyle w:val="TableContents"/>
              <w:spacing w:before="0" w:after="0"/>
              <w:ind w:left="137" w:right="0" w:hanging="0"/>
              <w:rPr/>
            </w:pPr>
            <w:r>
              <w:rPr/>
              <w:t> </w:t>
            </w:r>
          </w:p>
        </w:tc>
        <w:tc>
          <w:tcPr>
            <w:tcW w:w="7760" w:type="dxa"/>
            <w:tcBorders/>
            <w:shd w:fill="FFFFFF" w:val="clear"/>
            <w:tcMar>
              <w:bottom w:w="0" w:type="dxa"/>
            </w:tcMar>
            <w:vAlign w:val="center"/>
          </w:tcPr>
          <w:p>
            <w:pPr>
              <w:pStyle w:val="TableContents"/>
              <w:spacing w:before="0" w:after="0"/>
              <w:ind w:left="0" w:right="0" w:hanging="0"/>
              <w:rPr/>
            </w:pPr>
            <w:hyperlink w:anchor="CONSOLIDATED_STATEMENTS_STOCKHOLDERS_EQU">
              <w:r>
                <w:rPr>
                  <w:rStyle w:val="InternetLink"/>
                  <w:rFonts w:ascii="Arial" w:hAnsi="Arial"/>
                  <w:b w:val="false"/>
                  <w:i w:val="false"/>
                  <w:caps w:val="false"/>
                  <w:smallCaps w:val="false"/>
                  <w:sz w:val="20"/>
                  <w:u w:val="single"/>
                </w:rPr>
                <w:t>Condensed Consolidated Statements of Stockholders’ Equity</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r>
      <w:tr>
        <w:trPr/>
        <w:tc>
          <w:tcPr>
            <w:tcW w:w="785"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7760" w:type="dxa"/>
            <w:tcBorders/>
            <w:shd w:fill="FFFFFF" w:val="clear"/>
            <w:tcMar>
              <w:bottom w:w="0" w:type="dxa"/>
            </w:tcMar>
            <w:vAlign w:val="center"/>
          </w:tcPr>
          <w:p>
            <w:pPr>
              <w:pStyle w:val="TableContents"/>
              <w:spacing w:before="0" w:after="0"/>
              <w:ind w:left="0" w:right="0" w:hanging="0"/>
              <w:rPr/>
            </w:pPr>
            <w:hyperlink w:anchor="CONSOLIDATED_STATEMENTS_CASH_FLOWS">
              <w:r>
                <w:rPr>
                  <w:rStyle w:val="InternetLink"/>
                  <w:rFonts w:ascii="Arial" w:hAnsi="Arial"/>
                  <w:b w:val="false"/>
                  <w:i w:val="false"/>
                  <w:caps w:val="false"/>
                  <w:smallCaps w:val="false"/>
                  <w:sz w:val="20"/>
                  <w:u w:val="single"/>
                </w:rPr>
                <w:t>Condensed Consolidated Statements of Cash Flows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r>
      <w:tr>
        <w:trPr/>
        <w:tc>
          <w:tcPr>
            <w:tcW w:w="785" w:type="dxa"/>
            <w:tcBorders/>
            <w:shd w:fill="FFFFFF" w:val="clear"/>
            <w:tcMar>
              <w:bottom w:w="0" w:type="dxa"/>
            </w:tcMar>
            <w:vAlign w:val="center"/>
          </w:tcPr>
          <w:p>
            <w:pPr>
              <w:pStyle w:val="TableContents"/>
              <w:spacing w:before="0" w:after="0"/>
              <w:ind w:left="137" w:right="0" w:hanging="0"/>
              <w:rPr>
                <w:caps w:val="false"/>
                <w:smallCaps w:val="false"/>
              </w:rPr>
            </w:pPr>
            <w:r>
              <w:rPr>
                <w:caps w:val="false"/>
                <w:smallCaps w:val="false"/>
              </w:rPr>
              <w:t> </w:t>
            </w:r>
          </w:p>
        </w:tc>
        <w:tc>
          <w:tcPr>
            <w:tcW w:w="7760" w:type="dxa"/>
            <w:tcBorders/>
            <w:shd w:fill="FFFFFF" w:val="clear"/>
            <w:tcMar>
              <w:bottom w:w="0" w:type="dxa"/>
            </w:tcMar>
            <w:vAlign w:val="center"/>
          </w:tcPr>
          <w:p>
            <w:pPr>
              <w:pStyle w:val="TableContents"/>
              <w:spacing w:before="0" w:after="0"/>
              <w:ind w:left="0" w:right="0" w:hanging="0"/>
              <w:rPr/>
            </w:pPr>
            <w:hyperlink w:anchor="NOTES_TO_UNAUDITED_CONDENSED_CONSOLIDATE">
              <w:r>
                <w:rPr>
                  <w:rStyle w:val="InternetLink"/>
                  <w:rFonts w:ascii="Arial" w:hAnsi="Arial"/>
                  <w:b w:val="false"/>
                  <w:i w:val="false"/>
                  <w:caps w:val="false"/>
                  <w:smallCaps w:val="false"/>
                  <w:sz w:val="20"/>
                  <w:u w:val="single"/>
                </w:rPr>
                <w:t>Notes to Unaudited Condensed Consolidated Financial Statements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r>
      <w:tr>
        <w:trPr/>
        <w:tc>
          <w:tcPr>
            <w:tcW w:w="78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Item 2.</w:t>
            </w:r>
          </w:p>
        </w:tc>
        <w:tc>
          <w:tcPr>
            <w:tcW w:w="7760" w:type="dxa"/>
            <w:tcBorders/>
            <w:shd w:fill="FFFFFF" w:val="clear"/>
            <w:tcMar>
              <w:bottom w:w="0" w:type="dxa"/>
            </w:tcMar>
            <w:vAlign w:val="center"/>
          </w:tcPr>
          <w:p>
            <w:pPr>
              <w:pStyle w:val="TableContents"/>
              <w:spacing w:before="0" w:after="0"/>
              <w:ind w:left="0" w:right="0" w:hanging="0"/>
              <w:rPr/>
            </w:pPr>
            <w:hyperlink w:anchor="ITEM_2_MANAGEMENTS_DISCUSSION_ANALYSIS_F">
              <w:r>
                <w:rPr>
                  <w:rStyle w:val="InternetLink"/>
                  <w:rFonts w:ascii="Arial" w:hAnsi="Arial"/>
                  <w:b w:val="false"/>
                  <w:i w:val="false"/>
                  <w:caps w:val="false"/>
                  <w:smallCaps w:val="false"/>
                  <w:sz w:val="20"/>
                  <w:u w:val="single"/>
                </w:rPr>
                <w:t>Management’s Discussion and Analysis of Financial Condition and Results of Operations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w:t>
            </w:r>
          </w:p>
        </w:tc>
      </w:tr>
      <w:tr>
        <w:trPr/>
        <w:tc>
          <w:tcPr>
            <w:tcW w:w="78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Item 3.</w:t>
            </w:r>
          </w:p>
        </w:tc>
        <w:tc>
          <w:tcPr>
            <w:tcW w:w="7760" w:type="dxa"/>
            <w:tcBorders/>
            <w:shd w:fill="FFFFFF" w:val="clear"/>
            <w:tcMar>
              <w:bottom w:w="0" w:type="dxa"/>
            </w:tcMar>
            <w:vAlign w:val="center"/>
          </w:tcPr>
          <w:p>
            <w:pPr>
              <w:pStyle w:val="TableContents"/>
              <w:spacing w:before="0" w:after="0"/>
              <w:ind w:left="0" w:right="0" w:hanging="0"/>
              <w:rPr/>
            </w:pPr>
            <w:hyperlink w:anchor="ITEM_3_QUANTITATIVE_QUALITATIVE_DISCLOSU">
              <w:r>
                <w:rPr>
                  <w:rStyle w:val="InternetLink"/>
                  <w:rFonts w:ascii="Arial" w:hAnsi="Arial"/>
                  <w:b w:val="false"/>
                  <w:i w:val="false"/>
                  <w:caps w:val="false"/>
                  <w:smallCaps w:val="false"/>
                  <w:sz w:val="20"/>
                  <w:u w:val="single"/>
                </w:rPr>
                <w:t>Quantitative and Qualitative Disclosures About Market Risk</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w:t>
            </w:r>
          </w:p>
        </w:tc>
      </w:tr>
      <w:tr>
        <w:trPr/>
        <w:tc>
          <w:tcPr>
            <w:tcW w:w="78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Item 4.</w:t>
            </w:r>
          </w:p>
        </w:tc>
        <w:tc>
          <w:tcPr>
            <w:tcW w:w="7760" w:type="dxa"/>
            <w:tcBorders/>
            <w:shd w:fill="FFFFFF" w:val="clear"/>
            <w:tcMar>
              <w:bottom w:w="0" w:type="dxa"/>
            </w:tcMar>
          </w:tcPr>
          <w:p>
            <w:pPr>
              <w:pStyle w:val="TableContents"/>
              <w:spacing w:before="0" w:after="0"/>
              <w:ind w:left="0" w:right="0" w:hanging="0"/>
              <w:rPr/>
            </w:pPr>
            <w:hyperlink w:anchor="ITEM_4_CONTROLS_PROCEDURES">
              <w:r>
                <w:rPr>
                  <w:rStyle w:val="InternetLink"/>
                  <w:rFonts w:ascii="Arial" w:hAnsi="Arial"/>
                  <w:b w:val="false"/>
                  <w:i w:val="false"/>
                  <w:caps w:val="false"/>
                  <w:smallCaps w:val="false"/>
                  <w:sz w:val="20"/>
                  <w:u w:val="single"/>
                </w:rPr>
                <w:t>Controls and Procedures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w:t>
            </w:r>
          </w:p>
        </w:tc>
      </w:tr>
      <w:tr>
        <w:trPr/>
        <w:tc>
          <w:tcPr>
            <w:tcW w:w="785" w:type="dxa"/>
            <w:tcBorders/>
            <w:shd w:fill="FFFFFF" w:val="clear"/>
            <w:tcMar>
              <w:bottom w:w="0" w:type="dxa"/>
            </w:tcMar>
            <w:vAlign w:val="center"/>
          </w:tcPr>
          <w:p>
            <w:pPr>
              <w:pStyle w:val="TableContents"/>
              <w:spacing w:before="0" w:after="0"/>
              <w:ind w:left="0" w:right="0" w:hanging="0"/>
              <w:rPr>
                <w:rFonts w:ascii="Arial" w:hAnsi="Arial"/>
                <w:b/>
                <w:i w:val="false"/>
                <w:caps w:val="false"/>
                <w:smallCaps w:val="false"/>
                <w:sz w:val="20"/>
              </w:rPr>
            </w:pPr>
            <w:r>
              <w:rPr>
                <w:rFonts w:ascii="Arial" w:hAnsi="Arial"/>
                <w:b/>
                <w:i w:val="false"/>
                <w:caps w:val="false"/>
                <w:smallCaps w:val="false"/>
                <w:sz w:val="20"/>
              </w:rPr>
              <w:t>PART II.</w:t>
            </w:r>
          </w:p>
        </w:tc>
        <w:tc>
          <w:tcPr>
            <w:tcW w:w="7760" w:type="dxa"/>
            <w:tcBorders/>
            <w:shd w:fill="FFFFFF" w:val="clear"/>
            <w:tcMar>
              <w:bottom w:w="0" w:type="dxa"/>
            </w:tcMar>
            <w:vAlign w:val="center"/>
          </w:tcPr>
          <w:p>
            <w:pPr>
              <w:pStyle w:val="TableContents"/>
              <w:spacing w:before="0" w:after="0"/>
              <w:ind w:left="0" w:right="0" w:hanging="0"/>
              <w:rPr/>
            </w:pPr>
            <w:hyperlink w:anchor="PART_IIOR_INFORMATION">
              <w:r>
                <w:rPr>
                  <w:rStyle w:val="InternetLink"/>
                  <w:rFonts w:ascii="Arial" w:hAnsi="Arial"/>
                  <w:b w:val="false"/>
                  <w:i w:val="false"/>
                  <w:caps w:val="false"/>
                  <w:smallCaps w:val="false"/>
                  <w:sz w:val="20"/>
                  <w:u w:val="single"/>
                </w:rPr>
                <w:t>OTHER INFORMATION</w:t>
              </w:r>
            </w:hyperlink>
          </w:p>
        </w:tc>
        <w:tc>
          <w:tcPr>
            <w:tcW w:w="410" w:type="dxa"/>
            <w:tcBorders/>
            <w:shd w:fill="FFFFFF" w:val="clear"/>
            <w:tcMar>
              <w:bottom w:w="0" w:type="dxa"/>
            </w:tcMar>
            <w:vAlign w:val="bottom"/>
          </w:tcPr>
          <w:p>
            <w:pPr>
              <w:pStyle w:val="TableContents"/>
              <w:spacing w:before="0" w:after="0"/>
              <w:ind w:left="0" w:right="0" w:hanging="0"/>
              <w:jc w:val="right"/>
              <w:rPr/>
            </w:pPr>
            <w:r>
              <w:rPr/>
              <w:t> </w:t>
            </w:r>
          </w:p>
        </w:tc>
      </w:tr>
      <w:tr>
        <w:trPr/>
        <w:tc>
          <w:tcPr>
            <w:tcW w:w="78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Item 1.</w:t>
            </w:r>
          </w:p>
        </w:tc>
        <w:tc>
          <w:tcPr>
            <w:tcW w:w="7760" w:type="dxa"/>
            <w:tcBorders/>
            <w:shd w:fill="FFFFFF" w:val="clear"/>
            <w:tcMar>
              <w:bottom w:w="0" w:type="dxa"/>
            </w:tcMar>
            <w:vAlign w:val="center"/>
          </w:tcPr>
          <w:p>
            <w:pPr>
              <w:pStyle w:val="TableContents"/>
              <w:spacing w:before="0" w:after="0"/>
              <w:ind w:left="0" w:right="0" w:hanging="0"/>
              <w:rPr/>
            </w:pPr>
            <w:hyperlink w:anchor="ITEM_1_LEGAL_PROCEEDINGS">
              <w:r>
                <w:rPr>
                  <w:rStyle w:val="InternetLink"/>
                  <w:rFonts w:ascii="Arial" w:hAnsi="Arial"/>
                  <w:b w:val="false"/>
                  <w:i w:val="false"/>
                  <w:caps w:val="false"/>
                  <w:smallCaps w:val="false"/>
                  <w:sz w:val="20"/>
                  <w:u w:val="single"/>
                </w:rPr>
                <w:t>Legal Proceedings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w:t>
            </w:r>
          </w:p>
        </w:tc>
      </w:tr>
      <w:tr>
        <w:trPr/>
        <w:tc>
          <w:tcPr>
            <w:tcW w:w="78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Item 1A.</w:t>
            </w:r>
          </w:p>
        </w:tc>
        <w:tc>
          <w:tcPr>
            <w:tcW w:w="7760" w:type="dxa"/>
            <w:tcBorders/>
            <w:shd w:fill="FFFFFF" w:val="clear"/>
            <w:tcMar>
              <w:bottom w:w="0" w:type="dxa"/>
            </w:tcMar>
            <w:vAlign w:val="center"/>
          </w:tcPr>
          <w:p>
            <w:pPr>
              <w:pStyle w:val="TableContents"/>
              <w:spacing w:before="0" w:after="0"/>
              <w:ind w:left="0" w:right="0" w:hanging="0"/>
              <w:rPr/>
            </w:pPr>
            <w:hyperlink w:anchor="ITEM_1A_RISK_FACTORS">
              <w:r>
                <w:rPr>
                  <w:rStyle w:val="InternetLink"/>
                  <w:rFonts w:ascii="Arial" w:hAnsi="Arial"/>
                  <w:b w:val="false"/>
                  <w:i w:val="false"/>
                  <w:caps w:val="false"/>
                  <w:smallCaps w:val="false"/>
                  <w:sz w:val="20"/>
                  <w:u w:val="single"/>
                </w:rPr>
                <w:t>Risk Factors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w:t>
            </w:r>
          </w:p>
        </w:tc>
      </w:tr>
      <w:tr>
        <w:trPr/>
        <w:tc>
          <w:tcPr>
            <w:tcW w:w="78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Item 2.</w:t>
            </w:r>
          </w:p>
        </w:tc>
        <w:tc>
          <w:tcPr>
            <w:tcW w:w="7760" w:type="dxa"/>
            <w:tcBorders/>
            <w:shd w:fill="FFFFFF" w:val="clear"/>
            <w:tcMar>
              <w:bottom w:w="0" w:type="dxa"/>
            </w:tcMar>
            <w:vAlign w:val="center"/>
          </w:tcPr>
          <w:p>
            <w:pPr>
              <w:pStyle w:val="TableContents"/>
              <w:spacing w:before="0" w:after="0"/>
              <w:ind w:left="0" w:right="0" w:hanging="0"/>
              <w:rPr/>
            </w:pPr>
            <w:hyperlink w:anchor="ITEM_2_UNREGISTERED_SALES_EQUITY_SECURIT">
              <w:r>
                <w:rPr>
                  <w:rStyle w:val="InternetLink"/>
                  <w:rFonts w:ascii="Arial" w:hAnsi="Arial"/>
                  <w:b w:val="false"/>
                  <w:i w:val="false"/>
                  <w:caps w:val="false"/>
                  <w:smallCaps w:val="false"/>
                  <w:sz w:val="20"/>
                  <w:u w:val="single"/>
                </w:rPr>
                <w:t>Unregistered Sales of Equity Securities and Use of Proceeds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w:t>
            </w:r>
          </w:p>
        </w:tc>
      </w:tr>
      <w:tr>
        <w:trPr/>
        <w:tc>
          <w:tcPr>
            <w:tcW w:w="785" w:type="dxa"/>
            <w:tcBorders/>
            <w:shd w:fill="FFFFFF" w:val="clear"/>
            <w:tcMar>
              <w:bottom w:w="0" w:type="dxa"/>
            </w:tcMar>
            <w:vAlign w:val="cente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Item 6.</w:t>
            </w:r>
          </w:p>
        </w:tc>
        <w:tc>
          <w:tcPr>
            <w:tcW w:w="7760" w:type="dxa"/>
            <w:tcBorders/>
            <w:shd w:fill="FFFFFF" w:val="clear"/>
            <w:tcMar>
              <w:bottom w:w="0" w:type="dxa"/>
            </w:tcMar>
            <w:vAlign w:val="center"/>
          </w:tcPr>
          <w:p>
            <w:pPr>
              <w:pStyle w:val="TableContents"/>
              <w:spacing w:before="0" w:after="0"/>
              <w:ind w:left="0" w:right="0" w:hanging="0"/>
              <w:rPr/>
            </w:pPr>
            <w:hyperlink w:anchor="ITEM_6_EXHIBITS">
              <w:r>
                <w:rPr>
                  <w:rStyle w:val="InternetLink"/>
                  <w:rFonts w:ascii="Arial" w:hAnsi="Arial"/>
                  <w:b w:val="false"/>
                  <w:i w:val="false"/>
                  <w:caps w:val="false"/>
                  <w:smallCaps w:val="false"/>
                  <w:sz w:val="20"/>
                  <w:u w:val="single"/>
                </w:rPr>
                <w:t>Exhibits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w:t>
            </w:r>
          </w:p>
        </w:tc>
      </w:tr>
      <w:tr>
        <w:trPr/>
        <w:tc>
          <w:tcPr>
            <w:tcW w:w="8545" w:type="dxa"/>
            <w:gridSpan w:val="2"/>
            <w:tcBorders/>
            <w:shd w:fill="FFFFFF" w:val="clear"/>
            <w:tcMar>
              <w:bottom w:w="0" w:type="dxa"/>
            </w:tcMar>
            <w:vAlign w:val="center"/>
          </w:tcPr>
          <w:p>
            <w:pPr>
              <w:pStyle w:val="TableContents"/>
              <w:spacing w:before="0" w:after="0"/>
              <w:ind w:left="0" w:right="0" w:hanging="0"/>
              <w:rPr/>
            </w:pPr>
            <w:hyperlink w:anchor="Signatures">
              <w:r>
                <w:rPr>
                  <w:rStyle w:val="InternetLink"/>
                  <w:rFonts w:ascii="Arial" w:hAnsi="Arial"/>
                  <w:b w:val="false"/>
                  <w:i w:val="false"/>
                  <w:caps w:val="false"/>
                  <w:smallCaps w:val="false"/>
                  <w:sz w:val="20"/>
                  <w:u w:val="single"/>
                </w:rPr>
                <w:t>Signatures</w:t>
              </w:r>
            </w:hyperlink>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w:t>
            </w:r>
          </w:p>
        </w:tc>
      </w:tr>
    </w:tbl>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i</w:t>
      </w:r>
    </w:p>
    <w:p>
      <w:pPr>
        <w:pStyle w:val="HorizontalLine"/>
        <w:rPr/>
      </w:pPr>
      <w:r>
        <w:rPr/>
      </w:r>
    </w:p>
    <w:p>
      <w:pPr>
        <w:pStyle w:val="TextBody"/>
        <w:spacing w:before="0" w:after="0"/>
        <w:rPr/>
      </w:pPr>
      <w:r>
        <w:rPr/>
        <w:t> </w:t>
      </w:r>
    </w:p>
    <w:p>
      <w:pPr>
        <w:pStyle w:val="TextBody"/>
        <w:shd w:fill="FFFFFF" w:val="clear"/>
        <w:spacing w:before="0" w:after="0"/>
        <w:jc w:val="center"/>
        <w:rPr>
          <w:rFonts w:ascii="Arial" w:hAnsi="Arial"/>
          <w:b/>
          <w:i w:val="false"/>
          <w:caps w:val="false"/>
          <w:smallCaps w:val="false"/>
          <w:color w:val="000000"/>
          <w:sz w:val="20"/>
        </w:rPr>
      </w:pPr>
      <w:bookmarkStart w:id="2" w:name="SPECIAL_NOTE_REGARDING_FORWARD_LOOKING"/>
      <w:bookmarkEnd w:id="2"/>
      <w:r>
        <w:rPr>
          <w:rFonts w:ascii="Arial" w:hAnsi="Arial"/>
          <w:b/>
          <w:i w:val="false"/>
          <w:caps w:val="false"/>
          <w:smallCaps w:val="false"/>
          <w:color w:val="000000"/>
          <w:sz w:val="20"/>
        </w:rPr>
        <w:t>SPECIAL NOTE REGARDING FORWARD-LOOKING STATEMENTS</w:t>
      </w:r>
    </w:p>
    <w:p>
      <w:pPr>
        <w:pStyle w:val="TextBody"/>
        <w:shd w:fill="FFFFFF" w:val="clear"/>
        <w:spacing w:before="40" w:after="0"/>
        <w:rPr/>
      </w:pPr>
      <w:r>
        <w:rPr/>
        <w:t> </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highlight w:val="white"/>
        </w:rPr>
        <w:t xml:space="preserve">This Quarterly Report on Form 10-Q contains forward-looking statements within the meaning of Section 27A of the Securities Act of 1933, as amended ("Securities Act"), and Section 21E of the Securities Exchange Act of 1934, as amended ("Exchange Act"), which statements involve substantial risks and uncertainties. </w:t>
      </w:r>
      <w:r>
        <w:rPr>
          <w:rFonts w:ascii="Arial" w:hAnsi="Arial"/>
          <w:b w:val="false"/>
          <w:i w:val="false"/>
          <w:caps w:val="false"/>
          <w:smallCaps w:val="false"/>
          <w:color w:val="000000"/>
          <w:sz w:val="20"/>
        </w:rPr>
        <w:t>Forward-looking statements include all statements that are not historical facts such as information concerning our possible or assumed future results of operations and expenses, new or planned features or services, management strategies and plans, competitive position, business environment and potential growth strategies and opportunities. In some cases, forward-looking statements can be identified by terms such as “anticipates,” “believes,” “could,” “estimates,” “expects,” “forecast,” “foresee,” “intends,” “likely,” “may,” “plans,” “potential,” “predicts,” “projects,” “seeks,” “should,” “will,” “would” or similar expressions and the negatives of those terms.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w:t>
      </w:r>
      <w:r>
        <w:rPr>
          <w:rFonts w:ascii="Arial" w:hAnsi="Arial"/>
          <w:b w:val="false"/>
          <w:i w:val="false"/>
          <w:caps w:val="false"/>
          <w:smallCaps w:val="false"/>
          <w:color w:val="000000"/>
          <w:sz w:val="20"/>
          <w:highlight w:val="white"/>
        </w:rPr>
        <w:t>Risk Factors</w:t>
      </w:r>
      <w:r>
        <w:rPr>
          <w:rFonts w:ascii="Arial" w:hAnsi="Arial"/>
          <w:b w:val="false"/>
          <w:i w:val="false"/>
          <w:caps w:val="false"/>
          <w:smallCaps w:val="false"/>
          <w:color w:val="000000"/>
          <w:sz w:val="20"/>
        </w:rPr>
        <w:t xml:space="preserve">” in this Quarterly Report on Form 10-Q, as well as in our condensed consolidated financial statements, related notes, and the other information appearing elsewhere in this Quarterly Report on Form 10-Q and our other filings with the Securities and Exchange Commission.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You should read this Quarterly Report on Form 10-Q and the documents that we reference in this Quarterly Report on Form 10-Q and have filed with the Securities and Exchange Commission as exhibits to Quarterly Report on Form 10-Q with the understanding that our actual future results, levels of activity, performance, and events and circumstances may be materially different from what we expect.</w:t>
      </w:r>
    </w:p>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ii</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20"/>
        </w:rPr>
      </w:pPr>
      <w:bookmarkStart w:id="3" w:name="PART_IFINANCIAL_INFORMATION"/>
      <w:bookmarkEnd w:id="3"/>
      <w:r>
        <w:rPr>
          <w:rFonts w:ascii="Arial" w:hAnsi="Arial"/>
          <w:b/>
          <w:i w:val="false"/>
          <w:caps w:val="false"/>
          <w:smallCaps w:val="false"/>
          <w:sz w:val="20"/>
        </w:rPr>
        <w:t>PART I—FINANCIAL INFORMATION</w:t>
      </w:r>
    </w:p>
    <w:p>
      <w:pPr>
        <w:pStyle w:val="TextBody"/>
        <w:spacing w:before="120" w:after="0"/>
        <w:rPr>
          <w:rFonts w:ascii="Arial" w:hAnsi="Arial"/>
          <w:b/>
          <w:i w:val="false"/>
          <w:caps w:val="false"/>
          <w:smallCaps w:val="false"/>
          <w:sz w:val="20"/>
        </w:rPr>
      </w:pPr>
      <w:bookmarkStart w:id="4" w:name="ITEM_1_FINANCIAL_STATEMENTS_UNAUDITED"/>
      <w:bookmarkEnd w:id="4"/>
      <w:r>
        <w:rPr>
          <w:rFonts w:ascii="Arial" w:hAnsi="Arial"/>
          <w:b/>
          <w:i w:val="false"/>
          <w:caps w:val="false"/>
          <w:smallCaps w:val="false"/>
          <w:sz w:val="20"/>
        </w:rPr>
        <w:t>Item 1. Financial Statements (Unaudited)</w:t>
      </w:r>
    </w:p>
    <w:p>
      <w:pPr>
        <w:pStyle w:val="TextBody"/>
        <w:spacing w:before="360" w:after="0"/>
        <w:jc w:val="center"/>
        <w:rPr>
          <w:rFonts w:ascii="Arial" w:hAnsi="Arial"/>
          <w:b/>
          <w:i w:val="false"/>
          <w:caps w:val="false"/>
          <w:smallCaps w:val="false"/>
          <w:sz w:val="20"/>
        </w:rPr>
      </w:pPr>
      <w:r>
        <w:rPr>
          <w:rFonts w:ascii="Arial" w:hAnsi="Arial"/>
          <w:b/>
          <w:i w:val="false"/>
          <w:caps w:val="false"/>
          <w:smallCaps w:val="false"/>
          <w:sz w:val="20"/>
        </w:rPr>
        <w:t>CONTEXTLOGIC INC.</w:t>
      </w:r>
    </w:p>
    <w:p>
      <w:pPr>
        <w:pStyle w:val="TextBody"/>
        <w:spacing w:before="0" w:after="0"/>
        <w:jc w:val="center"/>
        <w:rPr>
          <w:rFonts w:ascii="Arial" w:hAnsi="Arial"/>
          <w:b/>
          <w:i w:val="false"/>
          <w:caps w:val="false"/>
          <w:smallCaps w:val="false"/>
          <w:sz w:val="20"/>
        </w:rPr>
      </w:pPr>
      <w:bookmarkStart w:id="5" w:name="CONDENSED_CONSOLIDATED_BALANCE_SHEETS"/>
      <w:bookmarkEnd w:id="5"/>
      <w:r>
        <w:rPr>
          <w:rFonts w:ascii="Arial" w:hAnsi="Arial"/>
          <w:b/>
          <w:i w:val="false"/>
          <w:caps w:val="false"/>
          <w:smallCaps w:val="false"/>
          <w:sz w:val="20"/>
        </w:rPr>
        <w:t xml:space="preserve">CONDENSED CONSOLIDATED BALANCE SHEETS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(in millions, except par value)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636"/>
        <w:gridCol w:w="60"/>
        <w:gridCol w:w="164"/>
        <w:gridCol w:w="739"/>
        <w:gridCol w:w="80"/>
        <w:gridCol w:w="60"/>
        <w:gridCol w:w="251"/>
        <w:gridCol w:w="1132"/>
        <w:gridCol w:w="83"/>
      </w:tblGrid>
      <w:tr>
        <w:trPr/>
        <w:tc>
          <w:tcPr>
            <w:tcW w:w="7636"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3"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As of 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3"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As of December 31,</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3"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3"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CFF0FC" w:val="cle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Current assets: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and cash equivalents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3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3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1,965</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Marketable securities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164</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Funds receivable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83</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bottom w:val="single" w:sz="6" w:space="0" w:color="000000"/>
            </w:tcBorders>
            <w:shd w:fill="FFFFFF"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Prepaid expenses and other current assets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102</w:t>
            </w:r>
          </w:p>
        </w:tc>
        <w:tc>
          <w:tcPr>
            <w:tcW w:w="8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CFF0FC"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current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1,690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2,314</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Property and equipment,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Right-of-use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Marketable securities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bottom w:val="single" w:sz="6" w:space="0" w:color="000000"/>
            </w:tcBorders>
            <w:shd w:fill="CFF0FC"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assets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bottom w:val="doub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assets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3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1,751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3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2,397</w:t>
            </w:r>
          </w:p>
        </w:tc>
        <w:tc>
          <w:tcPr>
            <w:tcW w:w="83"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CFF0FC" w:val="cle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Liabilities and Stockholders’ Equity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Current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Accounts payable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3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3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434</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Merchants payable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454</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Refunds liability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bottom w:val="single" w:sz="6" w:space="0" w:color="000000"/>
            </w:tcBorders>
            <w:shd w:fill="FFFFFF"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Accrued liabilities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367</w:t>
            </w:r>
          </w:p>
        </w:tc>
        <w:tc>
          <w:tcPr>
            <w:tcW w:w="8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CFF0FC"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current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1,332</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Lease liabilities, non-current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w:t>
            </w:r>
          </w:p>
        </w:tc>
        <w:tc>
          <w:tcPr>
            <w:tcW w:w="8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bottom w:val="single" w:sz="6" w:space="0" w:color="000000"/>
            </w:tcBorders>
            <w:shd w:fill="CFF0FC"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liabilities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889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1,370</w:t>
            </w:r>
          </w:p>
        </w:tc>
        <w:tc>
          <w:tcPr>
            <w:tcW w:w="8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Commitments and contingencies (Note 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Stockholders’ equity: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FFFFFF" w:val="clear"/>
            <w:vAlign w:val="cente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Preferred stock, $0.0001 par value: 100 shares authorized as of June 30, 2021 and December 31, 2020; No shares issued and outstanding as of June 30, 2021 and December 31, 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CFF0FC" w:val="clear"/>
            <w:vAlign w:val="cente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Common stock, $0.0001 par value: 3,500 (3,000 Class A, 500 Class B) shares authorized as of June 30, 2021 and December 31, 2020; 627 (555 Class A, 72 Class B) and 587 (478 Class A, 109 Class B) shares issued and outstanding as of June 30, 2021 and December 31, 2020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Additional paid-in capital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3,285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3,210</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Accumulated other comprehensive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bottom w:val="single" w:sz="6" w:space="0" w:color="000000"/>
            </w:tcBorders>
            <w:shd w:fill="FFFFFF"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Accumulated deficit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(2,423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(2,184</w:t>
            </w:r>
          </w:p>
        </w:tc>
        <w:tc>
          <w:tcPr>
            <w:tcW w:w="83"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7636" w:type="dxa"/>
            <w:tcBorders>
              <w:bottom w:val="single" w:sz="6" w:space="0" w:color="000000"/>
            </w:tcBorders>
            <w:shd w:fill="CFF0FC"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stockholders’ equity</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2"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1,027</w:t>
            </w:r>
          </w:p>
        </w:tc>
        <w:tc>
          <w:tcPr>
            <w:tcW w:w="8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636" w:type="dxa"/>
            <w:tcBorders>
              <w:bottom w:val="doub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liabilities and stockholders’ equity</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3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1,751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3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2,397</w:t>
            </w:r>
          </w:p>
        </w:tc>
        <w:tc>
          <w:tcPr>
            <w:tcW w:w="83"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Arial" w:hAnsi="Arial"/>
          <w:b w:val="false"/>
          <w:i w:val="false"/>
          <w:caps w:val="false"/>
          <w:smallCaps w:val="false"/>
          <w:sz w:val="20"/>
        </w:rPr>
      </w:pPr>
      <w:r>
        <w:rPr>
          <w:rFonts w:ascii="Arial" w:hAnsi="Arial"/>
          <w:b w:val="false"/>
          <w:i w:val="false"/>
          <w:caps w:val="false"/>
          <w:smallCaps w:val="false"/>
          <w:sz w:val="20"/>
        </w:rPr>
        <w:t>The accompanying notes are an integral part of these condensed consolidated financial statements.</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CONTEXTLOGIC INC.</w:t>
      </w:r>
    </w:p>
    <w:p>
      <w:pPr>
        <w:pStyle w:val="TextBody"/>
        <w:spacing w:before="0" w:after="0"/>
        <w:jc w:val="center"/>
        <w:rPr>
          <w:rFonts w:ascii="Arial" w:hAnsi="Arial"/>
          <w:b/>
          <w:i w:val="false"/>
          <w:caps w:val="false"/>
          <w:smallCaps w:val="false"/>
          <w:sz w:val="20"/>
        </w:rPr>
      </w:pPr>
      <w:bookmarkStart w:id="6" w:name="CONDENSED_CONSOLIDATED_STATEMENTS_OPERAT"/>
      <w:bookmarkEnd w:id="6"/>
      <w:r>
        <w:rPr>
          <w:rFonts w:ascii="Arial" w:hAnsi="Arial"/>
          <w:b/>
          <w:i w:val="false"/>
          <w:caps w:val="false"/>
          <w:smallCaps w:val="false"/>
          <w:sz w:val="20"/>
        </w:rPr>
        <w:t xml:space="preserve">CONDENSED CONSOLIDATED STATEMENTS OF OPERATIONS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(in millions, except per share data) </w:t>
      </w:r>
    </w:p>
    <w:p>
      <w:pPr>
        <w:pStyle w:val="TextBody"/>
        <w:spacing w:before="0" w:after="0"/>
        <w:jc w:val="center"/>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373"/>
        <w:gridCol w:w="60"/>
        <w:gridCol w:w="178"/>
        <w:gridCol w:w="654"/>
        <w:gridCol w:w="114"/>
        <w:gridCol w:w="86"/>
        <w:gridCol w:w="178"/>
        <w:gridCol w:w="654"/>
        <w:gridCol w:w="80"/>
        <w:gridCol w:w="60"/>
        <w:gridCol w:w="151"/>
        <w:gridCol w:w="606"/>
        <w:gridCol w:w="96"/>
        <w:gridCol w:w="72"/>
        <w:gridCol w:w="151"/>
        <w:gridCol w:w="606"/>
        <w:gridCol w:w="86"/>
      </w:tblGrid>
      <w:tr>
        <w:trPr/>
        <w:tc>
          <w:tcPr>
            <w:tcW w:w="6373"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4"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2"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tc>
        <w:tc>
          <w:tcPr>
            <w:tcW w:w="8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4"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2"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8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2"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1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2"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7"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9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7"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4"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656</w:t>
            </w:r>
          </w:p>
        </w:tc>
        <w:tc>
          <w:tcPr>
            <w:tcW w:w="11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4"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6"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1,428</w:t>
            </w:r>
          </w:p>
        </w:tc>
        <w:tc>
          <w:tcPr>
            <w:tcW w:w="9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6"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1,141</w:t>
            </w:r>
          </w:p>
        </w:tc>
        <w:tc>
          <w:tcPr>
            <w:tcW w:w="8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Cost of revenue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272</w:t>
            </w:r>
          </w:p>
        </w:tc>
        <w:tc>
          <w:tcPr>
            <w:tcW w:w="11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607</w:t>
            </w:r>
          </w:p>
        </w:tc>
        <w:tc>
          <w:tcPr>
            <w:tcW w:w="9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364</w:t>
            </w:r>
          </w:p>
        </w:tc>
        <w:tc>
          <w:tcPr>
            <w:tcW w:w="8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Gross profit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384</w:t>
            </w:r>
          </w:p>
        </w:tc>
        <w:tc>
          <w:tcPr>
            <w:tcW w:w="11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821</w:t>
            </w:r>
          </w:p>
        </w:tc>
        <w:tc>
          <w:tcPr>
            <w:tcW w:w="9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777</w:t>
            </w:r>
          </w:p>
        </w:tc>
        <w:tc>
          <w:tcPr>
            <w:tcW w:w="8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Sales and marketing</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396</w:t>
            </w:r>
          </w:p>
        </w:tc>
        <w:tc>
          <w:tcPr>
            <w:tcW w:w="11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866</w:t>
            </w:r>
          </w:p>
        </w:tc>
        <w:tc>
          <w:tcPr>
            <w:tcW w:w="9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739</w:t>
            </w:r>
          </w:p>
        </w:tc>
        <w:tc>
          <w:tcPr>
            <w:tcW w:w="8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 development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52</w:t>
            </w:r>
          </w:p>
        </w:tc>
        <w:tc>
          <w:tcPr>
            <w:tcW w:w="11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103</w:t>
            </w:r>
          </w:p>
        </w:tc>
        <w:tc>
          <w:tcPr>
            <w:tcW w:w="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w:t>
            </w:r>
          </w:p>
        </w:tc>
        <w:tc>
          <w:tcPr>
            <w:tcW w:w="8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bottom w:val="sing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50</w:t>
            </w:r>
          </w:p>
        </w:tc>
        <w:tc>
          <w:tcPr>
            <w:tcW w:w="114"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92</w:t>
            </w:r>
          </w:p>
        </w:tc>
        <w:tc>
          <w:tcPr>
            <w:tcW w:w="9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w:t>
            </w:r>
          </w:p>
        </w:tc>
        <w:tc>
          <w:tcPr>
            <w:tcW w:w="8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bottom w:val="single" w:sz="6" w:space="0" w:color="000000"/>
            </w:tcBorders>
            <w:shd w:fill="FFFFFF" w:val="clear"/>
            <w:tcMar>
              <w:bottom w:w="28"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operating expenses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498</w:t>
            </w:r>
          </w:p>
        </w:tc>
        <w:tc>
          <w:tcPr>
            <w:tcW w:w="11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1,061</w:t>
            </w:r>
          </w:p>
        </w:tc>
        <w:tc>
          <w:tcPr>
            <w:tcW w:w="9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819</w:t>
            </w:r>
          </w:p>
        </w:tc>
        <w:tc>
          <w:tcPr>
            <w:tcW w:w="8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Income (loss) from operations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(114</w:t>
            </w:r>
          </w:p>
        </w:tc>
        <w:tc>
          <w:tcPr>
            <w:tcW w:w="11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(240</w:t>
            </w:r>
          </w:p>
        </w:tc>
        <w:tc>
          <w:tcPr>
            <w:tcW w:w="96"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w:t>
            </w:r>
          </w:p>
        </w:tc>
        <w:tc>
          <w:tcPr>
            <w:tcW w:w="86"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373"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income (expense),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and other income,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11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9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8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Remeasurement of redeemable convertible preferred stock warrant liability</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86"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373"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before provision for income taxes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w:t>
            </w:r>
          </w:p>
        </w:tc>
        <w:tc>
          <w:tcPr>
            <w:tcW w:w="11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(232</w:t>
            </w:r>
          </w:p>
        </w:tc>
        <w:tc>
          <w:tcPr>
            <w:tcW w:w="96"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86"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373"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Provision for income taxes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11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9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73" w:type="dxa"/>
            <w:tcBorders>
              <w:bottom w:val="double" w:sz="6" w:space="0" w:color="000000"/>
            </w:tcBorders>
            <w:shd w:fill="CFF0FC"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(111</w:t>
            </w:r>
          </w:p>
        </w:tc>
        <w:tc>
          <w:tcPr>
            <w:tcW w:w="114"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6"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(239</w:t>
            </w:r>
          </w:p>
        </w:tc>
        <w:tc>
          <w:tcPr>
            <w:tcW w:w="96"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2"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86"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373" w:type="dxa"/>
            <w:tcBorders>
              <w:bottom w:val="doub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 per share, basic and diluted</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4"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(0.18</w:t>
            </w:r>
          </w:p>
        </w:tc>
        <w:tc>
          <w:tcPr>
            <w:tcW w:w="114"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6"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4"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(0.10</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6"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(0.38</w:t>
            </w:r>
          </w:p>
        </w:tc>
        <w:tc>
          <w:tcPr>
            <w:tcW w:w="96"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2"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6"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(0.73</w:t>
            </w:r>
          </w:p>
        </w:tc>
        <w:tc>
          <w:tcPr>
            <w:tcW w:w="86"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373"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Weighted-average shares used in computing net loss per share, basic and diluted</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114"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621</w:t>
            </w:r>
          </w:p>
        </w:tc>
        <w:tc>
          <w:tcPr>
            <w:tcW w:w="96"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6"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w:t>
            </w:r>
          </w:p>
        </w:tc>
        <w:tc>
          <w:tcPr>
            <w:tcW w:w="86"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center"/>
        <w:rPr/>
      </w:pPr>
      <w:r>
        <w:rPr/>
        <w:t> </w:t>
      </w:r>
    </w:p>
    <w:p>
      <w:pPr>
        <w:pStyle w:val="TextBody"/>
        <w:spacing w:before="0" w:after="0"/>
        <w:jc w:val="center"/>
        <w:rPr>
          <w:rFonts w:ascii="Arial" w:hAnsi="Arial"/>
          <w:b w:val="false"/>
          <w:i w:val="false"/>
          <w:caps w:val="false"/>
          <w:smallCaps w:val="false"/>
          <w:sz w:val="20"/>
        </w:rPr>
      </w:pPr>
      <w:r>
        <w:rPr>
          <w:rFonts w:ascii="Arial" w:hAnsi="Arial"/>
          <w:b w:val="false"/>
          <w:i w:val="false"/>
          <w:caps w:val="false"/>
          <w:smallCaps w:val="false"/>
          <w:sz w:val="20"/>
        </w:rPr>
        <w:t>The accompanying notes are an integral part of these condensed consolidated financial statements.</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CONTEXTLOGIC INC.</w:t>
      </w:r>
    </w:p>
    <w:p>
      <w:pPr>
        <w:pStyle w:val="TextBody"/>
        <w:spacing w:before="0" w:after="0"/>
        <w:jc w:val="center"/>
        <w:rPr>
          <w:rFonts w:ascii="Arial" w:hAnsi="Arial"/>
          <w:b/>
          <w:i w:val="false"/>
          <w:caps w:val="false"/>
          <w:smallCaps w:val="false"/>
          <w:sz w:val="20"/>
        </w:rPr>
      </w:pPr>
      <w:bookmarkStart w:id="7" w:name="CONDENSED_CONSOLIDATED_STATEMENTS_COMPRE"/>
      <w:bookmarkEnd w:id="7"/>
      <w:r>
        <w:rPr>
          <w:rFonts w:ascii="Arial" w:hAnsi="Arial"/>
          <w:b/>
          <w:i w:val="false"/>
          <w:caps w:val="false"/>
          <w:smallCaps w:val="false"/>
          <w:sz w:val="20"/>
        </w:rPr>
        <w:t xml:space="preserve">CONDENSED CONSOLIDATED STATEMENTS OF COMPREHENSIVE LOSS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(in millions) </w:t>
      </w:r>
    </w:p>
    <w:p>
      <w:pPr>
        <w:pStyle w:val="TextBody"/>
        <w:spacing w:before="0" w:after="0"/>
        <w:jc w:val="center"/>
        <w:rPr/>
      </w:pPr>
      <w:r>
        <w:rPr/>
        <w:t> </w:t>
      </w:r>
    </w:p>
    <w:tbl>
      <w:tblPr>
        <w:tblW w:w="7805" w:type="dxa"/>
        <w:jc w:val="left"/>
        <w:tblInd w:w="0" w:type="dxa"/>
        <w:tblCellMar>
          <w:top w:w="0" w:type="dxa"/>
          <w:left w:w="0" w:type="dxa"/>
          <w:bottom w:w="0" w:type="dxa"/>
          <w:right w:w="0" w:type="dxa"/>
        </w:tblCellMar>
      </w:tblPr>
      <w:tblGrid>
        <w:gridCol w:w="3845"/>
        <w:gridCol w:w="60"/>
        <w:gridCol w:w="227"/>
        <w:gridCol w:w="718"/>
        <w:gridCol w:w="145"/>
        <w:gridCol w:w="109"/>
        <w:gridCol w:w="227"/>
        <w:gridCol w:w="527"/>
        <w:gridCol w:w="80"/>
        <w:gridCol w:w="60"/>
        <w:gridCol w:w="201"/>
        <w:gridCol w:w="635"/>
        <w:gridCol w:w="128"/>
        <w:gridCol w:w="96"/>
        <w:gridCol w:w="201"/>
        <w:gridCol w:w="466"/>
        <w:gridCol w:w="80"/>
      </w:tblGrid>
      <w:tr>
        <w:trPr/>
        <w:tc>
          <w:tcPr>
            <w:tcW w:w="384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3"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7"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3"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7"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4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4"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2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8"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(111</w:t>
            </w:r>
          </w:p>
        </w:tc>
        <w:tc>
          <w:tcPr>
            <w:tcW w:w="14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27"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3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(239</w:t>
            </w:r>
          </w:p>
        </w:tc>
        <w:tc>
          <w:tcPr>
            <w:tcW w:w="128"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66"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8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384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comprehensive loss: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unrealized holding losses on derivatives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8"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14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7"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128"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6"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6"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doub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Comprehensive loss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(110</w:t>
            </w:r>
          </w:p>
        </w:tc>
        <w:tc>
          <w:tcPr>
            <w:tcW w:w="145"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9"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2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3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(240</w:t>
            </w:r>
          </w:p>
        </w:tc>
        <w:tc>
          <w:tcPr>
            <w:tcW w:w="128"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6"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6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rPr/>
      </w:pPr>
      <w:r>
        <w:rPr/>
        <w:t> </w:t>
      </w:r>
    </w:p>
    <w:p>
      <w:pPr>
        <w:pStyle w:val="TextBody"/>
        <w:spacing w:before="0" w:after="0"/>
        <w:jc w:val="center"/>
        <w:rPr>
          <w:rFonts w:ascii="Arial" w:hAnsi="Arial"/>
          <w:b w:val="false"/>
          <w:i w:val="false"/>
          <w:caps w:val="false"/>
          <w:smallCaps w:val="false"/>
          <w:sz w:val="20"/>
        </w:rPr>
      </w:pPr>
      <w:r>
        <w:rPr>
          <w:rFonts w:ascii="Arial" w:hAnsi="Arial"/>
          <w:b w:val="false"/>
          <w:i w:val="false"/>
          <w:caps w:val="false"/>
          <w:smallCaps w:val="false"/>
          <w:sz w:val="20"/>
        </w:rPr>
        <w:t>The accompanying notes are an integral part of these condensed consolidated financial statements.</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CONTEXTLOGIC INC. </w:t>
      </w:r>
    </w:p>
    <w:p>
      <w:pPr>
        <w:pStyle w:val="TextBody"/>
        <w:spacing w:before="0" w:after="0"/>
        <w:jc w:val="center"/>
        <w:rPr>
          <w:rFonts w:ascii="Arial" w:hAnsi="Arial"/>
          <w:b/>
          <w:i w:val="false"/>
          <w:caps w:val="false"/>
          <w:smallCaps w:val="false"/>
          <w:sz w:val="20"/>
        </w:rPr>
      </w:pPr>
      <w:bookmarkStart w:id="8" w:name="CONSOLIDATED_STATEMENTS_STOCKHOLDERS_EQU"/>
      <w:bookmarkEnd w:id="8"/>
      <w:r>
        <w:rPr>
          <w:rFonts w:ascii="Arial" w:hAnsi="Arial"/>
          <w:b/>
          <w:i w:val="false"/>
          <w:caps w:val="false"/>
          <w:smallCaps w:val="false"/>
          <w:sz w:val="20"/>
        </w:rPr>
        <w:t xml:space="preserve">CONDENSED CONSOLIDATED STATEMENTS OF STOCKHOLDERS’ EQUITY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(in millions) </w:t>
      </w:r>
    </w:p>
    <w:p>
      <w:pPr>
        <w:pStyle w:val="TextBody"/>
        <w:spacing w:before="0" w:after="0"/>
        <w:jc w:val="center"/>
        <w:rPr/>
      </w:pPr>
      <w:r>
        <w:rPr/>
        <w:t> </w:t>
      </w:r>
    </w:p>
    <w:tbl>
      <w:tblPr>
        <w:tblW w:w="10205" w:type="dxa"/>
        <w:jc w:val="left"/>
        <w:tblInd w:w="0" w:type="dxa"/>
        <w:tblCellMar>
          <w:top w:w="0" w:type="dxa"/>
          <w:left w:w="0" w:type="dxa"/>
          <w:bottom w:w="28" w:type="dxa"/>
          <w:right w:w="0" w:type="dxa"/>
        </w:tblCellMar>
      </w:tblPr>
      <w:tblGrid>
        <w:gridCol w:w="2838"/>
        <w:gridCol w:w="101"/>
        <w:gridCol w:w="564"/>
        <w:gridCol w:w="72"/>
        <w:gridCol w:w="72"/>
        <w:gridCol w:w="245"/>
        <w:gridCol w:w="510"/>
        <w:gridCol w:w="60"/>
        <w:gridCol w:w="60"/>
        <w:gridCol w:w="196"/>
        <w:gridCol w:w="784"/>
        <w:gridCol w:w="60"/>
        <w:gridCol w:w="60"/>
        <w:gridCol w:w="628"/>
        <w:gridCol w:w="1089"/>
        <w:gridCol w:w="80"/>
        <w:gridCol w:w="60"/>
        <w:gridCol w:w="225"/>
        <w:gridCol w:w="1010"/>
        <w:gridCol w:w="80"/>
        <w:gridCol w:w="60"/>
        <w:gridCol w:w="304"/>
        <w:gridCol w:w="964"/>
        <w:gridCol w:w="83"/>
      </w:tblGrid>
      <w:tr>
        <w:trPr/>
        <w:tc>
          <w:tcPr>
            <w:tcW w:w="28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4" w:type="dxa"/>
            <w:gridSpan w:val="2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 June 30, 2021</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4"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Additional</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Paid-in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Accumulated Other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Total</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Stockholders’</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Shares</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Capital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7"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Comprehensive Income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8"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Equity</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3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Balances as of March 31, 2021</w:t>
            </w:r>
          </w:p>
        </w:tc>
        <w:tc>
          <w:tcPr>
            <w:tcW w:w="10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618</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(2,312</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6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930</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38"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common stock upon exercise of options for cash</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38"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common stock upon settlement of restricted stock units</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38"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exercises of common stock warrant</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38"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common stock through ESPP</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38"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38"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comprehensive income, net</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xml:space="preserve">—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38" w:type="dxa"/>
            <w:tcBorders>
              <w:bottom w:val="single" w:sz="6" w:space="0" w:color="000000"/>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(111</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(111</w:t>
            </w:r>
          </w:p>
        </w:tc>
        <w:tc>
          <w:tcPr>
            <w:tcW w:w="8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838"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Balances as of June 30, 2021</w:t>
            </w:r>
          </w:p>
        </w:tc>
        <w:tc>
          <w:tcPr>
            <w:tcW w:w="10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627</w:t>
            </w:r>
          </w:p>
        </w:tc>
        <w:tc>
          <w:tcPr>
            <w:tcW w:w="7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8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3,285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(2,423</w:t>
            </w:r>
          </w:p>
        </w:tc>
        <w:tc>
          <w:tcPr>
            <w:tcW w:w="8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862</w:t>
            </w:r>
          </w:p>
        </w:tc>
        <w:tc>
          <w:tcPr>
            <w:tcW w:w="8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tbl>
      <w:tblPr>
        <w:tblW w:w="10205" w:type="dxa"/>
        <w:jc w:val="left"/>
        <w:tblInd w:w="0" w:type="dxa"/>
        <w:tblCellMar>
          <w:top w:w="0" w:type="dxa"/>
          <w:left w:w="0" w:type="dxa"/>
          <w:bottom w:w="28" w:type="dxa"/>
          <w:right w:w="0" w:type="dxa"/>
        </w:tblCellMar>
      </w:tblPr>
      <w:tblGrid>
        <w:gridCol w:w="2821"/>
        <w:gridCol w:w="101"/>
        <w:gridCol w:w="564"/>
        <w:gridCol w:w="71"/>
        <w:gridCol w:w="71"/>
        <w:gridCol w:w="245"/>
        <w:gridCol w:w="510"/>
        <w:gridCol w:w="60"/>
        <w:gridCol w:w="60"/>
        <w:gridCol w:w="196"/>
        <w:gridCol w:w="784"/>
        <w:gridCol w:w="80"/>
        <w:gridCol w:w="60"/>
        <w:gridCol w:w="627"/>
        <w:gridCol w:w="1087"/>
        <w:gridCol w:w="80"/>
        <w:gridCol w:w="60"/>
        <w:gridCol w:w="225"/>
        <w:gridCol w:w="1010"/>
        <w:gridCol w:w="80"/>
        <w:gridCol w:w="60"/>
        <w:gridCol w:w="253"/>
        <w:gridCol w:w="1015"/>
        <w:gridCol w:w="85"/>
      </w:tblGrid>
      <w:tr>
        <w:trPr/>
        <w:tc>
          <w:tcPr>
            <w:tcW w:w="28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99" w:type="dxa"/>
            <w:gridSpan w:val="2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 June 30, 2021</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2"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Additional</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Accumulated Other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Total</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Stockholders’</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Shares</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Capital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4"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Comprehensive Income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8"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Equity</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2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Balances as of December 31, 2020</w:t>
            </w:r>
          </w:p>
        </w:tc>
        <w:tc>
          <w:tcPr>
            <w:tcW w:w="10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587</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1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(2,184</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1,027</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21"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common stock upon exercise of options for cash</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21"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common stock upon settlement of restricted stock units</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821"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exercises of common stock warrant</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21"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common stock through ESPP</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21"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21"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comprehensive loss, net</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xml:space="preserve">—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821" w:type="dxa"/>
            <w:tcBorders>
              <w:bottom w:val="single" w:sz="6" w:space="0" w:color="000000"/>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(239</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(239</w:t>
            </w:r>
          </w:p>
        </w:tc>
        <w:tc>
          <w:tcPr>
            <w:tcW w:w="8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821"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Balances as of June 30, 2021</w:t>
            </w:r>
          </w:p>
        </w:tc>
        <w:tc>
          <w:tcPr>
            <w:tcW w:w="10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627</w:t>
            </w:r>
          </w:p>
        </w:tc>
        <w:tc>
          <w:tcPr>
            <w:tcW w:w="7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8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3,285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(2,423</w:t>
            </w:r>
          </w:p>
        </w:tc>
        <w:tc>
          <w:tcPr>
            <w:tcW w:w="8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862</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40" w:after="0"/>
        <w:jc w:val="center"/>
        <w:rPr>
          <w:rFonts w:ascii="Arial" w:hAnsi="Arial"/>
          <w:b w:val="false"/>
          <w:i w:val="false"/>
          <w:caps w:val="false"/>
          <w:smallCaps w:val="false"/>
          <w:sz w:val="20"/>
        </w:rPr>
      </w:pPr>
      <w:r>
        <w:rPr>
          <w:rFonts w:ascii="Arial" w:hAnsi="Arial"/>
          <w:b w:val="false"/>
          <w:i w:val="false"/>
          <w:caps w:val="false"/>
          <w:smallCaps w:val="false"/>
          <w:sz w:val="20"/>
        </w:rPr>
        <w:t>The accompanying notes are an integral part of these condensed consolidated financial statements.</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CONTEXTLOGIC INC.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CONDENSED CONSOLIDATED STATEMENTS OF STOCKHOLDERS’ EQUITY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(in millions) </w:t>
      </w:r>
    </w:p>
    <w:p>
      <w:pPr>
        <w:pStyle w:val="TextBody"/>
        <w:spacing w:before="0" w:after="0"/>
        <w:jc w:val="both"/>
        <w:rPr/>
      </w:pPr>
      <w:r>
        <w:rPr/>
        <w:t> </w:t>
      </w:r>
    </w:p>
    <w:tbl>
      <w:tblPr>
        <w:tblW w:w="10205" w:type="dxa"/>
        <w:jc w:val="left"/>
        <w:tblInd w:w="0" w:type="dxa"/>
        <w:tblCellMar>
          <w:top w:w="0" w:type="dxa"/>
          <w:left w:w="0" w:type="dxa"/>
          <w:bottom w:w="28" w:type="dxa"/>
          <w:right w:w="0" w:type="dxa"/>
        </w:tblCellMar>
      </w:tblPr>
      <w:tblGrid>
        <w:gridCol w:w="2859"/>
        <w:gridCol w:w="60"/>
        <w:gridCol w:w="101"/>
        <w:gridCol w:w="564"/>
        <w:gridCol w:w="66"/>
        <w:gridCol w:w="66"/>
        <w:gridCol w:w="159"/>
        <w:gridCol w:w="613"/>
        <w:gridCol w:w="60"/>
        <w:gridCol w:w="60"/>
        <w:gridCol w:w="60"/>
        <w:gridCol w:w="101"/>
        <w:gridCol w:w="564"/>
        <w:gridCol w:w="74"/>
        <w:gridCol w:w="74"/>
        <w:gridCol w:w="245"/>
        <w:gridCol w:w="510"/>
        <w:gridCol w:w="60"/>
        <w:gridCol w:w="60"/>
        <w:gridCol w:w="318"/>
        <w:gridCol w:w="662"/>
        <w:gridCol w:w="80"/>
        <w:gridCol w:w="60"/>
        <w:gridCol w:w="225"/>
        <w:gridCol w:w="1010"/>
        <w:gridCol w:w="80"/>
        <w:gridCol w:w="60"/>
        <w:gridCol w:w="231"/>
        <w:gridCol w:w="1040"/>
        <w:gridCol w:w="83"/>
      </w:tblGrid>
      <w:tr>
        <w:trPr/>
        <w:tc>
          <w:tcPr>
            <w:tcW w:w="2859" w:type="dxa"/>
            <w:tcBorders>
              <w:bottom w:val="single" w:sz="6" w:space="0" w:color="000000"/>
            </w:tcBorders>
            <w:shd w:fill="FFFFFF" w:val="cle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03" w:type="dxa"/>
            <w:gridSpan w:val="27"/>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 June 30, 2020</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Redeemable</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Convertible</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right w:val="single" w:sz="6" w:space="0" w:color="000000"/>
            </w:tcBorders>
            <w:shd w:fill="FFFFFF" w:val="clear"/>
            <w:tcMar>
              <w:top w:w="28" w:type="dxa"/>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left w:val="single" w:sz="6" w:space="0" w:color="000000"/>
            </w:tcBorders>
            <w:shd w:fill="FFFFFF" w:val="clear"/>
            <w:tcMar>
              <w:top w:w="28" w:type="dxa"/>
              <w:left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68"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Additional</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5"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Total</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Stockholders’</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Shares</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Shares</w:t>
            </w:r>
          </w:p>
        </w:tc>
        <w:tc>
          <w:tcPr>
            <w:tcW w:w="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Capital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1"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Deficit</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Balances as of March 31,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422</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1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w:t>
            </w:r>
          </w:p>
        </w:tc>
        <w:tc>
          <w:tcPr>
            <w:tcW w:w="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1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(1,505</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4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(1,504</w:t>
            </w:r>
          </w:p>
        </w:tc>
        <w:tc>
          <w:tcPr>
            <w:tcW w:w="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859"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common stock upon exercise of options for cash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9"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Repurchase of 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859" w:type="dxa"/>
            <w:tcBorders>
              <w:bottom w:val="single" w:sz="6" w:space="0" w:color="000000"/>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 and comprehensive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859"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Balances as of June 30, 2020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422</w:t>
            </w:r>
          </w:p>
        </w:tc>
        <w:tc>
          <w:tcPr>
            <w:tcW w:w="6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1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1,536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CFF0FC" w:val="clear"/>
            <w:tcMar>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CFF0FC" w:val="clear"/>
            <w:tcMar>
              <w:lef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c>
          <w:tcPr>
            <w:tcW w:w="7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(1,516</w:t>
            </w:r>
          </w:p>
        </w:tc>
        <w:tc>
          <w:tcPr>
            <w:tcW w:w="8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(1,516</w:t>
            </w:r>
          </w:p>
        </w:tc>
        <w:tc>
          <w:tcPr>
            <w:tcW w:w="83"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jc w:val="both"/>
        <w:rPr/>
      </w:pPr>
      <w:r>
        <w:rPr/>
        <w:t> </w:t>
      </w:r>
    </w:p>
    <w:tbl>
      <w:tblPr>
        <w:tblW w:w="10205" w:type="dxa"/>
        <w:jc w:val="left"/>
        <w:tblInd w:w="0" w:type="dxa"/>
        <w:tblCellMar>
          <w:top w:w="0" w:type="dxa"/>
          <w:left w:w="0" w:type="dxa"/>
          <w:bottom w:w="28" w:type="dxa"/>
          <w:right w:w="0" w:type="dxa"/>
        </w:tblCellMar>
      </w:tblPr>
      <w:tblGrid>
        <w:gridCol w:w="2859"/>
        <w:gridCol w:w="60"/>
        <w:gridCol w:w="101"/>
        <w:gridCol w:w="564"/>
        <w:gridCol w:w="66"/>
        <w:gridCol w:w="66"/>
        <w:gridCol w:w="159"/>
        <w:gridCol w:w="613"/>
        <w:gridCol w:w="60"/>
        <w:gridCol w:w="60"/>
        <w:gridCol w:w="60"/>
        <w:gridCol w:w="101"/>
        <w:gridCol w:w="564"/>
        <w:gridCol w:w="74"/>
        <w:gridCol w:w="74"/>
        <w:gridCol w:w="245"/>
        <w:gridCol w:w="510"/>
        <w:gridCol w:w="60"/>
        <w:gridCol w:w="60"/>
        <w:gridCol w:w="318"/>
        <w:gridCol w:w="662"/>
        <w:gridCol w:w="80"/>
        <w:gridCol w:w="60"/>
        <w:gridCol w:w="225"/>
        <w:gridCol w:w="1010"/>
        <w:gridCol w:w="80"/>
        <w:gridCol w:w="60"/>
        <w:gridCol w:w="231"/>
        <w:gridCol w:w="1040"/>
        <w:gridCol w:w="83"/>
      </w:tblGrid>
      <w:tr>
        <w:trPr/>
        <w:tc>
          <w:tcPr>
            <w:tcW w:w="2859" w:type="dxa"/>
            <w:tcBorders>
              <w:bottom w:val="single" w:sz="6" w:space="0" w:color="000000"/>
            </w:tcBorders>
            <w:shd w:fill="FFFFFF" w:val="cle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03" w:type="dxa"/>
            <w:gridSpan w:val="27"/>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 June 30, 2020</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Redeemable</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Convertible</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right w:val="single" w:sz="6" w:space="0" w:color="000000"/>
            </w:tcBorders>
            <w:shd w:fill="FFFFFF" w:val="clear"/>
            <w:tcMar>
              <w:top w:w="28" w:type="dxa"/>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top w:val="single" w:sz="6" w:space="0" w:color="000000"/>
              <w:left w:val="single" w:sz="6" w:space="0" w:color="000000"/>
            </w:tcBorders>
            <w:shd w:fill="FFFFFF" w:val="clear"/>
            <w:tcMar>
              <w:top w:w="28" w:type="dxa"/>
              <w:left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68"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Additional</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5"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Total</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Stockholders’</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Shares</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Shares</w:t>
            </w:r>
          </w:p>
        </w:tc>
        <w:tc>
          <w:tcPr>
            <w:tcW w:w="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Capital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5"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1"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Deficit</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Balances as of December 31, 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422</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1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103</w:t>
            </w:r>
          </w:p>
        </w:tc>
        <w:tc>
          <w:tcPr>
            <w:tcW w:w="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1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(1,439</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4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(1,439</w:t>
            </w:r>
          </w:p>
        </w:tc>
        <w:tc>
          <w:tcPr>
            <w:tcW w:w="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859" w:type="dxa"/>
            <w:tcBorders/>
            <w:shd w:fill="FFFFFF"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Issuance of common stock upon exercise of options for cash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9" w:type="dxa"/>
            <w:tcBorders/>
            <w:shd w:fill="CFF0FC" w:val="clear"/>
            <w:tcMar>
              <w:bottom w:w="0"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Repurchase of 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859" w:type="dxa"/>
            <w:tcBorders>
              <w:bottom w:val="single" w:sz="6" w:space="0" w:color="000000"/>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 and comprehensive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8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859"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Balances as of June 30, 2020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422</w:t>
            </w:r>
          </w:p>
        </w:tc>
        <w:tc>
          <w:tcPr>
            <w:tcW w:w="6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1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1,536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CFF0FC" w:val="clear"/>
            <w:tcMar>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CFF0FC" w:val="clear"/>
            <w:tcMar>
              <w:lef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c>
          <w:tcPr>
            <w:tcW w:w="7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6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(1,516</w:t>
            </w:r>
          </w:p>
        </w:tc>
        <w:tc>
          <w:tcPr>
            <w:tcW w:w="8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(1,516</w:t>
            </w:r>
          </w:p>
        </w:tc>
        <w:tc>
          <w:tcPr>
            <w:tcW w:w="83"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40" w:after="0"/>
        <w:jc w:val="center"/>
        <w:rPr/>
      </w:pPr>
      <w:r>
        <w:rPr/>
        <w:t> </w:t>
      </w:r>
    </w:p>
    <w:p>
      <w:pPr>
        <w:pStyle w:val="TextBody"/>
        <w:spacing w:before="40" w:after="0"/>
        <w:jc w:val="center"/>
        <w:rPr>
          <w:rFonts w:ascii="Arial" w:hAnsi="Arial"/>
          <w:b w:val="false"/>
          <w:i w:val="false"/>
          <w:caps w:val="false"/>
          <w:smallCaps w:val="false"/>
          <w:sz w:val="20"/>
        </w:rPr>
      </w:pPr>
      <w:r>
        <w:rPr>
          <w:rFonts w:ascii="Arial" w:hAnsi="Arial"/>
          <w:b w:val="false"/>
          <w:i w:val="false"/>
          <w:caps w:val="false"/>
          <w:smallCaps w:val="false"/>
          <w:sz w:val="20"/>
        </w:rPr>
        <w:t>The accompanying notes are an integral part of these condensed consolidated financial statements.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5</w:t>
      </w:r>
    </w:p>
    <w:p>
      <w:pPr>
        <w:pStyle w:val="HorizontalLine"/>
        <w:rPr/>
      </w:pPr>
      <w:r>
        <w:rPr/>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CONTEXTLOGIC INC. </w:t>
      </w:r>
    </w:p>
    <w:p>
      <w:pPr>
        <w:pStyle w:val="TextBody"/>
        <w:spacing w:before="0" w:after="0"/>
        <w:jc w:val="center"/>
        <w:rPr>
          <w:rFonts w:ascii="Arial" w:hAnsi="Arial"/>
          <w:b/>
          <w:i w:val="false"/>
          <w:caps w:val="false"/>
          <w:smallCaps w:val="false"/>
          <w:sz w:val="20"/>
        </w:rPr>
      </w:pPr>
      <w:bookmarkStart w:id="9" w:name="CONSOLIDATED_STATEMENTS_CASH_FLOWS"/>
      <w:bookmarkEnd w:id="9"/>
      <w:r>
        <w:rPr>
          <w:rFonts w:ascii="Arial" w:hAnsi="Arial"/>
          <w:b/>
          <w:i w:val="false"/>
          <w:caps w:val="false"/>
          <w:smallCaps w:val="false"/>
          <w:sz w:val="20"/>
        </w:rPr>
        <w:t xml:space="preserve">CONDENSED CONSOLIDATED STATEMENTS OF CASH FLOWS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(in millions)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8387"/>
        <w:gridCol w:w="60"/>
        <w:gridCol w:w="147"/>
        <w:gridCol w:w="592"/>
        <w:gridCol w:w="111"/>
        <w:gridCol w:w="70"/>
        <w:gridCol w:w="147"/>
        <w:gridCol w:w="592"/>
        <w:gridCol w:w="99"/>
      </w:tblGrid>
      <w:tr>
        <w:trPr/>
        <w:tc>
          <w:tcPr>
            <w:tcW w:w="8387"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9"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9"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CFF0FC" w:val="cle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Cash flows from operating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(239</w:t>
            </w:r>
          </w:p>
        </w:tc>
        <w:tc>
          <w:tcPr>
            <w:tcW w:w="111"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99"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8387"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Adjustments to reconcile net loss to net cash provided by (used in) operating</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Depreciation and amortization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1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Noncash lease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11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9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expense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w:t>
            </w:r>
          </w:p>
        </w:tc>
        <w:tc>
          <w:tcPr>
            <w:tcW w:w="1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Remeasurement of redeemable convertible preferred stock warrant liability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9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1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99"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838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Changes in operating assets and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Funds receivable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1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Prepaid expenses, other current and noncurrent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w:t>
            </w:r>
          </w:p>
        </w:tc>
        <w:tc>
          <w:tcPr>
            <w:tcW w:w="11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99"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8387"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Accounts payable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(179</w:t>
            </w:r>
          </w:p>
        </w:tc>
        <w:tc>
          <w:tcPr>
            <w:tcW w:w="111"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223</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Merchants payable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(141</w:t>
            </w:r>
          </w:p>
        </w:tc>
        <w:tc>
          <w:tcPr>
            <w:tcW w:w="11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185</w:t>
            </w:r>
          </w:p>
        </w:tc>
        <w:tc>
          <w:tcPr>
            <w:tcW w:w="9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Accrued and refund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(136</w:t>
            </w:r>
          </w:p>
        </w:tc>
        <w:tc>
          <w:tcPr>
            <w:tcW w:w="111"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89</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Lease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11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99"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8387" w:type="dxa"/>
            <w:tcBorders>
              <w:bottom w:val="single" w:sz="6" w:space="0" w:color="000000"/>
            </w:tcBorders>
            <w:shd w:fill="FFFFFF" w:val="clear"/>
            <w:tcMar>
              <w:bottom w:w="28"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current and noncurrent liabilities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111"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w:t>
            </w:r>
          </w:p>
        </w:tc>
        <w:tc>
          <w:tcPr>
            <w:tcW w:w="9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provided by (used in) operating activities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(558</w:t>
            </w:r>
          </w:p>
        </w:tc>
        <w:tc>
          <w:tcPr>
            <w:tcW w:w="111"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7"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496</w:t>
            </w:r>
          </w:p>
        </w:tc>
        <w:tc>
          <w:tcPr>
            <w:tcW w:w="9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FFFFFF" w:val="cle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Cash flows from investing activities: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Purchases of marketable securities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(124</w:t>
            </w:r>
          </w:p>
        </w:tc>
        <w:tc>
          <w:tcPr>
            <w:tcW w:w="11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(178</w:t>
            </w:r>
          </w:p>
        </w:tc>
        <w:tc>
          <w:tcPr>
            <w:tcW w:w="99"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8387"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Maturities of marketable securities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123</w:t>
            </w:r>
          </w:p>
        </w:tc>
        <w:tc>
          <w:tcPr>
            <w:tcW w:w="1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244</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bottom w:val="single" w:sz="6" w:space="0" w:color="000000"/>
            </w:tcBorders>
            <w:shd w:fill="CFF0FC" w:val="clear"/>
            <w:tcMar>
              <w:bottom w:w="28"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111"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provided by (used in) investing activities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111"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7"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66</w:t>
            </w:r>
          </w:p>
        </w:tc>
        <w:tc>
          <w:tcPr>
            <w:tcW w:w="9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CFF0FC" w:val="cle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Cash flows from financing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Proceeds from sales of shares through employee equity incentive plans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1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2"/>
              </w:rPr>
            </w:pPr>
            <w:r>
              <w:rPr>
                <w:rFonts w:ascii="Arial" w:hAnsi="Arial"/>
                <w:b w:val="false"/>
                <w:i w:val="false"/>
                <w:caps w:val="false"/>
                <w:smallCaps w:val="false"/>
                <w:color w:val="000000"/>
                <w:sz w:val="22"/>
              </w:rPr>
              <w:t>1</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CFF0FC"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Payment of taxes related to RSU settlement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11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bottom w:val="single" w:sz="6" w:space="0" w:color="000000"/>
            </w:tcBorders>
            <w:shd w:fill="FFFFFF" w:val="clear"/>
            <w:tcMar>
              <w:bottom w:w="28" w:type="dxa"/>
            </w:tcM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2"/>
              </w:rPr>
            </w:pPr>
            <w:r>
              <w:rPr>
                <w:rFonts w:ascii="Arial" w:hAnsi="Arial"/>
                <w:b w:val="false"/>
                <w:i w:val="false"/>
                <w:caps w:val="false"/>
                <w:smallCaps w:val="false"/>
                <w:color w:val="000000"/>
                <w:sz w:val="22"/>
              </w:rPr>
              <w:t>(1</w:t>
            </w:r>
          </w:p>
        </w:tc>
        <w:tc>
          <w:tcPr>
            <w:tcW w:w="111"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2"/>
              </w:rPr>
            </w:pPr>
            <w:r>
              <w:rPr>
                <w:rFonts w:ascii="Arial" w:hAnsi="Arial"/>
                <w:b w:val="false"/>
                <w:i w:val="false"/>
                <w:caps w:val="false"/>
                <w:smallCaps w:val="false"/>
                <w:color w:val="000000"/>
                <w:sz w:val="22"/>
              </w:rPr>
              <w:t>)</w:t>
            </w:r>
          </w:p>
        </w:tc>
        <w:tc>
          <w:tcPr>
            <w:tcW w:w="7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2"/>
              </w:rPr>
            </w:pPr>
            <w:r>
              <w:rPr>
                <w:rFonts w:ascii="Arial" w:hAnsi="Arial"/>
                <w:b w:val="false"/>
                <w:i w:val="false"/>
                <w:caps w:val="false"/>
                <w:smallCaps w:val="false"/>
                <w:color w:val="000000"/>
                <w:sz w:val="22"/>
              </w:rPr>
              <w:t>(1</w:t>
            </w:r>
          </w:p>
        </w:tc>
        <w:tc>
          <w:tcPr>
            <w:tcW w:w="99" w:type="dxa"/>
            <w:tcBorders>
              <w:bottom w:val="sing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2"/>
              </w:rPr>
            </w:pPr>
            <w:r>
              <w:rPr>
                <w:rFonts w:ascii="Arial" w:hAnsi="Arial"/>
                <w:b w:val="false"/>
                <w:i w:val="false"/>
                <w:caps w:val="false"/>
                <w:smallCaps w:val="false"/>
                <w:color w:val="000000"/>
                <w:sz w:val="22"/>
              </w:rPr>
              <w:t>)</w:t>
            </w:r>
          </w:p>
        </w:tc>
      </w:tr>
      <w:tr>
        <w:trPr/>
        <w:tc>
          <w:tcPr>
            <w:tcW w:w="8387"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cash provided by (used in) financing activities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7"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increase (decrease) in cash, cash equivalents and restricted cash</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(560</w:t>
            </w:r>
          </w:p>
        </w:tc>
        <w:tc>
          <w:tcPr>
            <w:tcW w:w="111"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7"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562</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cash equivalents and restricted cash at beginning of period</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1,965</w:t>
            </w:r>
          </w:p>
        </w:tc>
        <w:tc>
          <w:tcPr>
            <w:tcW w:w="11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754</w:t>
            </w:r>
          </w:p>
        </w:tc>
        <w:tc>
          <w:tcPr>
            <w:tcW w:w="9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cash equivalents and restricted cash at end of period</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1,405</w:t>
            </w:r>
          </w:p>
        </w:tc>
        <w:tc>
          <w:tcPr>
            <w:tcW w:w="111"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1,316</w:t>
            </w:r>
          </w:p>
        </w:tc>
        <w:tc>
          <w:tcPr>
            <w:tcW w:w="99"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CFF0FC" w:val="cle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Reconciliation of cash, cash equivalents, and restricted cash to the condensed consolidated balance sheets: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and cash equivalents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1,405</w:t>
            </w:r>
          </w:p>
        </w:tc>
        <w:tc>
          <w:tcPr>
            <w:tcW w:w="1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1,306</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Restricted cash included in other assets in the condensed consolidated balance sheets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1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9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cash, cash equivalents and restricted cash</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1,405</w:t>
            </w:r>
          </w:p>
        </w:tc>
        <w:tc>
          <w:tcPr>
            <w:tcW w:w="111"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1,316</w:t>
            </w:r>
          </w:p>
        </w:tc>
        <w:tc>
          <w:tcPr>
            <w:tcW w:w="99"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CFF0FC" w:val="clear"/>
            <w:vAlign w:val="bottom"/>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Supplemental cash flow disclosures: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2"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387" w:type="dxa"/>
            <w:tcBorders/>
            <w:shd w:fill="FFFFFF" w:val="clear"/>
            <w:vAlign w:val="bottom"/>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paid for income taxes, net of refunds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1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2"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Arial" w:hAnsi="Arial"/>
          <w:b w:val="false"/>
          <w:i w:val="false"/>
          <w:caps w:val="false"/>
          <w:smallCaps w:val="false"/>
          <w:sz w:val="20"/>
        </w:rPr>
      </w:pPr>
      <w:r>
        <w:rPr>
          <w:rFonts w:ascii="Arial" w:hAnsi="Arial"/>
          <w:b w:val="false"/>
          <w:i w:val="false"/>
          <w:caps w:val="false"/>
          <w:smallCaps w:val="false"/>
          <w:sz w:val="20"/>
        </w:rPr>
        <w:t>The accompanying notes are an integral part of these condensed consolidated financial statements.</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Arial" w:hAnsi="Arial"/>
          <w:b/>
          <w:i w:val="false"/>
          <w:caps w:val="false"/>
          <w:smallCaps w:val="false"/>
          <w:sz w:val="20"/>
        </w:rPr>
      </w:pPr>
      <w:r>
        <w:rPr>
          <w:rFonts w:ascii="Arial" w:hAnsi="Arial"/>
          <w:b/>
          <w:i w:val="false"/>
          <w:caps w:val="false"/>
          <w:smallCaps w:val="false"/>
          <w:sz w:val="20"/>
        </w:rPr>
        <w:t xml:space="preserve">CONTEXTLOGIC INC. </w:t>
      </w:r>
    </w:p>
    <w:p>
      <w:pPr>
        <w:pStyle w:val="TextBody"/>
        <w:spacing w:before="0" w:after="0"/>
        <w:jc w:val="center"/>
        <w:rPr>
          <w:rFonts w:ascii="Arial" w:hAnsi="Arial"/>
          <w:b/>
          <w:i w:val="false"/>
          <w:caps w:val="false"/>
          <w:smallCaps w:val="false"/>
          <w:color w:val="000000"/>
          <w:sz w:val="20"/>
        </w:rPr>
      </w:pPr>
      <w:bookmarkStart w:id="10" w:name="NOTES_TO_UNAUDITED_CONDENSED_CONSOLIDATE"/>
      <w:bookmarkEnd w:id="10"/>
      <w:r>
        <w:rPr>
          <w:rFonts w:ascii="Arial" w:hAnsi="Arial"/>
          <w:b/>
          <w:i w:val="false"/>
          <w:caps w:val="false"/>
          <w:smallCaps w:val="false"/>
          <w:color w:val="000000"/>
          <w:sz w:val="20"/>
        </w:rPr>
        <w:t>Notes to Unaudited Condensed Consolidated Financial Statements</w:t>
      </w:r>
    </w:p>
    <w:p>
      <w:pPr>
        <w:pStyle w:val="TextBody"/>
        <w:spacing w:before="360" w:after="0"/>
        <w:rPr>
          <w:rFonts w:ascii="Arial" w:hAnsi="Arial"/>
          <w:b/>
          <w:i w:val="false"/>
          <w:caps w:val="false"/>
          <w:smallCaps w:val="false"/>
          <w:color w:val="000000"/>
          <w:sz w:val="20"/>
        </w:rPr>
      </w:pPr>
      <w:r>
        <w:rPr>
          <w:rFonts w:ascii="Arial" w:hAnsi="Arial"/>
          <w:b/>
          <w:i w:val="false"/>
          <w:caps w:val="false"/>
          <w:smallCaps w:val="false"/>
          <w:color w:val="000000"/>
          <w:sz w:val="20"/>
          <w:highlight w:val="white"/>
        </w:rPr>
        <w:t xml:space="preserve">NOTE </w:t>
      </w:r>
      <w:r>
        <w:rPr>
          <w:rFonts w:ascii="Arial" w:hAnsi="Arial"/>
          <w:b/>
          <w:i w:val="false"/>
          <w:caps w:val="false"/>
          <w:smallCaps w:val="false"/>
          <w:color w:val="000000"/>
          <w:sz w:val="20"/>
        </w:rPr>
        <w:t xml:space="preserve">1. OVERVIEW, BASIS OF PRESENTATION AND SIGNIFICANT ACCOUNTING POLICIES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ContextLogic Inc. and its consolidated subsidiaries (“Wish,” the “Company,” “we,” “us” and “its”) is an ecommerce company that provides a shopping experience that is mobile-first and discovery-based, which connects merchants’ products to users based on user preferences. The Company generates revenue from marketplace and logistics services provided to merchants.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was incorporated in the state of Delaware in June 2010 and is headquartered in San Francisco, California, with operations in Canada, China and the Netherlands. </w:t>
      </w:r>
    </w:p>
    <w:p>
      <w:pPr>
        <w:pStyle w:val="TextBody"/>
        <w:spacing w:before="0" w:after="0"/>
        <w:jc w:val="both"/>
        <w:rPr/>
      </w:pPr>
      <w:r>
        <w:rPr/>
        <w:t> </w:t>
      </w:r>
    </w:p>
    <w:p>
      <w:pPr>
        <w:pStyle w:val="TextBody"/>
        <w:spacing w:before="0" w:after="0"/>
        <w:jc w:val="both"/>
        <w:rPr>
          <w:rFonts w:ascii="Arial" w:hAnsi="Arial"/>
          <w:b/>
          <w:i/>
          <w:caps w:val="false"/>
          <w:smallCaps w:val="false"/>
          <w:color w:val="000000"/>
          <w:sz w:val="20"/>
        </w:rPr>
      </w:pPr>
      <w:r>
        <w:rPr>
          <w:rFonts w:ascii="Arial" w:hAnsi="Arial"/>
          <w:b/>
          <w:i/>
          <w:caps w:val="false"/>
          <w:smallCaps w:val="false"/>
          <w:color w:val="000000"/>
          <w:sz w:val="20"/>
        </w:rPr>
        <w:t>Initial Public Offering</w:t>
      </w:r>
    </w:p>
    <w:p>
      <w:pPr>
        <w:pStyle w:val="TextBody"/>
        <w:spacing w:before="0" w:after="0"/>
        <w:jc w:val="both"/>
        <w:rPr/>
      </w:pPr>
      <w:r>
        <w:rPr/>
        <w:t> </w:t>
      </w:r>
    </w:p>
    <w:p>
      <w:pPr>
        <w:pStyle w:val="TextBody"/>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December 2020, the Company completed its initial public offering (“IPO”) of Class A common stock, in which it sold 46 million shares. The shares were sold at an IPO price of $24.00 per share for net proceeds of approximately $1.1 billion, after deducting underwriting discounts and commissions of approximately $52 million. Additionally, the Company incurred approximately $6 million of offering costs, net of reimbursements. Following the IPO, the Company has two classes of authorized common stock: Class A common stock, which entitles holders to one vote per share, and Class B common stock, which entitles holders to 20 votes per share.</w:t>
      </w:r>
    </w:p>
    <w:p>
      <w:pPr>
        <w:pStyle w:val="TextBody"/>
        <w:shd w:fill="FFFFFF" w:val="clear"/>
        <w:spacing w:before="180" w:after="0"/>
        <w:jc w:val="both"/>
        <w:rPr>
          <w:rFonts w:ascii="Arial" w:hAnsi="Arial"/>
          <w:b/>
          <w:i/>
          <w:caps w:val="false"/>
          <w:smallCaps w:val="false"/>
          <w:color w:val="000000"/>
          <w:sz w:val="20"/>
        </w:rPr>
      </w:pPr>
      <w:r>
        <w:rPr>
          <w:rFonts w:ascii="Arial" w:hAnsi="Arial"/>
          <w:b/>
          <w:i/>
          <w:caps w:val="false"/>
          <w:smallCaps w:val="false"/>
          <w:color w:val="000000"/>
          <w:sz w:val="20"/>
        </w:rPr>
        <w:t>Basis of Presentation and Consolidation</w:t>
      </w:r>
    </w:p>
    <w:p>
      <w:pPr>
        <w:pStyle w:val="TextBody"/>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accompanying condensed consolidated financial statements have been prepared in accordance with United States generally accepted accounting principles (“U.S. GAAP”) for interim financial information, and the instructions to Form 10-Q and Article 10 of Regulation S-X. The condensed consolidated financial statements include the accounts of the Company and its wholly owned subsidiaries. All intercompany balances and transactions have been eliminated in consolidation. The condensed consolidated financial statements are unaudited, but include all adjustments of a normal recurring nature necessary for a fair presentation of our quarterly results. In the opinion of management, the condensed consolidated financial statements reflect all adjustments considered necessary for a fair presentation of the operating results of Wish and its subsidiaries, for the three and six months ended June 30, 2021, and are not necessarily indicative of the results that may be expected for the year ending December 31, 2021. The consolidated balance sheet as of December 31, 2020 is derived from audited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our Annual Report on Form 10-K for the year ended December 31, 2020, which was filed with the Securities and Exchange Commission (“SEC”) on March 25, 2021.</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Use of Estimates</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of long-lived assets, fair value of derivative instruments, assumptions used in calculating the fair value of the Company's equity awards, expected achievement of performance based vesting criteria related to performance stock units, incremental borrowing rate applied to lease accounting, contingent liabilities, redemption probabilities associated with Wish Cash, allowances for refunds and chargebacks and uncertain tax positions. Management bases estimates on historical experience and on various other assumptions that are believed to be reasonable, the results of which form the basis for making judgments about the carrying values of assets and liabilities. As of June 30, 2021, the effects of the ongoing COVID-19 pandemic on the Company’s business, results of operations, and financial condition continue to evolve. As a result, many of the Company’s estimates and assumptions required increased judgment and these estimates may change materially in future periods.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7</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Segments </w:t>
      </w:r>
    </w:p>
    <w:p>
      <w:pPr>
        <w:pStyle w:val="TextBody"/>
        <w:shd w:fill="FFFFFF" w:val="clear"/>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The Company manages its operations and allocates resources as a single operating segment. Further, the Company manages, monitors and reports its financials as a single reporting segment. The Company’s chief operating decision-maker is its Chief Executive Officer who makes operating decisions, assesses financial performance and allocates resources based on condensed consolidated financial information. As such, the Company has determined that it operates in one reportable segment.</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Concentrations of Risk </w:t>
      </w:r>
    </w:p>
    <w:p>
      <w:pPr>
        <w:pStyle w:val="TextBody"/>
        <w:spacing w:before="80" w:after="0"/>
        <w:jc w:val="both"/>
        <w:rPr>
          <w:rFonts w:ascii="Arial" w:hAnsi="Arial"/>
          <w:b w:val="false"/>
          <w:i/>
          <w:caps w:val="false"/>
          <w:smallCaps w:val="false"/>
          <w:sz w:val="20"/>
        </w:rPr>
      </w:pPr>
      <w:r>
        <w:rPr>
          <w:rFonts w:ascii="Arial" w:hAnsi="Arial"/>
          <w:b w:val="false"/>
          <w:i/>
          <w:caps w:val="false"/>
          <w:smallCaps w:val="false"/>
          <w:sz w:val="20"/>
        </w:rPr>
        <w:t xml:space="preserve">Credit Risk — </w:t>
      </w:r>
      <w:r>
        <w:rPr>
          <w:rFonts w:ascii="Arial" w:hAnsi="Arial"/>
          <w:b w:val="false"/>
          <w:i w:val="false"/>
          <w:caps w:val="false"/>
          <w:smallCaps w:val="false"/>
          <w:sz w:val="20"/>
        </w:rPr>
        <w:t xml:space="preserve">Financial instruments that potentially subject the Company to concentrations of credit risk consist primarily of cash and cash equivalents, funds receivable, marketable securities and derivative financial instruments.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and corporate bonds. The Company is exposed to credit risk in the event of a default by the financial institutions holding its cash, cash equivalents and marketable securities for the amounts reflected on the condensed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The Company's derivative financial instruments expose it to credit risk to the extent that the counterparties may be unable to meet the terms of the arrangement. The Company seeks to mitigate such risk by limiting its counterparties to, and by spreading the risk across, major financial institutions. In addition, the potential risk of loss with any one counterparty resulting from this type of credit risk is monitored on a monthly basis. The Company is not required to pledge, nor is it entitled to receive, collateral related to its foreign exchange derivative transactions.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is exposed to credit risk in the event of a default by its </w:t>
      </w:r>
      <w:r>
        <w:rPr>
          <w:rFonts w:ascii="Arial" w:hAnsi="Arial"/>
          <w:b w:val="false"/>
          <w:i w:val="false"/>
          <w:caps w:val="false"/>
          <w:smallCaps w:val="false"/>
          <w:color w:val="000000"/>
          <w:sz w:val="20"/>
          <w:highlight w:val="white"/>
        </w:rPr>
        <w:t>Payment Service Providers (“PSPs”)</w:t>
      </w:r>
      <w:r>
        <w:rPr>
          <w:rFonts w:ascii="Arial" w:hAnsi="Arial"/>
          <w:b w:val="false"/>
          <w:i w:val="false"/>
          <w:caps w:val="false"/>
          <w:smallCaps w:val="false"/>
          <w:sz w:val="20"/>
        </w:rPr>
        <w:t xml:space="preserve">. The Company does not generate revenue from PSPs. Significant changes in the Company’s relationship with its PSPs could adversely affect users’ ability to process transactions on the Company’s marketplaces, thereby impacting the Company’s operating results.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PSPs each represented 10% or more of the Company’s funds receivable balance: </w:t>
      </w:r>
    </w:p>
    <w:p>
      <w:pPr>
        <w:pStyle w:val="TextBody"/>
        <w:spacing w:before="0" w:after="0"/>
        <w:jc w:val="both"/>
        <w:rPr/>
      </w:pPr>
      <w:r>
        <w:rPr/>
        <w:t> </w:t>
      </w:r>
    </w:p>
    <w:tbl>
      <w:tblPr>
        <w:tblW w:w="3188" w:type="dxa"/>
        <w:jc w:val="left"/>
        <w:tblInd w:w="0" w:type="dxa"/>
        <w:tblCellMar>
          <w:top w:w="0" w:type="dxa"/>
          <w:left w:w="0" w:type="dxa"/>
          <w:bottom w:w="0" w:type="dxa"/>
          <w:right w:w="0" w:type="dxa"/>
        </w:tblCellMar>
      </w:tblPr>
      <w:tblGrid>
        <w:gridCol w:w="590"/>
        <w:gridCol w:w="60"/>
        <w:gridCol w:w="165"/>
        <w:gridCol w:w="634"/>
        <w:gridCol w:w="200"/>
        <w:gridCol w:w="60"/>
        <w:gridCol w:w="264"/>
        <w:gridCol w:w="1015"/>
        <w:gridCol w:w="200"/>
      </w:tblGrid>
      <w:tr>
        <w:trPr/>
        <w:tc>
          <w:tcPr>
            <w:tcW w:w="59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9"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PSP 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w:t>
            </w:r>
          </w:p>
        </w:tc>
        <w:tc>
          <w:tcPr>
            <w:tcW w:w="20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56</w:t>
            </w:r>
          </w:p>
        </w:tc>
        <w:tc>
          <w:tcPr>
            <w:tcW w:w="20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90"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PSP 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w:t>
            </w:r>
          </w:p>
        </w:tc>
        <w:tc>
          <w:tcPr>
            <w:tcW w:w="20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w:t>
            </w:r>
          </w:p>
        </w:tc>
        <w:tc>
          <w:tcPr>
            <w:tcW w:w="20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jc w:val="both"/>
        <w:rPr/>
      </w:pPr>
      <w:r>
        <w:rPr/>
        <w:t> </w:t>
      </w:r>
    </w:p>
    <w:p>
      <w:pPr>
        <w:pStyle w:val="TextBody"/>
        <w:spacing w:before="0" w:after="0"/>
        <w:jc w:val="both"/>
        <w:rPr>
          <w:rFonts w:ascii="Arial" w:hAnsi="Arial"/>
          <w:b w:val="false"/>
          <w:i/>
          <w:caps w:val="false"/>
          <w:smallCaps w:val="false"/>
          <w:sz w:val="20"/>
        </w:rPr>
      </w:pPr>
      <w:r>
        <w:rPr>
          <w:rFonts w:ascii="Arial" w:hAnsi="Arial"/>
          <w:b w:val="false"/>
          <w:i/>
          <w:caps w:val="false"/>
          <w:smallCaps w:val="false"/>
          <w:sz w:val="20"/>
        </w:rPr>
        <w:t xml:space="preserve">Services Risk — </w:t>
      </w:r>
      <w:r>
        <w:rPr>
          <w:rFonts w:ascii="Arial" w:hAnsi="Arial"/>
          <w:b w:val="false"/>
          <w:i w:val="false"/>
          <w:caps w:val="false"/>
          <w:smallCaps w:val="false"/>
          <w:sz w:val="20"/>
        </w:rPr>
        <w:t xml:space="preserve">The Company serves all of its users using third-party data center and hosting providers. The Company has disaster recovery protocols at the third-party service providers. Even with these procedures for disaster recovery in place, access to the Company’s service could be significantly interrupted, resulting in an adverse effect on its operating results and financial position. No significant interruptions of service were known to have occurred during the three and six months ended June 30, 2021 and 2020. </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Summary of Significant Accounting Policies</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There have been no changes to the Company’s significant accounting policies described in its Annual Report on Form 10-K for the year ended December 31, 2020, filed with the SEC on March 25, 2021, that have had a material impact on its condensed consolidated financial statements.</w:t>
      </w:r>
    </w:p>
    <w:p>
      <w:pPr>
        <w:pStyle w:val="TextBody"/>
        <w:spacing w:before="180" w:after="0"/>
        <w:jc w:val="both"/>
        <w:rPr>
          <w:rFonts w:ascii="Arial" w:hAnsi="Arial"/>
          <w:b/>
          <w:i/>
          <w:caps w:val="false"/>
          <w:smallCaps w:val="false"/>
          <w:sz w:val="20"/>
        </w:rPr>
      </w:pPr>
      <w:r>
        <w:rPr>
          <w:rFonts w:ascii="Arial" w:hAnsi="Arial"/>
          <w:b/>
          <w:i/>
          <w:caps w:val="false"/>
          <w:smallCaps w:val="false"/>
          <w:sz w:val="20"/>
        </w:rPr>
        <w:t>Accounting Pronouncements</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has reviewed recent accounting pronouncements and concluded they are either not applicable to the business or no material impact is expected on the condensed consolidated financial statements as a result of future adoption.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8</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180" w:after="0"/>
        <w:jc w:val="both"/>
        <w:rPr/>
      </w:pPr>
      <w:r>
        <w:rPr/>
        <w:t> </w:t>
      </w:r>
    </w:p>
    <w:p>
      <w:pPr>
        <w:pStyle w:val="TextBody"/>
        <w:spacing w:before="0" w:after="0"/>
        <w:rPr>
          <w:rFonts w:ascii="Arial" w:hAnsi="Arial"/>
          <w:b/>
          <w:i w:val="false"/>
          <w:caps w:val="false"/>
          <w:smallCaps w:val="false"/>
          <w:color w:val="000000"/>
          <w:sz w:val="20"/>
        </w:rPr>
      </w:pPr>
      <w:r>
        <w:rPr>
          <w:rFonts w:ascii="Arial" w:hAnsi="Arial"/>
          <w:b/>
          <w:i w:val="false"/>
          <w:caps w:val="false"/>
          <w:smallCaps w:val="false"/>
          <w:color w:val="000000"/>
          <w:sz w:val="20"/>
          <w:highlight w:val="white"/>
        </w:rPr>
        <w:t xml:space="preserve">NOTE </w:t>
      </w:r>
      <w:r>
        <w:rPr>
          <w:rFonts w:ascii="Arial" w:hAnsi="Arial"/>
          <w:b/>
          <w:i w:val="false"/>
          <w:caps w:val="false"/>
          <w:smallCaps w:val="false"/>
          <w:color w:val="000000"/>
          <w:sz w:val="20"/>
        </w:rPr>
        <w:t>2. DISAGGREGATION OF REVENUE</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generates revenue from marketplace and logistics services provided to merchants. Revenue is recognized as the Company transfers control of promised goods or services to its users in an amount that reflects the consideration the Company expects to be entitled to in exchange for those goods or services. The Company considers both the merchant and the user to be customers. The Company evaluates whether it is appropriate to recognize revenue on a gross or net basis based upon its evaluation of whether the Company obtains control of the specified goods or services by considering if it is primarily responsible for fulfillment of the promise, has inventory risk, has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 </w:t>
      </w:r>
    </w:p>
    <w:p>
      <w:pPr>
        <w:pStyle w:val="TextBody"/>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Marketplace revenue includes commission fees collected in connection with user purchases of the merchants’ products. The commission fees vary depending on factors such as user location, demand, product type, and dynamic pricing. The Company recognizes revenue when a user’s order is processed and the related order information has been made available to the merchant. Commission fees are recognized net of estimated refunds and chargebacks. Marketplace revenue also includes ProductBoost revenue for displaying a merchant’s selected products in preferential locations within the Company’s marketplace. The Company recognizes revenue when the merchants’ selected products are displayed. The Company refers to its marketplace revenue, excluding ProductBoost revenue, as its Core marketplace revenue.</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Company’s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 The Company recognizes revenue over time as the merchant simultaneously receives and consumes the logistics services benefit as the services are performed. The Company uses an output method of progress based on days in transit as it best depicts the Company’s progress toward complete satisfaction of the performance obligation.</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The following table shows the disaggregated revenue for the applicable periods:</w:t>
      </w:r>
    </w:p>
    <w:p>
      <w:pPr>
        <w:pStyle w:val="TextBody"/>
        <w:spacing w:before="0" w:after="0"/>
        <w:jc w:val="both"/>
        <w:rPr/>
      </w:pPr>
      <w:r>
        <w:rPr/>
        <w:t> </w:t>
      </w:r>
    </w:p>
    <w:tbl>
      <w:tblPr>
        <w:tblW w:w="6216" w:type="dxa"/>
        <w:jc w:val="left"/>
        <w:tblInd w:w="0" w:type="dxa"/>
        <w:tblCellMar>
          <w:top w:w="0" w:type="dxa"/>
          <w:left w:w="0" w:type="dxa"/>
          <w:bottom w:w="0" w:type="dxa"/>
          <w:right w:w="0" w:type="dxa"/>
        </w:tblCellMar>
      </w:tblPr>
      <w:tblGrid>
        <w:gridCol w:w="2300"/>
        <w:gridCol w:w="60"/>
        <w:gridCol w:w="234"/>
        <w:gridCol w:w="629"/>
        <w:gridCol w:w="112"/>
        <w:gridCol w:w="112"/>
        <w:gridCol w:w="234"/>
        <w:gridCol w:w="629"/>
        <w:gridCol w:w="60"/>
        <w:gridCol w:w="60"/>
        <w:gridCol w:w="157"/>
        <w:gridCol w:w="631"/>
        <w:gridCol w:w="75"/>
        <w:gridCol w:w="75"/>
        <w:gridCol w:w="157"/>
        <w:gridCol w:w="631"/>
        <w:gridCol w:w="60"/>
      </w:tblGrid>
      <w:tr>
        <w:trPr/>
        <w:tc>
          <w:tcPr>
            <w:tcW w:w="230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950"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726"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95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726"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1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7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8"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3796" w:type="dxa"/>
            <w:gridSpan w:val="14"/>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 xml:space="preserve">(in millions)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Core marketplace revenue</w:t>
            </w:r>
          </w:p>
        </w:tc>
        <w:tc>
          <w:tcPr>
            <w:tcW w:w="60" w:type="dxa"/>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23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2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378</w:t>
            </w:r>
          </w:p>
        </w:tc>
        <w:tc>
          <w:tcPr>
            <w:tcW w:w="11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23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2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15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3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855</w:t>
            </w:r>
          </w:p>
        </w:tc>
        <w:tc>
          <w:tcPr>
            <w:tcW w:w="7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15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31"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895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ProductBoost revenue</w:t>
            </w:r>
          </w:p>
        </w:tc>
        <w:tc>
          <w:tcPr>
            <w:tcW w:w="60" w:type="dxa"/>
            <w:tcBorders>
              <w:bottom w:val="single" w:sz="6" w:space="0" w:color="000000"/>
            </w:tcBorders>
            <w:shd w:fill="FFFFFF" w:val="clear"/>
            <w:tcMar>
              <w:bottom w:w="28"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9"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50</w:t>
            </w:r>
          </w:p>
        </w:tc>
        <w:tc>
          <w:tcPr>
            <w:tcW w:w="11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single" w:sz="6" w:space="0" w:color="000000"/>
            </w:tcBorders>
            <w:shd w:fill="FFFFFF" w:val="clear"/>
            <w:tcMar>
              <w:bottom w:w="28"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9"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7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FFFFFF" w:val="clear"/>
            <w:tcMar>
              <w:bottom w:w="28"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89</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Marketplace revenue</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9"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428</w:t>
            </w:r>
          </w:p>
        </w:tc>
        <w:tc>
          <w:tcPr>
            <w:tcW w:w="11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9"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955</w:t>
            </w:r>
          </w:p>
        </w:tc>
        <w:tc>
          <w:tcPr>
            <w:tcW w:w="7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984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Logistics revenue</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9"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228</w:t>
            </w:r>
          </w:p>
        </w:tc>
        <w:tc>
          <w:tcPr>
            <w:tcW w:w="11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9"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473</w:t>
            </w:r>
          </w:p>
        </w:tc>
        <w:tc>
          <w:tcPr>
            <w:tcW w:w="7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1"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157</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doub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Revenue</w:t>
            </w:r>
          </w:p>
        </w:tc>
        <w:tc>
          <w:tcPr>
            <w:tcW w:w="60" w:type="dxa"/>
            <w:tcBorders>
              <w:bottom w:val="double" w:sz="6" w:space="0" w:color="000000"/>
            </w:tcBorders>
            <w:shd w:fill="CFF0FC" w:val="clear"/>
            <w:tcMar>
              <w:bottom w:w="28"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3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29"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656</w:t>
            </w:r>
          </w:p>
        </w:tc>
        <w:tc>
          <w:tcPr>
            <w:tcW w:w="112"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double" w:sz="6" w:space="0" w:color="000000"/>
            </w:tcBorders>
            <w:shd w:fill="CFF0FC" w:val="clear"/>
            <w:tcMar>
              <w:bottom w:w="28"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3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29"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701</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3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1,428</w:t>
            </w:r>
          </w:p>
        </w:tc>
        <w:tc>
          <w:tcPr>
            <w:tcW w:w="7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double" w:sz="6" w:space="0" w:color="000000"/>
            </w:tcBorders>
            <w:shd w:fill="CFF0FC" w:val="clear"/>
            <w:tcMar>
              <w:bottom w:w="28"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3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1,141</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Refer to Note 11 – Geographical Information for the disaggregated revenue by geographical location. </w:t>
      </w:r>
    </w:p>
    <w:p>
      <w:pPr>
        <w:pStyle w:val="TextBody"/>
        <w:spacing w:before="360" w:after="0"/>
        <w:rPr>
          <w:rFonts w:ascii="Arial" w:hAnsi="Arial"/>
          <w:b/>
          <w:i w:val="false"/>
          <w:caps w:val="false"/>
          <w:smallCaps w:val="false"/>
          <w:color w:val="000000"/>
          <w:sz w:val="20"/>
        </w:rPr>
      </w:pPr>
      <w:r>
        <w:rPr>
          <w:rFonts w:ascii="Arial" w:hAnsi="Arial"/>
          <w:b/>
          <w:i w:val="false"/>
          <w:caps w:val="false"/>
          <w:smallCaps w:val="false"/>
          <w:color w:val="000000"/>
          <w:sz w:val="20"/>
          <w:highlight w:val="white"/>
        </w:rPr>
        <w:t xml:space="preserve">Note </w:t>
      </w:r>
      <w:r>
        <w:rPr>
          <w:rFonts w:ascii="Arial" w:hAnsi="Arial"/>
          <w:b/>
          <w:i w:val="false"/>
          <w:caps w:val="false"/>
          <w:smallCaps w:val="false"/>
          <w:color w:val="000000"/>
          <w:sz w:val="20"/>
        </w:rPr>
        <w:t xml:space="preserve">3. </w:t>
      </w:r>
      <w:r>
        <w:rPr>
          <w:rFonts w:ascii="Arial" w:hAnsi="Arial"/>
          <w:b/>
          <w:i w:val="false"/>
          <w:caps/>
          <w:color w:val="000000"/>
          <w:sz w:val="20"/>
        </w:rPr>
        <w:t>FINANCIAL INSTRUMENTS AND FAIR VALUE MEASUREMENT</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Assets and liabilities recognized at fair value on a recurring basis in the condensed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 The fair value hierarchy contains three levels of inputs that may be used to measure fair value, in accordance with ASC 820, as follows:</w:t>
      </w:r>
    </w:p>
    <w:p>
      <w:pPr>
        <w:pStyle w:val="TextBody"/>
        <w:spacing w:before="180" w:after="0"/>
        <w:ind w:left="720" w:right="0" w:hanging="0"/>
        <w:jc w:val="both"/>
        <w:rPr>
          <w:caps w:val="false"/>
          <w:smallCaps w:val="false"/>
        </w:rPr>
      </w:pPr>
      <w:r>
        <w:rPr>
          <w:caps w:val="false"/>
          <w:smallCaps w:val="false"/>
        </w:rPr>
        <w:t>●</w:t>
      </w:r>
      <w:r>
        <w:rPr>
          <w:rFonts w:ascii="Arial" w:hAnsi="Arial"/>
          <w:b w:val="false"/>
          <w:i w:val="false"/>
          <w:caps w:val="false"/>
          <w:smallCaps w:val="false"/>
          <w:sz w:val="20"/>
        </w:rPr>
        <w:t>Level 1: inputs, which include quoted prices in active markets for identical assets or liabilities;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180" w:after="0"/>
        <w:ind w:left="720" w:right="0" w:hanging="0"/>
        <w:jc w:val="both"/>
        <w:rPr>
          <w:caps w:val="false"/>
          <w:smallCaps w:val="false"/>
        </w:rPr>
      </w:pPr>
      <w:r>
        <w:rPr>
          <w:caps w:val="false"/>
          <w:smallCaps w:val="false"/>
        </w:rPr>
        <w:t>●</w:t>
      </w:r>
      <w:r>
        <w:rPr>
          <w:rFonts w:ascii="Arial" w:hAnsi="Arial"/>
          <w:b w:val="false"/>
          <w:i w:val="false"/>
          <w:caps w:val="false"/>
          <w:smallCaps w:val="false"/>
          <w:sz w:val="20"/>
        </w:rPr>
        <w:t>Level 2: inputs, which include observable inputs other than Level 1 inputs, such as quoted prices for similar assets or liabilities, quoted prices for identical or similar assets or liabilities in markets that are not active, or other inputs that are observable or can be corroborated by observable market data for substantially the full term of the asset or liability. When sufficient quoted pricing for identical securities is not available, the Company uses market pricing and other observable market inputs for similar securities obtained from various third-party data providers. These inputs either represent quoted prices for similar assets in active markets or have been derived from observable market data; and</w:t>
      </w:r>
    </w:p>
    <w:p>
      <w:pPr>
        <w:pStyle w:val="TextBody"/>
        <w:spacing w:before="180" w:after="0"/>
        <w:ind w:left="720" w:right="0" w:hanging="0"/>
        <w:jc w:val="both"/>
        <w:rPr>
          <w:caps w:val="false"/>
          <w:smallCaps w:val="false"/>
        </w:rPr>
      </w:pPr>
      <w:r>
        <w:rPr>
          <w:caps w:val="false"/>
          <w:smallCaps w:val="false"/>
        </w:rPr>
        <w:t>●</w:t>
      </w:r>
      <w:r>
        <w:rPr>
          <w:rFonts w:ascii="Arial" w:hAnsi="Arial"/>
          <w:b w:val="false"/>
          <w:i w:val="false"/>
          <w:caps w:val="false"/>
          <w:smallCaps w:val="false"/>
          <w:sz w:val="20"/>
        </w:rPr>
        <w:t>Level 3: inputs, which include unobservable inputs that are supported by little or no market activity and that are significant to the fair value of the underlying asset or liability. Level 3 assets and liabilities include those whose fair value measurements are determined using pricing models, discounted cash flow methodologies, or similar valuation techniques, as well as significant management judgment or estimation.</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determining fair value, the Company utilizes valuation techniques that maximize the use of observable inputs and minimize the use of unobservable inputs to the extent possible as well as considers counterparty credit risk in its assessment of fair value.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Financial assets and liabilities subject to fair value measurements on a recurring basis and the level of inputs used in such measurements are as follows: </w:t>
      </w:r>
    </w:p>
    <w:tbl>
      <w:tblPr>
        <w:tblW w:w="5917" w:type="dxa"/>
        <w:jc w:val="left"/>
        <w:tblInd w:w="0" w:type="dxa"/>
        <w:tblCellMar>
          <w:top w:w="0" w:type="dxa"/>
          <w:left w:w="0" w:type="dxa"/>
          <w:bottom w:w="28" w:type="dxa"/>
          <w:right w:w="0" w:type="dxa"/>
        </w:tblCellMar>
      </w:tblPr>
      <w:tblGrid>
        <w:gridCol w:w="2915"/>
        <w:gridCol w:w="60"/>
        <w:gridCol w:w="131"/>
        <w:gridCol w:w="354"/>
        <w:gridCol w:w="60"/>
        <w:gridCol w:w="60"/>
        <w:gridCol w:w="220"/>
        <w:gridCol w:w="459"/>
        <w:gridCol w:w="60"/>
        <w:gridCol w:w="60"/>
        <w:gridCol w:w="183"/>
        <w:gridCol w:w="496"/>
        <w:gridCol w:w="60"/>
        <w:gridCol w:w="60"/>
        <w:gridCol w:w="220"/>
        <w:gridCol w:w="459"/>
        <w:gridCol w:w="60"/>
      </w:tblGrid>
      <w:tr>
        <w:trPr/>
        <w:tc>
          <w:tcPr>
            <w:tcW w:w="2915"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82" w:type="dxa"/>
            <w:gridSpan w:val="14"/>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Level 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Level 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82"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Financial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Money market funds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U.S. Treasury bills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Commercial paper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Corporate bonds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Certificates of deposit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Non-U.S. government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marketable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Prepaid and other 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Derivative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doub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financial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Financial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Accrued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Derivative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doub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financial liabilities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pPr>
      <w:r>
        <w:rPr/>
        <w:t> </w:t>
      </w:r>
    </w:p>
    <w:tbl>
      <w:tblPr>
        <w:tblW w:w="5917" w:type="dxa"/>
        <w:jc w:val="left"/>
        <w:tblInd w:w="0" w:type="dxa"/>
        <w:tblCellMar>
          <w:top w:w="0" w:type="dxa"/>
          <w:left w:w="0" w:type="dxa"/>
          <w:bottom w:w="28" w:type="dxa"/>
          <w:right w:w="0" w:type="dxa"/>
        </w:tblCellMar>
      </w:tblPr>
      <w:tblGrid>
        <w:gridCol w:w="2915"/>
        <w:gridCol w:w="60"/>
        <w:gridCol w:w="131"/>
        <w:gridCol w:w="354"/>
        <w:gridCol w:w="60"/>
        <w:gridCol w:w="60"/>
        <w:gridCol w:w="220"/>
        <w:gridCol w:w="459"/>
        <w:gridCol w:w="60"/>
        <w:gridCol w:w="60"/>
        <w:gridCol w:w="183"/>
        <w:gridCol w:w="496"/>
        <w:gridCol w:w="60"/>
        <w:gridCol w:w="60"/>
        <w:gridCol w:w="220"/>
        <w:gridCol w:w="459"/>
        <w:gridCol w:w="60"/>
      </w:tblGrid>
      <w:tr>
        <w:trPr/>
        <w:tc>
          <w:tcPr>
            <w:tcW w:w="2915"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82" w:type="dxa"/>
            <w:gridSpan w:val="14"/>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Level 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Level 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82"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Financial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Money market funds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U.S. Treasury bills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Commercial paper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cash equivalents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U.S. Treasury bills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Commercial paper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Corporate bonds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marketable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Prepaid and other current assets:</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Derivative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doub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financial assets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210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Financial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Accrued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Derivative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5" w:type="dxa"/>
            <w:tcBorders>
              <w:bottom w:val="double" w:sz="6" w:space="0" w:color="000000"/>
            </w:tcBorders>
            <w:shd w:fill="FFFFFF"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financial liabilities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table summarizes the contractual maturities of the Company’s marketable securities: </w:t>
      </w:r>
    </w:p>
    <w:p>
      <w:pPr>
        <w:pStyle w:val="TextBody"/>
        <w:spacing w:before="0" w:after="0"/>
        <w:jc w:val="both"/>
        <w:rPr/>
      </w:pPr>
      <w:r>
        <w:rPr/>
        <w:t> </w:t>
      </w:r>
    </w:p>
    <w:tbl>
      <w:tblPr>
        <w:tblW w:w="7639" w:type="dxa"/>
        <w:jc w:val="left"/>
        <w:tblInd w:w="0" w:type="dxa"/>
        <w:tblCellMar>
          <w:top w:w="0" w:type="dxa"/>
          <w:left w:w="0" w:type="dxa"/>
          <w:bottom w:w="0" w:type="dxa"/>
          <w:right w:w="0" w:type="dxa"/>
        </w:tblCellMar>
      </w:tblPr>
      <w:tblGrid>
        <w:gridCol w:w="3245"/>
        <w:gridCol w:w="60"/>
        <w:gridCol w:w="266"/>
        <w:gridCol w:w="714"/>
        <w:gridCol w:w="60"/>
        <w:gridCol w:w="60"/>
        <w:gridCol w:w="262"/>
        <w:gridCol w:w="702"/>
        <w:gridCol w:w="60"/>
        <w:gridCol w:w="60"/>
        <w:gridCol w:w="266"/>
        <w:gridCol w:w="714"/>
        <w:gridCol w:w="73"/>
        <w:gridCol w:w="73"/>
        <w:gridCol w:w="262"/>
        <w:gridCol w:w="702"/>
        <w:gridCol w:w="60"/>
      </w:tblGrid>
      <w:tr>
        <w:trPr/>
        <w:tc>
          <w:tcPr>
            <w:tcW w:w="324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4"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0"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4"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9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Amortized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Cost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Estimated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Fair Value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Amortized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Cost</w:t>
            </w:r>
          </w:p>
        </w:tc>
        <w:tc>
          <w:tcPr>
            <w:tcW w:w="7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Estimated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Fair Value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74" w:type="dxa"/>
            <w:gridSpan w:val="14"/>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Due within one year</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4"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4"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164</w:t>
            </w:r>
          </w:p>
        </w:tc>
        <w:tc>
          <w:tcPr>
            <w:tcW w:w="7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Due after one year through five years</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7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doub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marketable securities</w:t>
            </w:r>
          </w:p>
        </w:tc>
        <w:tc>
          <w:tcPr>
            <w:tcW w:w="60" w:type="dxa"/>
            <w:tcBorders>
              <w:bottom w:val="double" w:sz="6" w:space="0" w:color="000000"/>
            </w:tcBorders>
            <w:shd w:fill="CFF0FC"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1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73"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0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168</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gain and net loss on available-for-sale marketable securities as of June 30, 2021 and December 31, 2020 were immaterial.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160" w:after="0"/>
        <w:rPr>
          <w:rFonts w:ascii="Arial" w:hAnsi="Arial"/>
          <w:b/>
          <w:i w:val="false"/>
          <w:caps w:val="false"/>
          <w:smallCaps w:val="false"/>
          <w:color w:val="000000"/>
          <w:sz w:val="20"/>
        </w:rPr>
      </w:pPr>
      <w:r>
        <w:rPr>
          <w:rFonts w:ascii="Arial" w:hAnsi="Arial"/>
          <w:b/>
          <w:i w:val="false"/>
          <w:caps w:val="false"/>
          <w:smallCaps w:val="false"/>
          <w:color w:val="000000"/>
          <w:sz w:val="20"/>
          <w:highlight w:val="white"/>
        </w:rPr>
        <w:t xml:space="preserve">NOTE </w:t>
      </w:r>
      <w:r>
        <w:rPr>
          <w:rFonts w:ascii="Arial" w:hAnsi="Arial"/>
          <w:b/>
          <w:i w:val="false"/>
          <w:caps w:val="false"/>
          <w:smallCaps w:val="false"/>
          <w:color w:val="000000"/>
          <w:sz w:val="20"/>
        </w:rPr>
        <w:t>4. BALANCE SHEET COMPONENTS</w:t>
      </w:r>
    </w:p>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 xml:space="preserve">Accrued Liabilities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Accrued liabilities consist of the following: </w:t>
      </w:r>
    </w:p>
    <w:tbl>
      <w:tblPr>
        <w:tblW w:w="4333" w:type="dxa"/>
        <w:jc w:val="left"/>
        <w:tblInd w:w="0" w:type="dxa"/>
        <w:tblCellMar>
          <w:top w:w="0" w:type="dxa"/>
          <w:left w:w="0" w:type="dxa"/>
          <w:bottom w:w="0" w:type="dxa"/>
          <w:right w:w="0" w:type="dxa"/>
        </w:tblCellMar>
      </w:tblPr>
      <w:tblGrid>
        <w:gridCol w:w="2015"/>
        <w:gridCol w:w="60"/>
        <w:gridCol w:w="217"/>
        <w:gridCol w:w="582"/>
        <w:gridCol w:w="60"/>
        <w:gridCol w:w="60"/>
        <w:gridCol w:w="347"/>
        <w:gridCol w:w="932"/>
        <w:gridCol w:w="60"/>
      </w:tblGrid>
      <w:tr>
        <w:trPr/>
        <w:tc>
          <w:tcPr>
            <w:tcW w:w="201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9"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9" w:type="dxa"/>
            <w:gridSpan w:val="2"/>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2"/>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98"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Vendor services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3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Deferred revenue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shd w:fill="CFF0FC" w:val="clear"/>
          </w:tcPr>
          <w:p>
            <w:pPr>
              <w:pStyle w:val="TableContents"/>
              <w:spacing w:lineRule="auto" w:line="288"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Wish Cash liability(1)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137</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15" w:type="dxa"/>
            <w:tcBorders>
              <w:bottom w:val="doub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accrued liabilities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248</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3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367</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226"/>
        <w:gridCol w:w="9919"/>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26"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19" w:type="dxa"/>
            <w:tcBorders/>
            <w:shd w:fill="auto" w:val="clear"/>
          </w:tcPr>
          <w:p>
            <w:pPr>
              <w:pStyle w:val="TableContents"/>
              <w:spacing w:before="0" w:after="0"/>
              <w:jc w:val="both"/>
              <w:rPr>
                <w:b w:val="false"/>
                <w:i w:val="false"/>
                <w:caps w:val="false"/>
                <w:smallCaps w:val="false"/>
              </w:rPr>
            </w:pPr>
            <w:r>
              <w:rPr>
                <w:rFonts w:ascii="Arial" w:hAnsi="Arial"/>
                <w:b w:val="false"/>
                <w:i w:val="false"/>
                <w:caps w:val="false"/>
                <w:smallCaps w:val="false"/>
                <w:color w:val="000000"/>
                <w:sz w:val="18"/>
              </w:rPr>
              <w:t>While the Company will continue to honor all Wish Cash presented for payment, it may determine the likelihood of redemption to be remote for certain Wish Cash liability balances due to, among other things, long periods of inactivity. In these circumstances, to the extent the Company determines there is no requirement for remitting Wish Cash balances to government agencies under unclaimed property laws, the portion of Wish Cash liability balances not expected to be redeemed are recognized in Core marketplace revenue.</w:t>
            </w:r>
            <w:r>
              <w:rPr>
                <w:b w:val="false"/>
                <w:i w:val="false"/>
                <w:caps w:val="false"/>
                <w:smallCaps w:val="false"/>
                <w:color w:val="000000"/>
              </w:rPr>
              <w:t> </w:t>
            </w:r>
            <w:r>
              <w:rPr>
                <w:rFonts w:ascii="Arial" w:hAnsi="Arial"/>
                <w:b w:val="false"/>
                <w:i w:val="false"/>
                <w:caps w:val="false"/>
                <w:smallCaps w:val="false"/>
                <w:color w:val="000000"/>
                <w:sz w:val="18"/>
              </w:rPr>
              <w:t xml:space="preserve">The Company recognized approximately $21 million of Wish Cash liability breakage in Core marketplace revenue during the three and six months ended June 30, 2021. </w:t>
            </w:r>
          </w:p>
        </w:tc>
      </w:tr>
    </w:tbl>
    <w:p>
      <w:pPr>
        <w:pStyle w:val="TextBody"/>
        <w:spacing w:before="0" w:after="0"/>
        <w:jc w:val="both"/>
        <w:rPr/>
      </w:pPr>
      <w:r>
        <w:rPr/>
        <w:t> </w:t>
      </w:r>
    </w:p>
    <w:p>
      <w:pPr>
        <w:pStyle w:val="TextBody"/>
        <w:spacing w:before="80" w:after="0"/>
        <w:jc w:val="both"/>
        <w:rPr>
          <w:rFonts w:ascii="Arial" w:hAnsi="Arial"/>
          <w:b/>
          <w:i w:val="false"/>
          <w:caps w:val="false"/>
          <w:smallCaps w:val="false"/>
          <w:color w:val="000000"/>
          <w:sz w:val="20"/>
        </w:rPr>
      </w:pPr>
      <w:r>
        <w:rPr>
          <w:rFonts w:ascii="Arial" w:hAnsi="Arial"/>
          <w:b/>
          <w:i w:val="false"/>
          <w:caps w:val="false"/>
          <w:smallCaps w:val="false"/>
          <w:color w:val="000000"/>
          <w:sz w:val="20"/>
          <w:highlight w:val="white"/>
        </w:rPr>
        <w:t xml:space="preserve">NOTE </w:t>
      </w:r>
      <w:r>
        <w:rPr>
          <w:rFonts w:ascii="Arial" w:hAnsi="Arial"/>
          <w:b/>
          <w:i w:val="false"/>
          <w:caps w:val="false"/>
          <w:smallCaps w:val="false"/>
          <w:color w:val="000000"/>
          <w:sz w:val="20"/>
        </w:rPr>
        <w:t>5. DERIVATIVE FINANCIAL INSTRUMENTS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The Company bills its users in their local currencies, primarily in U.S. dollars and Euros, and the Company makes payments to the merchants in China for products sold on the Wish platform in Renminbi, which creates exposure to currency rate fluctuations. The Company hedges these exposures to reduce the risk that its earnings and cash flows will be adversely affected by changes in exchange rates. As part of the Company’s foreign currency risk mitigation strategy, the Company enters into foreign exchange derivative contracts with up to twelve months in duration to hedge exposures for variability in U.S.-dollar equivalent of non-U.S.-dollar denominated cash flows associated with its forecasted revenue related transactions.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Company’s derivatives transactions are not collateralized and do not include collateralization agreements with counterparties. The Company does not use derivative financial instruments for speculative or trading purposes.</w:t>
      </w:r>
    </w:p>
    <w:p>
      <w:pPr>
        <w:pStyle w:val="TextBody"/>
        <w:spacing w:before="180" w:after="0"/>
        <w:jc w:val="both"/>
        <w:rPr>
          <w:rFonts w:ascii="Arial" w:hAnsi="Arial"/>
          <w:b w:val="false"/>
          <w:i/>
          <w:caps w:val="false"/>
          <w:smallCaps w:val="false"/>
          <w:sz w:val="20"/>
        </w:rPr>
      </w:pPr>
      <w:r>
        <w:rPr>
          <w:rFonts w:ascii="Arial" w:hAnsi="Arial"/>
          <w:b w:val="false"/>
          <w:i/>
          <w:caps w:val="false"/>
          <w:smallCaps w:val="false"/>
          <w:sz w:val="20"/>
        </w:rPr>
        <w:t>Volume of Derivative Activity</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Total gross notional amounts for outstanding derivatives (recognized at fair value) as of the end of period consist of the following: </w:t>
      </w:r>
    </w:p>
    <w:p>
      <w:pPr>
        <w:pStyle w:val="TextBody"/>
        <w:spacing w:before="0" w:after="0"/>
        <w:jc w:val="both"/>
        <w:rPr/>
      </w:pPr>
      <w:r>
        <w:rPr/>
        <w:t> </w:t>
      </w:r>
    </w:p>
    <w:tbl>
      <w:tblPr>
        <w:tblW w:w="4379" w:type="dxa"/>
        <w:jc w:val="left"/>
        <w:tblInd w:w="0" w:type="dxa"/>
        <w:tblCellMar>
          <w:top w:w="0" w:type="dxa"/>
          <w:left w:w="0" w:type="dxa"/>
          <w:bottom w:w="0" w:type="dxa"/>
          <w:right w:w="0" w:type="dxa"/>
        </w:tblCellMar>
      </w:tblPr>
      <w:tblGrid>
        <w:gridCol w:w="2060"/>
        <w:gridCol w:w="60"/>
        <w:gridCol w:w="217"/>
        <w:gridCol w:w="582"/>
        <w:gridCol w:w="60"/>
        <w:gridCol w:w="60"/>
        <w:gridCol w:w="256"/>
        <w:gridCol w:w="1024"/>
        <w:gridCol w:w="60"/>
      </w:tblGrid>
      <w:tr>
        <w:trPr/>
        <w:tc>
          <w:tcPr>
            <w:tcW w:w="20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9" w:type="dxa"/>
            <w:gridSpan w:val="2"/>
            <w:tcBorders/>
            <w:shd w:fill="FFFFFF" w:val="clear"/>
            <w:vAlign w:val="center"/>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0" w:type="dxa"/>
            <w:gridSpan w:val="2"/>
            <w:tcBorders/>
            <w:shd w:fill="FFFFFF" w:val="clear"/>
            <w:vAlign w:val="center"/>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99"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6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flow hedges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24"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60"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Non-designated hedges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4"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60" w:type="dxa"/>
            <w:tcBorders>
              <w:bottom w:val="doub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628</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2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1,022</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60" w:after="0"/>
        <w:jc w:val="both"/>
        <w:rPr>
          <w:rFonts w:ascii="Arial" w:hAnsi="Arial"/>
          <w:b w:val="false"/>
          <w:i/>
          <w:caps w:val="false"/>
          <w:smallCaps w:val="false"/>
          <w:sz w:val="20"/>
        </w:rPr>
      </w:pPr>
      <w:r>
        <w:rPr>
          <w:rFonts w:ascii="Arial" w:hAnsi="Arial"/>
          <w:b w:val="false"/>
          <w:i/>
          <w:caps w:val="false"/>
          <w:smallCaps w:val="false"/>
          <w:sz w:val="20"/>
        </w:rPr>
        <w:t>Fair Value of Derivative Financial Instruments</w:t>
      </w:r>
    </w:p>
    <w:p>
      <w:pPr>
        <w:pStyle w:val="TextBody"/>
        <w:spacing w:before="0" w:after="0"/>
        <w:jc w:val="both"/>
        <w:rPr/>
      </w:pPr>
      <w:r>
        <w:rPr/>
        <w:t> </w:t>
      </w:r>
    </w:p>
    <w:tbl>
      <w:tblPr>
        <w:tblW w:w="9100" w:type="dxa"/>
        <w:jc w:val="left"/>
        <w:tblInd w:w="0" w:type="dxa"/>
        <w:tblCellMar>
          <w:top w:w="0" w:type="dxa"/>
          <w:left w:w="0" w:type="dxa"/>
          <w:bottom w:w="28" w:type="dxa"/>
          <w:right w:w="0" w:type="dxa"/>
        </w:tblCellMar>
      </w:tblPr>
      <w:tblGrid>
        <w:gridCol w:w="4310"/>
        <w:gridCol w:w="60"/>
        <w:gridCol w:w="429"/>
        <w:gridCol w:w="430"/>
        <w:gridCol w:w="101"/>
        <w:gridCol w:w="101"/>
        <w:gridCol w:w="376"/>
        <w:gridCol w:w="783"/>
        <w:gridCol w:w="60"/>
        <w:gridCol w:w="60"/>
        <w:gridCol w:w="290"/>
        <w:gridCol w:w="605"/>
        <w:gridCol w:w="138"/>
        <w:gridCol w:w="138"/>
        <w:gridCol w:w="575"/>
        <w:gridCol w:w="584"/>
        <w:gridCol w:w="60"/>
      </w:tblGrid>
      <w:tr>
        <w:trPr/>
        <w:tc>
          <w:tcPr>
            <w:tcW w:w="431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3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 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2"/>
            <w:tcBorders>
              <w:top w:val="single" w:sz="6" w:space="0" w:color="000000"/>
              <w:bottom w:val="single" w:sz="6" w:space="0" w:color="000000"/>
            </w:tcBorders>
            <w:shd w:fill="FFFFFF" w:val="clear"/>
            <w:tcMar>
              <w:top w:w="28" w:type="dxa"/>
            </w:tcMar>
            <w:vAlign w:val="bottom"/>
          </w:tcPr>
          <w:p>
            <w:pPr>
              <w:pStyle w:val="TableContents"/>
              <w:spacing w:lineRule="auto" w:line="288"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Assets(1)</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9" w:type="dxa"/>
            <w:gridSpan w:val="2"/>
            <w:tcBorders>
              <w:top w:val="single" w:sz="6" w:space="0" w:color="000000"/>
              <w:bottom w:val="single" w:sz="6" w:space="0" w:color="000000"/>
            </w:tcBorders>
            <w:shd w:fill="FFFFFF" w:val="clear"/>
            <w:tcMar>
              <w:top w:w="28" w:type="dxa"/>
            </w:tcMar>
            <w:vAlign w:val="bottom"/>
          </w:tcPr>
          <w:p>
            <w:pPr>
              <w:pStyle w:val="TableContents"/>
              <w:spacing w:lineRule="auto" w:line="288"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Liabilities(2)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5" w:type="dxa"/>
            <w:gridSpan w:val="2"/>
            <w:tcBorders>
              <w:top w:val="single" w:sz="6" w:space="0" w:color="000000"/>
              <w:bottom w:val="single" w:sz="6" w:space="0" w:color="000000"/>
            </w:tcBorders>
            <w:shd w:fill="FFFFFF" w:val="clear"/>
            <w:tcMar>
              <w:top w:w="28" w:type="dxa"/>
            </w:tcMar>
            <w:vAlign w:val="bottom"/>
          </w:tcPr>
          <w:p>
            <w:pPr>
              <w:pStyle w:val="TableContents"/>
              <w:spacing w:lineRule="auto" w:line="288"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Assets(1)</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9" w:type="dxa"/>
            <w:gridSpan w:val="2"/>
            <w:tcBorders>
              <w:top w:val="single" w:sz="6" w:space="0" w:color="000000"/>
              <w:bottom w:val="single" w:sz="6" w:space="0" w:color="000000"/>
            </w:tcBorders>
            <w:shd w:fill="FFFFFF" w:val="clear"/>
            <w:tcMar>
              <w:top w:w="28" w:type="dxa"/>
            </w:tcMar>
            <w:vAlign w:val="bottom"/>
          </w:tcPr>
          <w:p>
            <w:pPr>
              <w:pStyle w:val="TableContents"/>
              <w:spacing w:lineRule="auto" w:line="288"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Liabilities(2)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70"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Derivative designated as hedging instruments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flow hedges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3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8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Derivative not designated as hedging instruments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Foreign currency forward contracts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30"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8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4"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1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derivatives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10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13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tbl>
      <w:tblPr>
        <w:tblW w:w="9595" w:type="dxa"/>
        <w:jc w:val="left"/>
        <w:tblInd w:w="0" w:type="dxa"/>
        <w:tblCellMar>
          <w:top w:w="0" w:type="dxa"/>
          <w:left w:w="0" w:type="dxa"/>
          <w:bottom w:w="0" w:type="dxa"/>
          <w:right w:w="0" w:type="dxa"/>
        </w:tblCellMar>
      </w:tblPr>
      <w:tblGrid>
        <w:gridCol w:w="60"/>
        <w:gridCol w:w="245"/>
        <w:gridCol w:w="929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5" w:type="dxa"/>
            <w:tcBorders/>
            <w:shd w:fill="auto" w:val="clear"/>
          </w:tcPr>
          <w:p>
            <w:pPr>
              <w:pStyle w:val="TableContents"/>
              <w:spacing w:before="0" w:after="0"/>
              <w:jc w:val="both"/>
              <w:rPr>
                <w:rFonts w:ascii="Arial" w:hAnsi="Arial"/>
                <w:b w:val="false"/>
                <w:i w:val="false"/>
                <w:caps w:val="false"/>
                <w:smallCaps w:val="false"/>
                <w:sz w:val="18"/>
              </w:rPr>
            </w:pPr>
            <w:r>
              <w:rPr>
                <w:rFonts w:ascii="Arial" w:hAnsi="Arial"/>
                <w:b w:val="false"/>
                <w:i w:val="false"/>
                <w:caps w:val="false"/>
                <w:smallCaps w:val="false"/>
                <w:sz w:val="18"/>
              </w:rPr>
              <w:t>(1)</w:t>
            </w:r>
          </w:p>
        </w:tc>
        <w:tc>
          <w:tcPr>
            <w:tcW w:w="9290" w:type="dxa"/>
            <w:tcBorders/>
            <w:shd w:fill="auto" w:val="clear"/>
          </w:tcPr>
          <w:p>
            <w:pPr>
              <w:pStyle w:val="TableContents"/>
              <w:spacing w:before="0" w:after="0"/>
              <w:jc w:val="both"/>
              <w:rPr>
                <w:rFonts w:ascii="Arial" w:hAnsi="Arial"/>
                <w:b w:val="false"/>
                <w:i w:val="false"/>
                <w:caps w:val="false"/>
                <w:smallCaps w:val="false"/>
                <w:sz w:val="18"/>
              </w:rPr>
            </w:pPr>
            <w:r>
              <w:rPr>
                <w:rFonts w:ascii="Arial" w:hAnsi="Arial"/>
                <w:b w:val="false"/>
                <w:i w:val="false"/>
                <w:caps w:val="false"/>
                <w:smallCaps w:val="false"/>
                <w:sz w:val="18"/>
              </w:rPr>
              <w:t xml:space="preserve">Derivative assets are included in prepaid and other current assets in the condensed consolidated balance sheets. </w:t>
            </w:r>
          </w:p>
        </w:tc>
      </w:tr>
    </w:tbl>
    <w:tbl>
      <w:tblPr>
        <w:tblW w:w="8530" w:type="dxa"/>
        <w:jc w:val="left"/>
        <w:tblInd w:w="0" w:type="dxa"/>
        <w:tblCellMar>
          <w:top w:w="0" w:type="dxa"/>
          <w:left w:w="0" w:type="dxa"/>
          <w:bottom w:w="0" w:type="dxa"/>
          <w:right w:w="0" w:type="dxa"/>
        </w:tblCellMar>
      </w:tblPr>
      <w:tblGrid>
        <w:gridCol w:w="60"/>
        <w:gridCol w:w="245"/>
        <w:gridCol w:w="822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245" w:type="dxa"/>
            <w:tcBorders/>
            <w:shd w:fill="auto" w:val="clear"/>
          </w:tcPr>
          <w:p>
            <w:pPr>
              <w:pStyle w:val="TableContents"/>
              <w:spacing w:before="80" w:after="0"/>
              <w:jc w:val="both"/>
              <w:rPr>
                <w:rFonts w:ascii="Arial" w:hAnsi="Arial"/>
                <w:b w:val="false"/>
                <w:i w:val="false"/>
                <w:caps w:val="false"/>
                <w:smallCaps w:val="false"/>
                <w:sz w:val="18"/>
              </w:rPr>
            </w:pPr>
            <w:r>
              <w:rPr>
                <w:rFonts w:ascii="Arial" w:hAnsi="Arial"/>
                <w:b w:val="false"/>
                <w:i w:val="false"/>
                <w:caps w:val="false"/>
                <w:smallCaps w:val="false"/>
                <w:sz w:val="18"/>
              </w:rPr>
              <w:t>(2)</w:t>
            </w:r>
          </w:p>
        </w:tc>
        <w:tc>
          <w:tcPr>
            <w:tcW w:w="8225" w:type="dxa"/>
            <w:tcBorders/>
            <w:shd w:fill="auto" w:val="clear"/>
          </w:tcPr>
          <w:p>
            <w:pPr>
              <w:pStyle w:val="TableContents"/>
              <w:spacing w:before="80" w:after="0"/>
              <w:jc w:val="both"/>
              <w:rPr>
                <w:rFonts w:ascii="Arial" w:hAnsi="Arial"/>
                <w:b w:val="false"/>
                <w:i w:val="false"/>
                <w:caps w:val="false"/>
                <w:smallCaps w:val="false"/>
                <w:sz w:val="18"/>
              </w:rPr>
            </w:pPr>
            <w:r>
              <w:rPr>
                <w:rFonts w:ascii="Arial" w:hAnsi="Arial"/>
                <w:b w:val="false"/>
                <w:i w:val="false"/>
                <w:caps w:val="false"/>
                <w:smallCaps w:val="false"/>
                <w:sz w:val="18"/>
              </w:rPr>
              <w:t>Derivative liabilities are included in accrued liabilities in the condensed consolidated balance sheets.</w:t>
            </w:r>
          </w:p>
        </w:tc>
      </w:tr>
    </w:tbl>
    <w:p>
      <w:pPr>
        <w:pStyle w:val="TextBody"/>
        <w:spacing w:before="260" w:after="0"/>
        <w:jc w:val="both"/>
        <w:rPr>
          <w:rFonts w:ascii="Arial" w:hAnsi="Arial"/>
          <w:b w:val="false"/>
          <w:i/>
          <w:caps w:val="false"/>
          <w:smallCaps w:val="false"/>
          <w:sz w:val="20"/>
        </w:rPr>
      </w:pPr>
      <w:r>
        <w:rPr>
          <w:rFonts w:ascii="Arial" w:hAnsi="Arial"/>
          <w:b w:val="false"/>
          <w:i/>
          <w:caps w:val="false"/>
          <w:smallCaps w:val="false"/>
          <w:sz w:val="20"/>
        </w:rPr>
        <w:t>Derivatives in Cash Flow Hedging Relationships</w:t>
      </w:r>
    </w:p>
    <w:p>
      <w:pPr>
        <w:pStyle w:val="TextBody"/>
        <w:spacing w:before="180" w:after="0"/>
        <w:jc w:val="both"/>
        <w:rPr>
          <w:rFonts w:ascii="Arial" w:hAnsi="Arial"/>
          <w:b w:val="false"/>
          <w:i w:val="false"/>
          <w:caps w:val="false"/>
          <w:smallCaps w:val="false"/>
          <w:color w:val="262626"/>
          <w:sz w:val="20"/>
        </w:rPr>
      </w:pPr>
      <w:r>
        <w:rPr>
          <w:rFonts w:ascii="Arial" w:hAnsi="Arial"/>
          <w:b w:val="false"/>
          <w:i w:val="false"/>
          <w:caps w:val="false"/>
          <w:smallCaps w:val="false"/>
          <w:color w:val="262626"/>
          <w:sz w:val="20"/>
        </w:rPr>
        <w:t xml:space="preserve">The changes in accumulated other comprehensive income resulting from cash flow hedging were as follows: </w:t>
      </w:r>
    </w:p>
    <w:p>
      <w:pPr>
        <w:pStyle w:val="TextBody"/>
        <w:spacing w:before="0" w:after="0"/>
        <w:jc w:val="both"/>
        <w:rPr/>
      </w:pPr>
      <w:r>
        <w:rPr/>
        <w:t> </w:t>
      </w:r>
    </w:p>
    <w:tbl>
      <w:tblPr>
        <w:tblW w:w="8694" w:type="dxa"/>
        <w:jc w:val="left"/>
        <w:tblInd w:w="0" w:type="dxa"/>
        <w:tblCellMar>
          <w:top w:w="0" w:type="dxa"/>
          <w:left w:w="0" w:type="dxa"/>
          <w:bottom w:w="0" w:type="dxa"/>
          <w:right w:w="0" w:type="dxa"/>
        </w:tblCellMar>
      </w:tblPr>
      <w:tblGrid>
        <w:gridCol w:w="6335"/>
        <w:gridCol w:w="60"/>
        <w:gridCol w:w="240"/>
        <w:gridCol w:w="560"/>
        <w:gridCol w:w="80"/>
        <w:gridCol w:w="60"/>
        <w:gridCol w:w="414"/>
        <w:gridCol w:w="865"/>
        <w:gridCol w:w="80"/>
      </w:tblGrid>
      <w:tr>
        <w:trPr/>
        <w:tc>
          <w:tcPr>
            <w:tcW w:w="6335"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December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35"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3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19"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3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 at the beginning of the period</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6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6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35"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comprehensive income before reclassifications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35" w:type="dxa"/>
            <w:tcBorders>
              <w:bottom w:val="sing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Amounts recognized in Core marketplace revenue and reclassified out of</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accumulated other comprehensive income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4"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6335" w:type="dxa"/>
            <w:tcBorders>
              <w:bottom w:val="doub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 at the end of the period</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4"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6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color w:val="262626"/>
          <w:sz w:val="20"/>
        </w:rPr>
      </w:pPr>
      <w:r>
        <w:rPr>
          <w:rFonts w:ascii="Arial" w:hAnsi="Arial"/>
          <w:b w:val="false"/>
          <w:i w:val="false"/>
          <w:caps w:val="false"/>
          <w:smallCaps w:val="false"/>
          <w:color w:val="262626"/>
          <w:sz w:val="20"/>
        </w:rPr>
        <w:t>The Company recognizes changes in fair value of the cash flow hedges of foreign currency denominated merchants payable in accumulated other comprehensive loss in its condensed consolidated balance sheets until the forecasted transaction occurs. When the forecasted transaction affects earnings, the Company reclassifies the related gain or loss on the cash flow hedge to Core marketplace revenue.  All amounts in other comprehensive income at period end are expected to be reclassified to earnings within 12 months. In the event the underlying forecasted transaction does not occur, or it becomes probable that it will not occur, the Company reclassifies the gain or loss on the related cash flow hedge from accumulated other comprehensive loss to Core marketplace revenue. For the three and six months ended June 30, 2021, there were no net gains or losses recognized in Core marketplace revenue relating to hedges of forecasted transactions that did not occur. The Company did not have a hedging program during the three and six months ended June 30, 2020.</w:t>
      </w:r>
    </w:p>
    <w:p>
      <w:pPr>
        <w:pStyle w:val="TextBody"/>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 classifies cash flows related to its cash flow hedges as operating activities in its condensed consolidated statements of cash flows.</w:t>
      </w:r>
    </w:p>
    <w:p>
      <w:pPr>
        <w:pStyle w:val="TextBody"/>
        <w:spacing w:before="60" w:after="0"/>
        <w:jc w:val="both"/>
        <w:rPr/>
      </w:pPr>
      <w:r>
        <w:rPr/>
        <w:t> </w:t>
      </w:r>
    </w:p>
    <w:p>
      <w:pPr>
        <w:pStyle w:val="TextBody"/>
        <w:spacing w:before="0" w:after="0"/>
        <w:jc w:val="both"/>
        <w:rPr>
          <w:rFonts w:ascii="Arial" w:hAnsi="Arial"/>
          <w:b w:val="false"/>
          <w:i/>
          <w:caps w:val="false"/>
          <w:smallCaps w:val="false"/>
          <w:color w:val="262626"/>
          <w:sz w:val="20"/>
        </w:rPr>
      </w:pPr>
      <w:r>
        <w:rPr>
          <w:rFonts w:ascii="Arial" w:hAnsi="Arial"/>
          <w:b w:val="false"/>
          <w:i/>
          <w:caps w:val="false"/>
          <w:smallCaps w:val="false"/>
          <w:color w:val="262626"/>
          <w:sz w:val="20"/>
        </w:rPr>
        <w:t>Derivatives Not Designated as Hedging Instruments</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The net gains on the change in fair value of the Company’s foreign exchange forward contracts not designated as hedging instruments recognized in other income (expense), net in the condensed consolidated statements of operations were approximately $7 million and $11 million for the three and six months ended June 30, 2021, respectively, and were approximately $1 million for each of the three and six months ended June 30, 2020.</w:t>
      </w:r>
    </w:p>
    <w:p>
      <w:pPr>
        <w:pStyle w:val="TextBody"/>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Company classifies cash flows related to its non-designated hedging instruments as operating activities in its condensed consolidated statements of cash flows.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360" w:after="0"/>
        <w:rPr>
          <w:rFonts w:ascii="Arial" w:hAnsi="Arial"/>
          <w:b/>
          <w:i w:val="false"/>
          <w:caps w:val="false"/>
          <w:smallCaps w:val="false"/>
          <w:color w:val="000000"/>
          <w:sz w:val="20"/>
        </w:rPr>
      </w:pPr>
      <w:r>
        <w:rPr>
          <w:rFonts w:ascii="Arial" w:hAnsi="Arial"/>
          <w:b/>
          <w:i w:val="false"/>
          <w:caps w:val="false"/>
          <w:smallCaps w:val="false"/>
          <w:color w:val="000000"/>
          <w:sz w:val="20"/>
          <w:highlight w:val="white"/>
        </w:rPr>
        <w:t xml:space="preserve">NOTE </w:t>
      </w:r>
      <w:r>
        <w:rPr>
          <w:rFonts w:ascii="Arial" w:hAnsi="Arial"/>
          <w:b/>
          <w:i w:val="false"/>
          <w:caps w:val="false"/>
          <w:smallCaps w:val="false"/>
          <w:color w:val="000000"/>
          <w:sz w:val="20"/>
        </w:rPr>
        <w:t>6. OPERATING LEASES</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leases its facilities and data center co-locations under operating leases with various expiration dates through 2025.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Total operating lease cost was $4 million and $7 million for the three and six months ended June 30, 2021, respectively, and $3 million and $6 million for the three and six months ended June 30, 2020, respectively. Short-term lease costs, variable lease costs and sublease income were not material.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of June 30, 2021 and December 31, 2020, the Company’s condensed consolidated balance sheets included right-of-use assets in the amount of $32 million and $43 million, respectively, and lease liabilities in the amount of $14 million in accrued liabilities for each period and $31 million and $38 million in lease liabilities, non-current, respectively.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During the three months ended June 30, 2021, the Company adopted a hoteling model when it reopened its headquarters in San Francisco, California and as a result, it ceased using certain office space. As the carrying value of the related right-of-use assets and leasehold improvements exceeded the estimated fair value, the Company recognized an impairment loss of $6 million and included it as part of general and administrative expenses in its condensed consolidated statement of operations for the three and six months ended June 30, 2021. Of the $6 million total impairment loss, approximately $4 million relates to the impairment of the operating lease right-of-use assets and approximately $2 million primarily relates to the impairment of leasehold improvements.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of June 30, 2021 and December 31, 2020, the weighted-average remaining lease term was 3.5 years and 3.9 years, respectively, and the weighted-average discount rate used to determine the net present value of the lease liabilities was 6%.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Supplemental cash flow information for the Company’s operating leases were as follows: </w:t>
      </w:r>
    </w:p>
    <w:p>
      <w:pPr>
        <w:pStyle w:val="TextBody"/>
        <w:spacing w:before="0" w:after="0"/>
        <w:jc w:val="both"/>
        <w:rPr/>
      </w:pPr>
      <w:r>
        <w:rPr/>
        <w:t> </w:t>
      </w:r>
    </w:p>
    <w:tbl>
      <w:tblPr>
        <w:tblW w:w="8286" w:type="dxa"/>
        <w:jc w:val="left"/>
        <w:tblInd w:w="0" w:type="dxa"/>
        <w:tblCellMar>
          <w:top w:w="0" w:type="dxa"/>
          <w:left w:w="0" w:type="dxa"/>
          <w:bottom w:w="28" w:type="dxa"/>
          <w:right w:w="0" w:type="dxa"/>
        </w:tblCellMar>
      </w:tblPr>
      <w:tblGrid>
        <w:gridCol w:w="6170"/>
        <w:gridCol w:w="60"/>
        <w:gridCol w:w="296"/>
        <w:gridCol w:w="616"/>
        <w:gridCol w:w="142"/>
        <w:gridCol w:w="142"/>
        <w:gridCol w:w="400"/>
        <w:gridCol w:w="400"/>
        <w:gridCol w:w="60"/>
      </w:tblGrid>
      <w:tr>
        <w:trPr/>
        <w:tc>
          <w:tcPr>
            <w:tcW w:w="617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96"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7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2" w:type="dxa"/>
            <w:gridSpan w:val="2"/>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14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2"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4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7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96" w:type="dxa"/>
            <w:gridSpan w:val="6"/>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paid for amounts included in the measurement of lease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70"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cash flows from operating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1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0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17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Arial" w:hAnsi="Arial"/>
                <w:b w:val="false"/>
                <w:i w:val="false"/>
                <w:caps w:val="false"/>
                <w:smallCaps w:val="false"/>
                <w:color w:val="000000"/>
                <w:sz w:val="20"/>
              </w:rPr>
              <w:t>Right-of-use assets obtained in exchange for new lease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1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0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The maturities of the Company’s operating lease liabilities are as follows:</w:t>
      </w:r>
    </w:p>
    <w:p>
      <w:pPr>
        <w:pStyle w:val="TextBody"/>
        <w:spacing w:before="0" w:after="0"/>
        <w:jc w:val="both"/>
        <w:rPr/>
      </w:pPr>
      <w:r>
        <w:rPr/>
        <w:t> </w:t>
      </w:r>
    </w:p>
    <w:tbl>
      <w:tblPr>
        <w:tblW w:w="3884" w:type="dxa"/>
        <w:jc w:val="left"/>
        <w:tblInd w:w="0" w:type="dxa"/>
        <w:tblCellMar>
          <w:top w:w="0" w:type="dxa"/>
          <w:left w:w="0" w:type="dxa"/>
          <w:bottom w:w="0" w:type="dxa"/>
          <w:right w:w="0" w:type="dxa"/>
        </w:tblCellMar>
      </w:tblPr>
      <w:tblGrid>
        <w:gridCol w:w="2780"/>
        <w:gridCol w:w="60"/>
        <w:gridCol w:w="339"/>
        <w:gridCol w:w="625"/>
        <w:gridCol w:w="80"/>
      </w:tblGrid>
      <w:tr>
        <w:trPr/>
        <w:tc>
          <w:tcPr>
            <w:tcW w:w="278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FFFFFF" w:val="clear"/>
            <w:vAlign w:val="bottom"/>
          </w:tcPr>
          <w:p>
            <w:pPr>
              <w:pStyle w:val="TableContents"/>
              <w:spacing w:before="0" w:after="0"/>
              <w:ind w:left="0" w:right="0" w:hanging="0"/>
              <w:rPr>
                <w:rFonts w:ascii="Arial" w:hAnsi="Arial"/>
                <w:b/>
                <w:i w:val="false"/>
                <w:caps w:val="false"/>
                <w:smallCaps w:val="false"/>
                <w:color w:val="000000"/>
                <w:sz w:val="20"/>
                <w:u w:val="single"/>
              </w:rPr>
            </w:pPr>
            <w:r>
              <w:rPr>
                <w:rFonts w:ascii="Arial" w:hAnsi="Arial"/>
                <w:b/>
                <w:i w:val="false"/>
                <w:caps w:val="false"/>
                <w:smallCaps w:val="false"/>
                <w:color w:val="000000"/>
                <w:sz w:val="20"/>
                <w:u w:val="single"/>
              </w:rPr>
              <w:t>Year ending 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gridSpan w:val="2"/>
            <w:tcBorders>
              <w:top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2021 (remaining six months)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bottom w:val="sing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2025</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shd w:fill="FFFFFF"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lease payments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80" w:type="dxa"/>
            <w:tcBorders>
              <w:bottom w:val="sing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Less: imputed interest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780" w:type="dxa"/>
            <w:tcBorders>
              <w:bottom w:val="double" w:sz="6" w:space="0" w:color="000000"/>
            </w:tcBorders>
            <w:shd w:fill="FFFFFF" w:val="clear"/>
            <w:tcMar>
              <w:bottom w:w="28"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Present value of lease liabilities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Arial" w:hAnsi="Arial"/>
          <w:b/>
          <w:i w:val="false"/>
          <w:caps w:val="false"/>
          <w:smallCaps w:val="false"/>
          <w:color w:val="000000"/>
          <w:sz w:val="20"/>
        </w:rPr>
      </w:pPr>
      <w:r>
        <w:rPr>
          <w:rFonts w:ascii="Arial" w:hAnsi="Arial"/>
          <w:b/>
          <w:i w:val="false"/>
          <w:caps w:val="false"/>
          <w:smallCaps w:val="false"/>
          <w:color w:val="000000"/>
          <w:sz w:val="20"/>
          <w:highlight w:val="white"/>
        </w:rPr>
        <w:t xml:space="preserve">NOTE </w:t>
      </w:r>
      <w:r>
        <w:rPr>
          <w:rFonts w:ascii="Arial" w:hAnsi="Arial"/>
          <w:b/>
          <w:i w:val="false"/>
          <w:caps w:val="false"/>
          <w:smallCaps w:val="false"/>
          <w:color w:val="000000"/>
          <w:sz w:val="20"/>
        </w:rPr>
        <w:t xml:space="preserve">7. </w:t>
      </w:r>
      <w:r>
        <w:rPr>
          <w:rFonts w:ascii="Arial" w:hAnsi="Arial"/>
          <w:b/>
          <w:i w:val="false"/>
          <w:caps/>
          <w:color w:val="000000"/>
          <w:sz w:val="20"/>
        </w:rPr>
        <w:t>COMMITMENTS AND CONTINGENCIES</w:t>
      </w:r>
    </w:p>
    <w:p>
      <w:pPr>
        <w:pStyle w:val="TextBody"/>
        <w:shd w:fill="FFFFFF" w:val="clear"/>
        <w:spacing w:before="260" w:after="0"/>
        <w:rPr>
          <w:rFonts w:ascii="Arial" w:hAnsi="Arial"/>
          <w:b/>
          <w:i/>
          <w:caps w:val="false"/>
          <w:smallCaps w:val="false"/>
          <w:color w:val="000000"/>
          <w:sz w:val="20"/>
        </w:rPr>
      </w:pPr>
      <w:r>
        <w:rPr>
          <w:rFonts w:ascii="Arial" w:hAnsi="Arial"/>
          <w:b/>
          <w:i/>
          <w:caps w:val="false"/>
          <w:smallCaps w:val="false"/>
          <w:color w:val="000000"/>
          <w:sz w:val="20"/>
        </w:rPr>
        <w:t>Revolving Credit Facility</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November 2020, the Company entered into a five-year $280 million senior secured revolving credit facility (the “Revolving Credit Facility”). The Revolving Credit Facility contains an accordion option which, if exercised and provided the Company is able to secure additional lender commitments and satisfy certain other conditions, would allow the Company to increase its aggregate commitments by up to $100 million. Interest on any borrowings under the Revolving Credit Facility 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 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 amount of approximately $10 million has been issued under the Revolving Credit Facility in conjunction with the lease of the Company’s headquarters in San Francisco, California. As of June 30, 2021, the Company had not made any borrowings under the Revolving Credit Facility and it was in compliance with the related covenants.</w:t>
      </w:r>
    </w:p>
    <w:p>
      <w:pPr>
        <w:pStyle w:val="TextBody"/>
        <w:shd w:fill="FFFFFF" w:val="clear"/>
        <w:spacing w:before="260" w:after="0"/>
        <w:rPr>
          <w:rFonts w:ascii="Arial" w:hAnsi="Arial"/>
          <w:b/>
          <w:i/>
          <w:caps w:val="false"/>
          <w:smallCaps w:val="false"/>
          <w:color w:val="000000"/>
          <w:sz w:val="20"/>
        </w:rPr>
      </w:pPr>
      <w:r>
        <w:rPr>
          <w:rFonts w:ascii="Arial" w:hAnsi="Arial"/>
          <w:b/>
          <w:i/>
          <w:caps w:val="false"/>
          <w:smallCaps w:val="false"/>
          <w:color w:val="000000"/>
          <w:sz w:val="20"/>
        </w:rPr>
        <w:t xml:space="preserve">Purchase Obligations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Effective September 1, 2019, the Company entered into an amendment to a colocation and cloud services arrangement committing the Company to make payments of $120 million for services over 3 years. As of June 30, 2021, the remaining commitment under this amended agreement was approximately $35 million and is payable within the next two years. </w:t>
      </w:r>
    </w:p>
    <w:p>
      <w:pPr>
        <w:pStyle w:val="TextBody"/>
        <w:shd w:fill="FFFFFF" w:val="clear"/>
        <w:spacing w:before="180" w:after="0"/>
        <w:jc w:val="both"/>
        <w:rPr>
          <w:rFonts w:ascii="Arial" w:hAnsi="Arial"/>
          <w:b/>
          <w:i/>
          <w:caps w:val="false"/>
          <w:smallCaps w:val="false"/>
          <w:sz w:val="20"/>
        </w:rPr>
      </w:pPr>
      <w:r>
        <w:rPr>
          <w:rFonts w:ascii="Arial" w:hAnsi="Arial"/>
          <w:b/>
          <w:i/>
          <w:caps w:val="false"/>
          <w:smallCaps w:val="false"/>
          <w:sz w:val="20"/>
        </w:rPr>
        <w:t>Legal Contingencies and Proceedings</w:t>
      </w:r>
    </w:p>
    <w:p>
      <w:pPr>
        <w:pStyle w:val="TextBody"/>
        <w:shd w:fill="FFFFFF" w:val="clear"/>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Beginning in May 2021, four putative class action lawsuits were filed in U.S. federal court against the Company, its directors, certain of its officers and the underwriters named in its IPO registration statement alleging violations of securities laws based on statements made in its registration statement on Form S-1 filed with the SEC in connection with its IPO and seeking monetary damages. These lawsuits were filed in the U.S. District Court for the Northern District of California. The Company believes these lawsuits are without merit and it intends to vigorously defend them.  Based on the preliminary nature of the proceedings in these cases, the outcome of these matters remains uncertain. Given that the Company is in the early stages of the litigation process, it is unable to estimate the range of potential loss, if any.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of June 30, 2021 and December 31, 2020,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reassesses the potential liability and may revise the estimate.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360" w:after="0"/>
        <w:jc w:val="both"/>
        <w:rPr>
          <w:rFonts w:ascii="Arial" w:hAnsi="Arial"/>
          <w:b/>
          <w:i w:val="false"/>
          <w:caps w:val="false"/>
          <w:smallCaps w:val="false"/>
          <w:color w:val="000000"/>
          <w:sz w:val="20"/>
        </w:rPr>
      </w:pPr>
      <w:r>
        <w:rPr>
          <w:rFonts w:ascii="Arial" w:hAnsi="Arial"/>
          <w:b/>
          <w:i w:val="false"/>
          <w:caps w:val="false"/>
          <w:smallCaps w:val="false"/>
          <w:color w:val="000000"/>
          <w:sz w:val="20"/>
          <w:highlight w:val="white"/>
        </w:rPr>
        <w:t xml:space="preserve">NOTE </w:t>
      </w:r>
      <w:r>
        <w:rPr>
          <w:rFonts w:ascii="Arial" w:hAnsi="Arial"/>
          <w:b/>
          <w:i w:val="false"/>
          <w:caps w:val="false"/>
          <w:smallCaps w:val="false"/>
          <w:color w:val="000000"/>
          <w:sz w:val="20"/>
        </w:rPr>
        <w:t xml:space="preserve">8. </w:t>
      </w:r>
      <w:r>
        <w:rPr>
          <w:rFonts w:ascii="Arial" w:hAnsi="Arial"/>
          <w:b/>
          <w:i w:val="false"/>
          <w:caps/>
          <w:color w:val="000000"/>
          <w:sz w:val="20"/>
        </w:rPr>
        <w:t>EQUITY Award activity and STOCK-based compensation</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Equity Award Activity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A summary of activity under the equity plans and related information is as follows:</w:t>
      </w:r>
    </w:p>
    <w:p>
      <w:pPr>
        <w:pStyle w:val="TextBody"/>
        <w:spacing w:before="0" w:after="0"/>
        <w:jc w:val="both"/>
        <w:rPr/>
      </w:pPr>
      <w:r>
        <w:rPr/>
        <w:t> </w:t>
      </w:r>
    </w:p>
    <w:tbl>
      <w:tblPr>
        <w:tblW w:w="8154" w:type="dxa"/>
        <w:jc w:val="left"/>
        <w:tblInd w:w="0" w:type="dxa"/>
        <w:tblCellMar>
          <w:top w:w="0" w:type="dxa"/>
          <w:left w:w="0" w:type="dxa"/>
          <w:bottom w:w="28" w:type="dxa"/>
          <w:right w:w="0" w:type="dxa"/>
        </w:tblCellMar>
      </w:tblPr>
      <w:tblGrid>
        <w:gridCol w:w="2810"/>
        <w:gridCol w:w="60"/>
        <w:gridCol w:w="186"/>
        <w:gridCol w:w="809"/>
        <w:gridCol w:w="100"/>
        <w:gridCol w:w="75"/>
        <w:gridCol w:w="190"/>
        <w:gridCol w:w="760"/>
        <w:gridCol w:w="75"/>
        <w:gridCol w:w="75"/>
        <w:gridCol w:w="186"/>
        <w:gridCol w:w="899"/>
        <w:gridCol w:w="60"/>
        <w:gridCol w:w="60"/>
        <w:gridCol w:w="323"/>
        <w:gridCol w:w="1406"/>
        <w:gridCol w:w="80"/>
      </w:tblGrid>
      <w:tr>
        <w:trPr/>
        <w:tc>
          <w:tcPr>
            <w:tcW w:w="281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3355" w:type="dxa"/>
            <w:gridSpan w:val="10"/>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Options Outstanding</w:t>
            </w:r>
          </w:p>
        </w:tc>
        <w:tc>
          <w:tcPr>
            <w:tcW w:w="6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729" w:type="dxa"/>
            <w:gridSpan w:val="2"/>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RSUs Outstanding</w:t>
            </w:r>
          </w:p>
        </w:tc>
        <w:tc>
          <w:tcPr>
            <w:tcW w:w="80" w:type="dxa"/>
            <w:tcBorders>
              <w:bottom w:val="sing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r>
      <w:tr>
        <w:trPr/>
        <w:tc>
          <w:tcPr>
            <w:tcW w:w="28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9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Number of</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Options</w:t>
            </w:r>
          </w:p>
        </w:tc>
        <w:tc>
          <w:tcPr>
            <w:tcW w:w="100" w:type="dxa"/>
            <w:tcBorders>
              <w:bottom w:val="sing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95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Weighted-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Average</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Exercise</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Price</w:t>
            </w:r>
          </w:p>
        </w:tc>
        <w:tc>
          <w:tcPr>
            <w:tcW w:w="75"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top w:val="single" w:sz="6" w:space="0" w:color="000000"/>
            </w:tcBorders>
            <w:shd w:fill="FFFFFF" w:val="clear"/>
            <w:tcMar>
              <w:top w:w="28" w:type="dxa"/>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0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Weighted-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Average</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Remaining</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Contractual</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Term (In</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Years)</w:t>
            </w:r>
          </w:p>
        </w:tc>
        <w:tc>
          <w:tcPr>
            <w:tcW w:w="60" w:type="dxa"/>
            <w:tcBorders>
              <w:bottom w:val="sing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72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Number of</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RSUs</w:t>
            </w:r>
          </w:p>
        </w:tc>
        <w:tc>
          <w:tcPr>
            <w:tcW w:w="80" w:type="dxa"/>
            <w:tcBorders>
              <w:bottom w:val="sing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r>
      <w:tr>
        <w:trPr/>
        <w:tc>
          <w:tcPr>
            <w:tcW w:w="281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995" w:type="dxa"/>
            <w:gridSpan w:val="2"/>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10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86" w:type="dxa"/>
            <w:tcBorders>
              <w:top w:val="single" w:sz="6" w:space="0" w:color="000000"/>
            </w:tcBorders>
            <w:shd w:fill="FFFFFF" w:val="clear"/>
            <w:tcMar>
              <w:top w:w="28" w:type="dxa"/>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899"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729"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8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r>
      <w:tr>
        <w:trPr/>
        <w:tc>
          <w:tcPr>
            <w:tcW w:w="2810" w:type="dxa"/>
            <w:tcBorders/>
            <w:shd w:fill="CFF0FC" w:val="clear"/>
            <w:tcMar>
              <w:bottom w:w="0" w:type="dxa"/>
            </w:tcMar>
          </w:tcPr>
          <w:p>
            <w:pPr>
              <w:pStyle w:val="TableContents"/>
              <w:spacing w:before="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Balances at December 31, 2020</w:t>
            </w:r>
          </w:p>
        </w:tc>
        <w:tc>
          <w:tcPr>
            <w:tcW w:w="60"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80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75</w:t>
            </w:r>
          </w:p>
        </w:tc>
        <w:tc>
          <w:tcPr>
            <w:tcW w:w="100"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6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0.234</w:t>
            </w:r>
          </w:p>
        </w:tc>
        <w:tc>
          <w:tcPr>
            <w:tcW w:w="75"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085" w:type="dxa"/>
            <w:gridSpan w:val="2"/>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w:t>
            </w:r>
          </w:p>
        </w:tc>
        <w:tc>
          <w:tcPr>
            <w:tcW w:w="60"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323"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40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w:t>
            </w:r>
          </w:p>
        </w:tc>
        <w:tc>
          <w:tcPr>
            <w:tcW w:w="80"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r>
      <w:tr>
        <w:trPr/>
        <w:tc>
          <w:tcPr>
            <w:tcW w:w="2810" w:type="dxa"/>
            <w:tcBorders/>
            <w:shd w:fill="FFFFFF" w:val="clear"/>
            <w:tcMar>
              <w:bottom w:w="0" w:type="dxa"/>
            </w:tcMar>
          </w:tcPr>
          <w:p>
            <w:pPr>
              <w:pStyle w:val="TableContents"/>
              <w:spacing w:before="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8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5"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89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323"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40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w:t>
            </w:r>
          </w:p>
        </w:tc>
        <w:tc>
          <w:tcPr>
            <w:tcW w:w="8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r>
      <w:tr>
        <w:trPr/>
        <w:tc>
          <w:tcPr>
            <w:tcW w:w="2810" w:type="dxa"/>
            <w:tcBorders/>
            <w:shd w:fill="CFF0FC" w:val="clear"/>
            <w:tcMar>
              <w:bottom w:w="0" w:type="dxa"/>
            </w:tcMar>
          </w:tcPr>
          <w:p>
            <w:pPr>
              <w:pStyle w:val="TableContents"/>
              <w:spacing w:before="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Vested</w:t>
            </w:r>
          </w:p>
        </w:tc>
        <w:tc>
          <w:tcPr>
            <w:tcW w:w="60"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8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5"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89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323"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40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80" w:type="dxa"/>
            <w:tcBorders/>
            <w:shd w:fill="CFF0FC" w:val="clear"/>
            <w:tcMar>
              <w:bottom w:w="0" w:type="dxa"/>
            </w:tcMar>
            <w:vAlign w:val="bottom"/>
          </w:tcPr>
          <w:p>
            <w:pPr>
              <w:pStyle w:val="TableContents"/>
              <w:spacing w:before="0" w:after="0"/>
              <w:ind w:left="0" w:right="0" w:hanging="0"/>
              <w:jc w:val="lef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w:t>
            </w:r>
          </w:p>
        </w:tc>
      </w:tr>
      <w:tr>
        <w:trPr/>
        <w:tc>
          <w:tcPr>
            <w:tcW w:w="2810" w:type="dxa"/>
            <w:tcBorders/>
            <w:shd w:fill="FFFFFF" w:val="clear"/>
            <w:tcMar>
              <w:bottom w:w="0" w:type="dxa"/>
            </w:tcMar>
          </w:tcPr>
          <w:p>
            <w:pPr>
              <w:pStyle w:val="TableContents"/>
              <w:spacing w:before="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Exercised</w:t>
            </w:r>
          </w:p>
        </w:tc>
        <w:tc>
          <w:tcPr>
            <w:tcW w:w="6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80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100" w:type="dxa"/>
            <w:tcBorders/>
            <w:shd w:fill="FFFFFF" w:val="clear"/>
            <w:tcMar>
              <w:bottom w:w="0" w:type="dxa"/>
            </w:tcMar>
            <w:vAlign w:val="bottom"/>
          </w:tcPr>
          <w:p>
            <w:pPr>
              <w:pStyle w:val="TableContents"/>
              <w:spacing w:before="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5"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6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0.312</w:t>
            </w:r>
          </w:p>
        </w:tc>
        <w:tc>
          <w:tcPr>
            <w:tcW w:w="75"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89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323"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40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r>
      <w:tr>
        <w:trPr/>
        <w:tc>
          <w:tcPr>
            <w:tcW w:w="2810" w:type="dxa"/>
            <w:tcBorders/>
            <w:shd w:fill="CFF0FC" w:val="clear"/>
            <w:tcMar>
              <w:bottom w:w="0" w:type="dxa"/>
            </w:tcMar>
          </w:tcPr>
          <w:p>
            <w:pPr>
              <w:pStyle w:val="TableContents"/>
              <w:spacing w:before="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Forfeited or cancelled</w:t>
            </w:r>
          </w:p>
        </w:tc>
        <w:tc>
          <w:tcPr>
            <w:tcW w:w="60"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8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0"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90" w:type="dxa"/>
            <w:tcBorders/>
            <w:shd w:fill="CFF0FC" w:val="clear"/>
            <w:tcMar>
              <w:bottom w:w="0" w:type="dxa"/>
            </w:tcMar>
            <w:vAlign w:val="bottom"/>
          </w:tcPr>
          <w:p>
            <w:pPr>
              <w:pStyle w:val="TableContents"/>
              <w:spacing w:before="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5"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86"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89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323" w:type="dxa"/>
            <w:tcBorders/>
            <w:shd w:fill="CFF0FC" w:val="clear"/>
            <w:tcMar>
              <w:bottom w:w="0"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40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80" w:type="dxa"/>
            <w:tcBorders/>
            <w:shd w:fill="CFF0FC" w:val="clear"/>
            <w:tcMar>
              <w:bottom w:w="0" w:type="dxa"/>
            </w:tcMar>
            <w:vAlign w:val="bottom"/>
          </w:tcPr>
          <w:p>
            <w:pPr>
              <w:pStyle w:val="TableContents"/>
              <w:spacing w:before="0" w:after="0"/>
              <w:ind w:left="0" w:right="0" w:hanging="0"/>
              <w:jc w:val="left"/>
              <w:rPr>
                <w:rFonts w:ascii="Arial" w:hAnsi="Arial"/>
                <w:b w:val="false"/>
                <w:i w:val="false"/>
                <w:caps w:val="false"/>
                <w:smallCaps w:val="false"/>
                <w:color w:val="000000"/>
                <w:sz w:val="18"/>
              </w:rPr>
            </w:pPr>
            <w:r>
              <w:rPr>
                <w:rFonts w:ascii="Arial" w:hAnsi="Arial"/>
                <w:b w:val="false"/>
                <w:i w:val="false"/>
                <w:caps w:val="false"/>
                <w:smallCaps w:val="false"/>
                <w:color w:val="000000"/>
                <w:sz w:val="18"/>
              </w:rPr>
              <w:t>)</w:t>
            </w:r>
          </w:p>
        </w:tc>
      </w:tr>
      <w:tr>
        <w:trPr/>
        <w:tc>
          <w:tcPr>
            <w:tcW w:w="2810" w:type="dxa"/>
            <w:tcBorders>
              <w:bottom w:val="double" w:sz="6" w:space="0" w:color="000000"/>
            </w:tcBorders>
            <w:shd w:fill="FFFFFF" w:val="clear"/>
          </w:tcPr>
          <w:p>
            <w:pPr>
              <w:pStyle w:val="TableContents"/>
              <w:spacing w:lineRule="auto" w:line="288" w:before="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Balances at June 30, 2021(1)</w:t>
            </w:r>
          </w:p>
        </w:tc>
        <w:tc>
          <w:tcPr>
            <w:tcW w:w="60" w:type="dxa"/>
            <w:tcBorders>
              <w:bottom w:val="doub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80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w:t>
            </w:r>
          </w:p>
        </w:tc>
        <w:tc>
          <w:tcPr>
            <w:tcW w:w="100" w:type="dxa"/>
            <w:tcBorders>
              <w:bottom w:val="doub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bottom w:val="doub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90" w:type="dxa"/>
            <w:tcBorders>
              <w:bottom w:val="double" w:sz="6" w:space="0" w:color="000000"/>
            </w:tcBorders>
            <w:shd w:fill="FFFFFF" w:val="clear"/>
            <w:vAlign w:val="bottom"/>
          </w:tcPr>
          <w:p>
            <w:pPr>
              <w:pStyle w:val="TableContents"/>
              <w:spacing w:before="0" w:after="0"/>
              <w:ind w:left="0" w:right="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60"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0.228</w:t>
            </w:r>
          </w:p>
        </w:tc>
        <w:tc>
          <w:tcPr>
            <w:tcW w:w="75" w:type="dxa"/>
            <w:tcBorders>
              <w:bottom w:val="doub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75" w:type="dxa"/>
            <w:tcBorders>
              <w:bottom w:val="doub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86" w:type="dxa"/>
            <w:tcBorders>
              <w:bottom w:val="doub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899"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w:t>
            </w:r>
          </w:p>
        </w:tc>
        <w:tc>
          <w:tcPr>
            <w:tcW w:w="60" w:type="dxa"/>
            <w:tcBorders>
              <w:bottom w:val="doub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32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c>
          <w:tcPr>
            <w:tcW w:w="140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w:t>
            </w:r>
          </w:p>
        </w:tc>
        <w:tc>
          <w:tcPr>
            <w:tcW w:w="80" w:type="dxa"/>
            <w:tcBorders>
              <w:bottom w:val="double" w:sz="6" w:space="0" w:color="000000"/>
            </w:tcBorders>
            <w:shd w:fill="FFFFFF" w:val="clear"/>
            <w:vAlign w:val="bottom"/>
          </w:tcPr>
          <w:p>
            <w:pPr>
              <w:pStyle w:val="TableContents"/>
              <w:spacing w:before="0" w:after="0"/>
              <w:ind w:left="0" w:right="0" w:hanging="0"/>
              <w:jc w:val="left"/>
              <w:rPr>
                <w:caps w:val="false"/>
                <w:smallCaps w:val="false"/>
                <w:color w:val="000000"/>
              </w:rPr>
            </w:pPr>
            <w:r>
              <w:rPr>
                <w:caps w:val="false"/>
                <w:smallCaps w:val="false"/>
                <w:color w:val="000000"/>
              </w:rPr>
              <w:t> </w:t>
            </w:r>
          </w:p>
        </w:tc>
      </w:tr>
    </w:tbl>
    <w:p>
      <w:pPr>
        <w:pStyle w:val="TextBody"/>
        <w:spacing w:before="0" w:after="0"/>
        <w:jc w:val="both"/>
        <w:rPr>
          <w:caps w:val="false"/>
          <w:smallCaps w:val="false"/>
        </w:rPr>
      </w:pPr>
      <w:r>
        <w:rPr>
          <w:caps w:val="false"/>
          <w:smallCaps w:val="false"/>
        </w:rPr>
        <w:t> </w:t>
      </w:r>
    </w:p>
    <w:tbl>
      <w:tblPr>
        <w:tblW w:w="6490" w:type="dxa"/>
        <w:jc w:val="left"/>
        <w:tblInd w:w="0" w:type="dxa"/>
        <w:tblCellMar>
          <w:top w:w="0" w:type="dxa"/>
          <w:left w:w="0" w:type="dxa"/>
          <w:bottom w:w="0" w:type="dxa"/>
          <w:right w:w="0" w:type="dxa"/>
        </w:tblCellMar>
      </w:tblPr>
      <w:tblGrid>
        <w:gridCol w:w="60"/>
        <w:gridCol w:w="290"/>
        <w:gridCol w:w="614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90"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6140" w:type="dxa"/>
            <w:tcBorders/>
            <w:shd w:fill="auto" w:val="clear"/>
          </w:tcPr>
          <w:p>
            <w:pPr>
              <w:pStyle w:val="TableContents"/>
              <w:spacing w:before="0" w:after="0"/>
              <w:jc w:val="both"/>
              <w:rPr>
                <w:b w:val="false"/>
                <w:i w:val="false"/>
                <w:caps w:val="false"/>
                <w:smallCaps w:val="false"/>
              </w:rPr>
            </w:pPr>
            <w:r>
              <w:rPr>
                <w:rFonts w:ascii="Arial" w:hAnsi="Arial"/>
                <w:b w:val="false"/>
                <w:i w:val="false"/>
                <w:caps w:val="false"/>
                <w:smallCaps w:val="false"/>
                <w:color w:val="000000"/>
                <w:sz w:val="16"/>
              </w:rPr>
              <w:t>Outstanding RSUs as of June 30, 2021 include 11 million performance-based RSUs</w:t>
            </w:r>
            <w:r>
              <w:rPr>
                <w:rFonts w:ascii="Arial" w:hAnsi="Arial"/>
                <w:b w:val="false"/>
                <w:i w:val="false"/>
                <w:caps w:val="false"/>
                <w:smallCaps w:val="false"/>
                <w:color w:val="000000"/>
                <w:sz w:val="18"/>
              </w:rPr>
              <w:t>.</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weighted-average grant date fair value of restricted stock units (“RSUs”) granted during the three and six months ended June 30, 2021 was $14.55 and $14.91 per share, respectively. </w:t>
      </w:r>
    </w:p>
    <w:p>
      <w:pPr>
        <w:pStyle w:val="TextBody"/>
        <w:spacing w:before="0" w:after="0"/>
        <w:jc w:val="both"/>
        <w:rPr/>
      </w:pPr>
      <w:r>
        <w:rPr/>
        <w:t> </w:t>
      </w:r>
    </w:p>
    <w:p>
      <w:pPr>
        <w:pStyle w:val="TextBody"/>
        <w:spacing w:before="0" w:after="0"/>
        <w:jc w:val="both"/>
        <w:rPr>
          <w:rFonts w:ascii="Arial" w:hAnsi="Arial"/>
          <w:b/>
          <w:i/>
          <w:caps w:val="false"/>
          <w:smallCaps w:val="false"/>
          <w:sz w:val="20"/>
        </w:rPr>
      </w:pPr>
      <w:r>
        <w:rPr>
          <w:rFonts w:ascii="Arial" w:hAnsi="Arial"/>
          <w:b/>
          <w:i/>
          <w:caps w:val="false"/>
          <w:smallCaps w:val="false"/>
          <w:sz w:val="20"/>
        </w:rPr>
        <w:t>Performance Stock Units</w:t>
      </w:r>
    </w:p>
    <w:p>
      <w:pPr>
        <w:pStyle w:val="TextBody"/>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May 2021, the Company’s Board of Directors granted its Executive Chair an equity incentive award in the form of performance-based RSUs (“PSUs”) consisting of approximately 1 million shares of the Company’s common stock, with a grant date fair value per unit of $9.94. The award vests only if the Executive Chair satisfies a service-based vesting condition and if the Company’s stock satisfies a market condition. The award will be eligible to vest if the Company’s average closing stock price over the 30-calendar day period immediately preceding May 15, 2023 (the “Performance Measurement Date”) equals or exceeds a threshold of 149%  of the Company’s closing stock price of $12.07 on April 20, 2021, with a maximum level of vesting of 200% based on a maximum stock price achievement level of 298%. The Executive Chair must also remain employed as the Company’s Executive Chair or another senior executive-level position through the Performance Measurement Date.</w:t>
      </w:r>
    </w:p>
    <w:p>
      <w:pPr>
        <w:pStyle w:val="TextBody"/>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Company used a Monte Carlo simulation model to calculate the fair value of the PSUs on the grant date. The Monte Carlo simulation included the following assumptions, determined based on a term equal to the period of time from the grant date to the end of the performance period of two years: 75.00% stock price volatility, 0.16% risk-free rate and a 0% dividend yield. For the three and six months ended June 30, 2021, the Company recognized approximately $1 million of expense related to these PSUs. </w:t>
      </w:r>
      <w:r>
        <w:rPr>
          <w:rFonts w:ascii="Arial" w:hAnsi="Arial"/>
          <w:b w:val="false"/>
          <w:i w:val="false"/>
          <w:caps w:val="false"/>
          <w:smallCaps w:val="false"/>
          <w:color w:val="000000"/>
          <w:sz w:val="20"/>
          <w:highlight w:val="white"/>
        </w:rPr>
        <w:t>As of June 30, 2021, 1 million of these PSUs remained outstanding and the Company will recognize the remaining $7 million of unrecognized stock-based compensation expense related to these PSUs over a period of 1.9 years.</w:t>
      </w:r>
      <w:r>
        <w:rPr>
          <w:rFonts w:ascii="Arial" w:hAnsi="Arial"/>
          <w:b w:val="false"/>
          <w:i w:val="false"/>
          <w:caps w:val="false"/>
          <w:smallCaps w:val="false"/>
          <w:color w:val="000000"/>
          <w:sz w:val="20"/>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Stock-Based Compensation Expense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Total stock-based compensation expense included in the condensed consolidated statements of operations is as follows: </w:t>
      </w:r>
    </w:p>
    <w:p>
      <w:pPr>
        <w:pStyle w:val="TextBody"/>
        <w:spacing w:before="0" w:after="0"/>
        <w:jc w:val="both"/>
        <w:rPr/>
      </w:pPr>
      <w:r>
        <w:rPr/>
        <w:t> </w:t>
      </w:r>
    </w:p>
    <w:tbl>
      <w:tblPr>
        <w:tblW w:w="6775" w:type="dxa"/>
        <w:jc w:val="left"/>
        <w:tblInd w:w="0" w:type="dxa"/>
        <w:tblCellMar>
          <w:top w:w="0" w:type="dxa"/>
          <w:left w:w="0" w:type="dxa"/>
          <w:bottom w:w="0" w:type="dxa"/>
          <w:right w:w="0" w:type="dxa"/>
        </w:tblCellMar>
      </w:tblPr>
      <w:tblGrid>
        <w:gridCol w:w="2855"/>
        <w:gridCol w:w="60"/>
        <w:gridCol w:w="284"/>
        <w:gridCol w:w="522"/>
        <w:gridCol w:w="136"/>
        <w:gridCol w:w="136"/>
        <w:gridCol w:w="284"/>
        <w:gridCol w:w="591"/>
        <w:gridCol w:w="60"/>
        <w:gridCol w:w="60"/>
        <w:gridCol w:w="251"/>
        <w:gridCol w:w="462"/>
        <w:gridCol w:w="120"/>
        <w:gridCol w:w="120"/>
        <w:gridCol w:w="251"/>
        <w:gridCol w:w="523"/>
        <w:gridCol w:w="60"/>
      </w:tblGrid>
      <w:tr>
        <w:trPr/>
        <w:tc>
          <w:tcPr>
            <w:tcW w:w="285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53"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27"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53"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27"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6"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3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800" w:type="dxa"/>
            <w:gridSpan w:val="14"/>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Cost of 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2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13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6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2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Sales and marketing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13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 development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w:t>
            </w:r>
          </w:p>
        </w:tc>
        <w:tc>
          <w:tcPr>
            <w:tcW w:w="13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w:t>
            </w:r>
          </w:p>
        </w:tc>
        <w:tc>
          <w:tcPr>
            <w:tcW w:w="13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1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doub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stock-based compensation</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2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136"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6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w:t>
            </w:r>
          </w:p>
        </w:tc>
        <w:tc>
          <w:tcPr>
            <w:tcW w:w="12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23"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Company will recognize the remaining $272 million and $74 million of unrecognized stock-based compensation expense over a weighted-average period of approximately 2.33 years and 3.42 years related to RSUs and PSUs, respectively. </w:t>
      </w:r>
    </w:p>
    <w:p>
      <w:pPr>
        <w:pStyle w:val="TextBody"/>
        <w:spacing w:before="180" w:after="0"/>
        <w:jc w:val="both"/>
        <w:rPr>
          <w:rFonts w:ascii="Arial" w:hAnsi="Arial"/>
          <w:b/>
          <w:i w:val="false"/>
          <w:caps w:val="false"/>
          <w:smallCaps w:val="false"/>
          <w:sz w:val="20"/>
        </w:rPr>
      </w:pPr>
      <w:r>
        <w:rPr>
          <w:rFonts w:ascii="Arial" w:hAnsi="Arial"/>
          <w:b/>
          <w:i w:val="false"/>
          <w:caps w:val="false"/>
          <w:smallCaps w:val="false"/>
          <w:sz w:val="20"/>
        </w:rPr>
        <w:t>Employee Stock Purchase Plan</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highlight w:val="white"/>
        </w:rPr>
        <w:t>The Company’s Employee Stock Purchase Plan (“ESPP”) allows eligible employees to purchase shares of the Company’s Class A common stock at a discount through payroll deductions of up to 15% of eligible compensation, subject to caps of $25,000 in any calendar year and 2,500 shares on any purchase date. The ESPP provides for 24-month offering periods, generally beginning in November and May of each year, and each offering period consists of four six-month purchase periods. The initial offering period began on January 1, 2021 and will end in November 2022. During the three and six months ended June 30, 2021, fewer than 1 million shares of common stock were purchased under the ESPP for an aggregate amount of $3 million.</w:t>
      </w:r>
      <w:r>
        <w:rPr>
          <w:rFonts w:ascii="Arial" w:hAnsi="Arial"/>
          <w:b w:val="false"/>
          <w:i w:val="false"/>
          <w:caps w:val="false"/>
          <w:smallCaps w:val="false"/>
          <w:color w:val="000000"/>
          <w:sz w:val="20"/>
        </w:rPr>
        <w:t> </w:t>
      </w:r>
      <w:r>
        <w:rPr>
          <w:rFonts w:ascii="Arial" w:hAnsi="Arial"/>
          <w:b w:val="false"/>
          <w:i w:val="false"/>
          <w:caps w:val="false"/>
          <w:smallCaps w:val="false"/>
          <w:color w:val="000000"/>
          <w:sz w:val="20"/>
          <w:highlight w:val="white"/>
        </w:rPr>
        <w:t> </w:t>
      </w:r>
      <w:r>
        <w:rPr>
          <w:rFonts w:ascii="Arial" w:hAnsi="Arial"/>
          <w:b w:val="false"/>
          <w:i w:val="false"/>
          <w:caps w:val="false"/>
          <w:smallCaps w:val="false"/>
          <w:color w:val="000000"/>
          <w:sz w:val="20"/>
        </w:rPr>
        <w:t>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On each purchase date, participating employees will purchase Class A common stock at a price per share equal to 85% of the lesser of the fair market value of the Company’s Class A common stock on (i) the first trading day of the applicable offering period, or (ii) the last trading day of each purchase period in the applicable offering period. If the stock price of the Company's Class A common stock on any purchase date in an offering period is lower than the stock price on the enrollment date of that offering period, the offering period will immediately reset after the purchase of shares on such purchase date and automatically roll into a new offering period (ESPP reset). During the three and six months ended June 30, 2021, there was an ESPP reset that resulted in an additional expense of approximately $7 million, which is being recognized over an offering period ending May 20, 2023. </w:t>
      </w:r>
    </w:p>
    <w:p>
      <w:pPr>
        <w:pStyle w:val="TextBody"/>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 uses the Black-Scholes option pricing model to determine the fair value of shares to be purchased under the ESPP with the following assumptions on the date of grant:</w:t>
      </w:r>
    </w:p>
    <w:p>
      <w:pPr>
        <w:pStyle w:val="TextBody"/>
        <w:spacing w:before="0" w:after="0"/>
        <w:jc w:val="both"/>
        <w:rPr/>
      </w:pPr>
      <w:r>
        <w:rPr/>
        <w:t> </w:t>
      </w:r>
    </w:p>
    <w:tbl>
      <w:tblPr>
        <w:tblW w:w="6553" w:type="dxa"/>
        <w:jc w:val="left"/>
        <w:tblInd w:w="0" w:type="dxa"/>
        <w:tblCellMar>
          <w:top w:w="0" w:type="dxa"/>
          <w:left w:w="0" w:type="dxa"/>
          <w:bottom w:w="0" w:type="dxa"/>
          <w:right w:w="0" w:type="dxa"/>
        </w:tblCellMar>
      </w:tblPr>
      <w:tblGrid>
        <w:gridCol w:w="2630"/>
        <w:gridCol w:w="60"/>
        <w:gridCol w:w="366"/>
        <w:gridCol w:w="1588"/>
        <w:gridCol w:w="60"/>
        <w:gridCol w:w="60"/>
        <w:gridCol w:w="324"/>
        <w:gridCol w:w="1405"/>
        <w:gridCol w:w="60"/>
      </w:tblGrid>
      <w:tr>
        <w:trPr/>
        <w:tc>
          <w:tcPr>
            <w:tcW w:w="263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4"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9" w:type="dxa"/>
            <w:gridSpan w:val="2"/>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 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 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Expected term (in years)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4" w:type="dxa"/>
            <w:gridSpan w:val="2"/>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0.50 to 2.00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29" w:type="dxa"/>
            <w:gridSpan w:val="2"/>
            <w:tcBorders>
              <w:top w:val="sing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0.38 to 2.00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Risk free interest rate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4" w:type="dxa"/>
            <w:gridSpan w:val="2"/>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0.02% to 0.17%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9" w:type="dxa"/>
            <w:gridSpan w:val="2"/>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0.02% to 0.17%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Volatility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4" w:type="dxa"/>
            <w:gridSpan w:val="2"/>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72.87% to 96.88%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29" w:type="dxa"/>
            <w:gridSpan w:val="2"/>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46.45% to 96.88%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63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Dividend yield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8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pPr>
            <w:r>
              <w:rPr/>
              <w:t> </w:t>
            </w:r>
          </w:p>
        </w:tc>
      </w:tr>
      <w:tr>
        <w:trPr/>
        <w:tc>
          <w:tcPr>
            <w:tcW w:w="263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Estimated fair value per share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4" w:type="dxa"/>
            <w:gridSpan w:val="2"/>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$3.91 to $5.07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29" w:type="dxa"/>
            <w:gridSpan w:val="2"/>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$3.91 to $8.05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pPr>
      <w:r>
        <w:rPr/>
        <w:t> </w:t>
      </w:r>
    </w:p>
    <w:p>
      <w:pPr>
        <w:pStyle w:val="TextBody"/>
        <w:spacing w:before="20" w:after="0"/>
        <w:jc w:val="both"/>
        <w:rPr>
          <w:rFonts w:ascii="Arial" w:hAnsi="Arial"/>
          <w:b/>
          <w:i w:val="false"/>
          <w:caps w:val="false"/>
          <w:smallCaps w:val="false"/>
          <w:color w:val="000000"/>
          <w:sz w:val="20"/>
        </w:rPr>
      </w:pPr>
      <w:r>
        <w:rPr>
          <w:rFonts w:ascii="Arial" w:hAnsi="Arial"/>
          <w:b/>
          <w:i w:val="false"/>
          <w:caps w:val="false"/>
          <w:smallCaps w:val="false"/>
          <w:color w:val="000000"/>
          <w:sz w:val="20"/>
          <w:highlight w:val="white"/>
        </w:rPr>
        <w:t xml:space="preserve">NOTE </w:t>
      </w:r>
      <w:r>
        <w:rPr>
          <w:rFonts w:ascii="Arial" w:hAnsi="Arial"/>
          <w:b/>
          <w:i w:val="false"/>
          <w:caps w:val="false"/>
          <w:smallCaps w:val="false"/>
          <w:color w:val="000000"/>
          <w:sz w:val="20"/>
        </w:rPr>
        <w:t>9. INCOME TAXES</w:t>
      </w:r>
    </w:p>
    <w:p>
      <w:pPr>
        <w:pStyle w:val="TextBody"/>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pStyle w:val="TextBody"/>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Company’s quarterly tax provision and the estimate of the annual effective tax rate is subject to fluctuation due to several factors, including variability in pre-tax earnings, the geographic distribution of the pre-tax earnings, tax law changes, non-deductible expenses, such as stock-based compensation, and changes in the estimate of the valuation allowance.</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17</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 xml:space="preserve">The provision for income taxes was $5 million and $7 million for the three and six months ended June 30, 2021 and was insignificant for the three and six months ended June 30, 2020. The year-over-year increase in provision for income taxes was primarily related to international operations. The Company continues to maintain a valuation allowance on its domestic net deferred tax assets which is excluded from the annual effective tax rate estimate.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had immaterial unrecognized tax benefits as of June 30, 2021 and December 31, 2020, fully offset by a valuation allowance. These unrecognized tax benefits, if recognized, would not affect the effective tax rate. No interest or penalties were incurred during the three and six months ended June 30, 2021 and 2020.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 </w:t>
      </w:r>
    </w:p>
    <w:p>
      <w:pPr>
        <w:pStyle w:val="TextBody"/>
        <w:spacing w:before="260" w:after="0"/>
        <w:rPr>
          <w:rFonts w:ascii="Arial" w:hAnsi="Arial"/>
          <w:b/>
          <w:i w:val="false"/>
          <w:caps w:val="false"/>
          <w:smallCaps w:val="false"/>
          <w:color w:val="000000"/>
          <w:sz w:val="20"/>
        </w:rPr>
      </w:pPr>
      <w:r>
        <w:rPr>
          <w:rFonts w:ascii="Arial" w:hAnsi="Arial"/>
          <w:b/>
          <w:i w:val="false"/>
          <w:caps w:val="false"/>
          <w:smallCaps w:val="false"/>
          <w:color w:val="000000"/>
          <w:sz w:val="20"/>
          <w:highlight w:val="white"/>
        </w:rPr>
        <w:t xml:space="preserve">NOTE </w:t>
      </w:r>
      <w:r>
        <w:rPr>
          <w:rFonts w:ascii="Arial" w:hAnsi="Arial"/>
          <w:b/>
          <w:i w:val="false"/>
          <w:caps w:val="false"/>
          <w:smallCaps w:val="false"/>
          <w:color w:val="000000"/>
          <w:sz w:val="20"/>
        </w:rPr>
        <w:t xml:space="preserve">10. </w:t>
      </w:r>
      <w:r>
        <w:rPr>
          <w:rFonts w:ascii="Arial" w:hAnsi="Arial"/>
          <w:b/>
          <w:i w:val="false"/>
          <w:caps/>
          <w:color w:val="000000"/>
          <w:sz w:val="20"/>
        </w:rPr>
        <w:t xml:space="preserve">Net loss per share </w:t>
      </w:r>
    </w:p>
    <w:p>
      <w:pPr>
        <w:pStyle w:val="TextBody"/>
        <w:spacing w:before="0" w:after="0"/>
        <w:jc w:val="both"/>
        <w:rPr/>
      </w:pPr>
      <w:r>
        <w:rPr/>
        <w:t> </w:t>
      </w:r>
    </w:p>
    <w:p>
      <w:pPr>
        <w:pStyle w:val="TextBody"/>
        <w:spacing w:before="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 xml:space="preserve">The Company presents basic and diluted net loss per share attributable to common stockholders in conformity with the two-class method required for participating securities. Prior to the completion of the IPO, all series of redeemable convertible preferred stock were considered participating securities. Immediately prior to the completion of the IPO, all shares of redeemable convertible preferred stock then outstanding were converted into shares of Class B common stock. The Company has not allocated net loss attributable to common stockholders to redeemable convertible preferred stock in any period presented because the holders of its redeemable convertible preferred stock were not contractually obligated to share in losses. </w:t>
      </w:r>
    </w:p>
    <w:p>
      <w:pPr>
        <w:pStyle w:val="TextBody"/>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Basic net income (loss) per share is computed using the weighted average number of common shares outstanding during the period. Diluted net income (loss) per share is computed by giving effect to potentially dilutive common stock equivalents outstanding during the period, as their effect would be dilutive. Potentially dilutive common shares include participating securities and shares issuable upon the exercise of stock options, the exercise of common stock warrants, the vesting of RSUs and each purchase under the 2020 ESPP, under the treasury stock method.</w:t>
      </w:r>
    </w:p>
    <w:p>
      <w:pPr>
        <w:pStyle w:val="TextBody"/>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In loss periods, basic net loss per share and diluted net loss per share are the same, as the effect of potential common shares is anti-dilutive and therefore excluded.</w:t>
      </w:r>
    </w:p>
    <w:p>
      <w:pPr>
        <w:pStyle w:val="TextBody"/>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The rights, including the liquidation and dividend rights, of the holders of Class A and Class B common stock are identical, except with respect to voting. As the liquidation and dividend rights are identical, the Company’s undistributed earnings or losses are allocated on a proportionate basis among the holders of both Class A and Class B common stock. As a result, the net income (loss) per share attributed to common stockholders will, therefore, be the same for both Class A and Class B common stock on an individual or combined basis.</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table sets forth the computation of basic and diluted net loss per share: </w:t>
      </w:r>
    </w:p>
    <w:p>
      <w:pPr>
        <w:pStyle w:val="TextBody"/>
        <w:spacing w:before="0" w:after="0"/>
        <w:jc w:val="both"/>
        <w:rPr/>
      </w:pPr>
      <w:r>
        <w:rPr/>
        <w:t> </w:t>
      </w:r>
    </w:p>
    <w:tbl>
      <w:tblPr>
        <w:tblW w:w="10205" w:type="dxa"/>
        <w:jc w:val="left"/>
        <w:tblInd w:w="0" w:type="dxa"/>
        <w:tblCellMar>
          <w:top w:w="0" w:type="dxa"/>
          <w:left w:w="0" w:type="dxa"/>
          <w:bottom w:w="28" w:type="dxa"/>
          <w:right w:w="0" w:type="dxa"/>
        </w:tblCellMar>
      </w:tblPr>
      <w:tblGrid>
        <w:gridCol w:w="5804"/>
        <w:gridCol w:w="60"/>
        <w:gridCol w:w="234"/>
        <w:gridCol w:w="856"/>
        <w:gridCol w:w="150"/>
        <w:gridCol w:w="112"/>
        <w:gridCol w:w="234"/>
        <w:gridCol w:w="856"/>
        <w:gridCol w:w="80"/>
        <w:gridCol w:w="60"/>
        <w:gridCol w:w="161"/>
        <w:gridCol w:w="586"/>
        <w:gridCol w:w="103"/>
        <w:gridCol w:w="76"/>
        <w:gridCol w:w="161"/>
        <w:gridCol w:w="586"/>
        <w:gridCol w:w="86"/>
      </w:tblGrid>
      <w:tr>
        <w:trPr/>
        <w:tc>
          <w:tcPr>
            <w:tcW w:w="5804"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42" w:type="dxa"/>
            <w:gridSpan w:val="6"/>
            <w:tcBorders>
              <w:bottom w:val="single" w:sz="6" w:space="0" w:color="000000"/>
            </w:tcBorders>
            <w:shd w:fill="FFFFFF" w:val="clear"/>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 June 30,</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673" w:type="dxa"/>
            <w:gridSpan w:val="6"/>
            <w:tcBorders>
              <w:bottom w:val="single" w:sz="6" w:space="0" w:color="000000"/>
            </w:tcBorders>
            <w:shd w:fill="FFFFFF" w:val="clear"/>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 xml:space="preserve">Six Months Ended </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86"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04"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0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04"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5" w:type="dxa"/>
            <w:gridSpan w:val="14"/>
            <w:tcBorders/>
            <w:shd w:fill="FFFFFF" w:val="clear"/>
            <w:tcMar>
              <w:bottom w:w="0" w:type="dxa"/>
            </w:tcMar>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 except per share data)</w:t>
            </w:r>
          </w:p>
        </w:tc>
        <w:tc>
          <w:tcPr>
            <w:tcW w:w="86"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04"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Numerator: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04" w:type="dxa"/>
            <w:tcBorders>
              <w:bottom w:val="doub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56"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(111</w:t>
            </w:r>
          </w:p>
        </w:tc>
        <w:tc>
          <w:tcPr>
            <w:tcW w:w="150"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56"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6"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(239</w:t>
            </w:r>
          </w:p>
        </w:tc>
        <w:tc>
          <w:tcPr>
            <w:tcW w:w="103"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6"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86" w:type="dxa"/>
            <w:tcBorders>
              <w:bottom w:val="doub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804" w:type="dxa"/>
            <w:tcBorders/>
            <w:shd w:fill="CFF0FC" w:val="clear"/>
            <w:tcMar>
              <w:bottom w:w="0" w:type="dxa"/>
            </w:tcMar>
          </w:tcPr>
          <w:p>
            <w:pPr>
              <w:pStyle w:val="TableContents"/>
              <w:spacing w:before="0" w:after="0"/>
              <w:ind w:left="0" w:right="0" w:hanging="0"/>
              <w:rPr>
                <w:rFonts w:ascii="Arial" w:hAnsi="Arial"/>
                <w:b/>
                <w:i w:val="false"/>
                <w:caps w:val="false"/>
                <w:smallCaps w:val="false"/>
                <w:color w:val="000000"/>
                <w:sz w:val="20"/>
              </w:rPr>
            </w:pPr>
            <w:r>
              <w:rPr>
                <w:rFonts w:ascii="Arial" w:hAnsi="Arial"/>
                <w:b/>
                <w:i w:val="false"/>
                <w:caps w:val="false"/>
                <w:smallCaps w:val="false"/>
                <w:color w:val="000000"/>
                <w:sz w:val="20"/>
              </w:rPr>
              <w:t>Denominator: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04" w:type="dxa"/>
            <w:tcBorders>
              <w:bottom w:val="doub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Weighted-average shares used in computing net loss per share, basic and diluted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624</w:t>
            </w:r>
          </w:p>
        </w:tc>
        <w:tc>
          <w:tcPr>
            <w:tcW w:w="15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6"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621</w:t>
            </w:r>
          </w:p>
        </w:tc>
        <w:tc>
          <w:tcPr>
            <w:tcW w:w="10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bottom w:val="doub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w:t>
            </w:r>
          </w:p>
        </w:tc>
        <w:tc>
          <w:tcPr>
            <w:tcW w:w="8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804"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 per share, basic and 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56"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(0.18</w:t>
            </w:r>
          </w:p>
        </w:tc>
        <w:tc>
          <w:tcPr>
            <w:tcW w:w="15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56"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(0.10</w:t>
            </w:r>
          </w:p>
        </w:tc>
        <w:tc>
          <w:tcPr>
            <w:tcW w:w="8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6"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(0.38</w:t>
            </w:r>
          </w:p>
        </w:tc>
        <w:tc>
          <w:tcPr>
            <w:tcW w:w="103"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1"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6"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(0.73</w:t>
            </w:r>
          </w:p>
        </w:tc>
        <w:tc>
          <w:tcPr>
            <w:tcW w:w="86"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jc w:val="both"/>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outstanding shares of potentially dilutive securities were excluded from the computation of diluted net loss per share because including them would have had an anti-dilutive effect: </w:t>
      </w:r>
    </w:p>
    <w:p>
      <w:pPr>
        <w:pStyle w:val="TextBody"/>
        <w:spacing w:before="0" w:after="0"/>
        <w:jc w:val="both"/>
        <w:rPr/>
      </w:pPr>
      <w:r>
        <w:rPr/>
        <w:t> </w:t>
      </w:r>
    </w:p>
    <w:tbl>
      <w:tblPr>
        <w:tblW w:w="5828" w:type="dxa"/>
        <w:jc w:val="left"/>
        <w:tblInd w:w="0" w:type="dxa"/>
        <w:tblCellMar>
          <w:top w:w="0" w:type="dxa"/>
          <w:left w:w="0" w:type="dxa"/>
          <w:bottom w:w="28" w:type="dxa"/>
          <w:right w:w="0" w:type="dxa"/>
        </w:tblCellMar>
      </w:tblPr>
      <w:tblGrid>
        <w:gridCol w:w="4370"/>
        <w:gridCol w:w="60"/>
        <w:gridCol w:w="88"/>
        <w:gridCol w:w="493"/>
        <w:gridCol w:w="88"/>
        <w:gridCol w:w="88"/>
        <w:gridCol w:w="88"/>
        <w:gridCol w:w="493"/>
        <w:gridCol w:w="60"/>
      </w:tblGrid>
      <w:tr>
        <w:trPr/>
        <w:tc>
          <w:tcPr>
            <w:tcW w:w="437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As of 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38" w:type="dxa"/>
            <w:gridSpan w:val="6"/>
            <w:tcBorders/>
            <w:shd w:fill="FFFFFF" w:val="clear"/>
            <w:tcMar>
              <w:bottom w:w="0" w:type="dxa"/>
            </w:tcMar>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Redeemable convertible preferred stock, all series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Series B warrant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Warrant to purchase 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Common stock options outstanding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CFF0FC" w:val="clear"/>
            <w:tcMar>
              <w:bottom w:w="0" w:type="dxa"/>
            </w:tcMar>
          </w:tcPr>
          <w:p>
            <w:pPr>
              <w:pStyle w:val="TableContents"/>
              <w:spacing w:lineRule="auto" w:line="288"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Unvested restricted stock units outstanding</w:t>
            </w:r>
            <w:r>
              <w:rPr>
                <w:rFonts w:ascii="Arial" w:hAnsi="Arial"/>
                <w:b w:val="false"/>
                <w:i w:val="false"/>
                <w:caps w:val="false"/>
                <w:smallCaps w:val="false"/>
                <w:color w:val="000000"/>
                <w:sz w:val="18"/>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Employee Stock Purchase Plan</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112</w:t>
            </w:r>
          </w:p>
        </w:tc>
        <w:tc>
          <w:tcPr>
            <w:tcW w:w="8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7195" w:type="dxa"/>
        <w:jc w:val="left"/>
        <w:tblInd w:w="0" w:type="dxa"/>
        <w:tblCellMar>
          <w:top w:w="0" w:type="dxa"/>
          <w:left w:w="0" w:type="dxa"/>
          <w:bottom w:w="0" w:type="dxa"/>
          <w:right w:w="0" w:type="dxa"/>
        </w:tblCellMar>
      </w:tblPr>
      <w:tblGrid>
        <w:gridCol w:w="60"/>
        <w:gridCol w:w="290"/>
        <w:gridCol w:w="684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90"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6845" w:type="dxa"/>
            <w:tcBorders/>
            <w:shd w:fill="auto" w:val="clear"/>
          </w:tcPr>
          <w:p>
            <w:pPr>
              <w:pStyle w:val="TableContents"/>
              <w:spacing w:before="0" w:after="0"/>
              <w:jc w:val="both"/>
              <w:rPr>
                <w:b w:val="false"/>
                <w:i w:val="false"/>
                <w:caps w:val="false"/>
                <w:smallCaps w:val="false"/>
              </w:rPr>
            </w:pPr>
            <w:r>
              <w:rPr>
                <w:rFonts w:ascii="Arial" w:hAnsi="Arial"/>
                <w:b w:val="false"/>
                <w:i w:val="false"/>
                <w:caps w:val="false"/>
                <w:smallCaps w:val="false"/>
                <w:color w:val="000000"/>
                <w:sz w:val="16"/>
              </w:rPr>
              <w:t>Unvested RSUs outstanding as of June 30, 2021 include 11 million performance-based RSUs</w:t>
            </w:r>
            <w:r>
              <w:rPr>
                <w:rFonts w:ascii="Arial" w:hAnsi="Arial"/>
                <w:b w:val="false"/>
                <w:i w:val="false"/>
                <w:caps w:val="false"/>
                <w:smallCaps w:val="false"/>
                <w:color w:val="000000"/>
                <w:sz w:val="18"/>
              </w:rPr>
              <w:t>.</w:t>
            </w:r>
          </w:p>
        </w:tc>
      </w:tr>
    </w:tbl>
    <w:p>
      <w:pPr>
        <w:pStyle w:val="TextBody"/>
        <w:spacing w:before="0" w:after="0"/>
        <w:jc w:val="both"/>
        <w:rPr/>
      </w:pPr>
      <w:r>
        <w:rPr/>
        <w:t> </w:t>
      </w:r>
    </w:p>
    <w:p>
      <w:pPr>
        <w:pStyle w:val="TextBody"/>
        <w:spacing w:before="260" w:after="0"/>
        <w:rPr>
          <w:rFonts w:ascii="Arial" w:hAnsi="Arial"/>
          <w:b/>
          <w:i w:val="false"/>
          <w:caps w:val="false"/>
          <w:smallCaps w:val="false"/>
          <w:color w:val="000000"/>
          <w:sz w:val="20"/>
        </w:rPr>
      </w:pPr>
      <w:r>
        <w:rPr>
          <w:rFonts w:ascii="Arial" w:hAnsi="Arial"/>
          <w:b/>
          <w:i w:val="false"/>
          <w:caps w:val="false"/>
          <w:smallCaps w:val="false"/>
          <w:color w:val="000000"/>
          <w:sz w:val="20"/>
          <w:highlight w:val="white"/>
        </w:rPr>
        <w:t xml:space="preserve">NOTE </w:t>
      </w:r>
      <w:r>
        <w:rPr>
          <w:rFonts w:ascii="Arial" w:hAnsi="Arial"/>
          <w:b/>
          <w:i w:val="false"/>
          <w:caps w:val="false"/>
          <w:smallCaps w:val="false"/>
          <w:color w:val="000000"/>
          <w:sz w:val="20"/>
        </w:rPr>
        <w:t xml:space="preserve">11. </w:t>
      </w:r>
      <w:r>
        <w:rPr>
          <w:rFonts w:ascii="Arial" w:hAnsi="Arial"/>
          <w:b/>
          <w:i w:val="false"/>
          <w:caps/>
          <w:color w:val="000000"/>
          <w:sz w:val="20"/>
        </w:rPr>
        <w:t>GEOGRAPHICAL INFORMATION</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 believes it is relevant to disclose geographical revenue information on both a demand basis, determined by the ship-to address of the user, and on a supply basis, determined by the location of the merchants’ operations.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Core marketplace revenue by geographic area based on the ship-to address of the user is as follows: </w:t>
      </w:r>
    </w:p>
    <w:p>
      <w:pPr>
        <w:pStyle w:val="TextBody"/>
        <w:spacing w:before="0" w:after="0"/>
        <w:jc w:val="both"/>
        <w:rPr/>
      </w:pPr>
      <w:r>
        <w:rPr/>
        <w:t> </w:t>
      </w:r>
    </w:p>
    <w:tbl>
      <w:tblPr>
        <w:tblW w:w="8391" w:type="dxa"/>
        <w:jc w:val="left"/>
        <w:tblInd w:w="0" w:type="dxa"/>
        <w:tblCellMar>
          <w:top w:w="0" w:type="dxa"/>
          <w:left w:w="0" w:type="dxa"/>
          <w:bottom w:w="28" w:type="dxa"/>
          <w:right w:w="0" w:type="dxa"/>
        </w:tblCellMar>
      </w:tblPr>
      <w:tblGrid>
        <w:gridCol w:w="2525"/>
        <w:gridCol w:w="60"/>
        <w:gridCol w:w="158"/>
        <w:gridCol w:w="423"/>
        <w:gridCol w:w="75"/>
        <w:gridCol w:w="75"/>
        <w:gridCol w:w="75"/>
        <w:gridCol w:w="423"/>
        <w:gridCol w:w="252"/>
        <w:gridCol w:w="75"/>
        <w:gridCol w:w="158"/>
        <w:gridCol w:w="423"/>
        <w:gridCol w:w="75"/>
        <w:gridCol w:w="75"/>
        <w:gridCol w:w="75"/>
        <w:gridCol w:w="423"/>
        <w:gridCol w:w="200"/>
        <w:gridCol w:w="60"/>
        <w:gridCol w:w="145"/>
        <w:gridCol w:w="389"/>
        <w:gridCol w:w="69"/>
        <w:gridCol w:w="69"/>
        <w:gridCol w:w="69"/>
        <w:gridCol w:w="389"/>
        <w:gridCol w:w="232"/>
        <w:gridCol w:w="69"/>
        <w:gridCol w:w="145"/>
        <w:gridCol w:w="389"/>
        <w:gridCol w:w="69"/>
        <w:gridCol w:w="69"/>
        <w:gridCol w:w="69"/>
        <w:gridCol w:w="389"/>
        <w:gridCol w:w="200"/>
      </w:tblGrid>
      <w:tr>
        <w:trPr/>
        <w:tc>
          <w:tcPr>
            <w:tcW w:w="252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785" w:type="dxa"/>
            <w:gridSpan w:val="14"/>
            <w:tcBorders>
              <w:bottom w:val="single" w:sz="6" w:space="0" w:color="000000"/>
            </w:tcBorders>
            <w:shd w:fill="FFFFFF" w:val="clear"/>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 June 30,</w:t>
            </w:r>
          </w:p>
        </w:tc>
        <w:tc>
          <w:tcPr>
            <w:tcW w:w="20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561" w:type="dxa"/>
            <w:gridSpan w:val="14"/>
            <w:tcBorders>
              <w:bottom w:val="single" w:sz="6" w:space="0" w:color="000000"/>
            </w:tcBorders>
            <w:shd w:fill="FFFFFF" w:val="clear"/>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 June 30,</w:t>
            </w:r>
          </w:p>
        </w:tc>
        <w:tc>
          <w:tcPr>
            <w:tcW w:w="20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29"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25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9"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23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606" w:type="dxa"/>
            <w:gridSpan w:val="30"/>
            <w:tcBorders/>
            <w:shd w:fill="FFFFFF" w:val="clear"/>
            <w:tcMar>
              <w:bottom w:w="0" w:type="dxa"/>
            </w:tcMar>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0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2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Europe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2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178</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47</w:t>
            </w:r>
          </w:p>
        </w:tc>
        <w:tc>
          <w:tcPr>
            <w:tcW w:w="25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2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224</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40</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8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413</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w:t>
            </w:r>
          </w:p>
        </w:tc>
        <w:tc>
          <w:tcPr>
            <w:tcW w:w="23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9"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8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383</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25" w:type="dxa"/>
            <w:tcBorders/>
            <w:shd w:fill="FFFFFF" w:val="clear"/>
            <w:tcMar>
              <w:bottom w:w="0" w:type="dxa"/>
            </w:tcMar>
          </w:tcPr>
          <w:p>
            <w:pPr>
              <w:pStyle w:val="TableContents"/>
              <w:spacing w:lineRule="auto" w:line="288"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North America(1)</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149</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w:t>
            </w:r>
          </w:p>
        </w:tc>
        <w:tc>
          <w:tcPr>
            <w:tcW w:w="252"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264</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335</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w:t>
            </w:r>
          </w:p>
        </w:tc>
        <w:tc>
          <w:tcPr>
            <w:tcW w:w="232"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9"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390</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2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South America</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25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3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9"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47</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25"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34</w:t>
            </w:r>
          </w:p>
        </w:tc>
        <w:tc>
          <w:tcPr>
            <w:tcW w:w="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252"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20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72</w:t>
            </w:r>
          </w:p>
        </w:tc>
        <w:tc>
          <w:tcPr>
            <w:tcW w:w="6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w:t>
            </w:r>
          </w:p>
        </w:tc>
        <w:tc>
          <w:tcPr>
            <w:tcW w:w="232"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9"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75</w:t>
            </w:r>
          </w:p>
        </w:tc>
        <w:tc>
          <w:tcPr>
            <w:tcW w:w="6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20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25" w:type="dxa"/>
            <w:tcBorders>
              <w:bottom w:val="double" w:sz="6" w:space="0" w:color="000000"/>
            </w:tcBorders>
            <w:shd w:fill="CFF0FC" w:val="clear"/>
          </w:tcPr>
          <w:p>
            <w:pPr>
              <w:pStyle w:val="TableContents"/>
              <w:spacing w:lineRule="auto" w:line="288"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Core marketplace revenue(2)</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2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378</w:t>
            </w:r>
          </w:p>
        </w:tc>
        <w:tc>
          <w:tcPr>
            <w:tcW w:w="7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52"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5"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5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2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555</w:t>
            </w:r>
          </w:p>
        </w:tc>
        <w:tc>
          <w:tcPr>
            <w:tcW w:w="7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0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8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855</w:t>
            </w:r>
          </w:p>
        </w:tc>
        <w:tc>
          <w:tcPr>
            <w:tcW w:w="6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32"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9"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8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895</w:t>
            </w:r>
          </w:p>
        </w:tc>
        <w:tc>
          <w:tcPr>
            <w:tcW w:w="6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0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pBdr>
          <w:bottom w:val="single" w:sz="6" w:space="1" w:color="000000"/>
        </w:pBdr>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248"/>
        <w:gridCol w:w="9897"/>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48"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897" w:type="dxa"/>
            <w:tcBorders/>
            <w:shd w:fill="auto" w:val="clear"/>
          </w:tcPr>
          <w:p>
            <w:pPr>
              <w:pStyle w:val="TableContents"/>
              <w:spacing w:before="0" w:after="0"/>
              <w:jc w:val="both"/>
              <w:rPr>
                <w:b w:val="false"/>
                <w:i w:val="false"/>
                <w:caps w:val="false"/>
                <w:smallCaps w:val="false"/>
              </w:rPr>
            </w:pPr>
            <w:r>
              <w:rPr>
                <w:rFonts w:ascii="Arial" w:hAnsi="Arial"/>
                <w:b w:val="false"/>
                <w:i w:val="false"/>
                <w:caps w:val="false"/>
                <w:smallCaps w:val="false"/>
                <w:color w:val="000000"/>
                <w:sz w:val="18"/>
              </w:rPr>
              <w:t>United States accounted for $124 million and $280 million of Core marketplace revenue for the three and six months ended June 30, 2021, respectively and $227 million and $330 million for the three and six months ended June 30, 2020, respectively.</w:t>
            </w:r>
            <w:r>
              <w:rPr>
                <w:b w:val="false"/>
                <w:i w:val="false"/>
                <w:caps w:val="false"/>
                <w:smallCaps w:val="false"/>
              </w:rPr>
              <w:t xml:space="preserve"> </w:t>
            </w:r>
            <w:r>
              <w:rPr>
                <w:b w:val="false"/>
                <w:i w:val="false"/>
                <w:caps w:val="false"/>
                <w:smallCaps w:val="false"/>
                <w:color w:val="000000"/>
              </w:rPr>
              <w:t xml:space="preserve">    </w:t>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China accounted for substantially all of marketplace and logistics revenue during the three and six months ended June 30, 2021 and 2020 based on the location of the merchants’ operations.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Company’s long-lived tangible assets, which consist of property and equipment, net and operating lease right-of-use assets, net, located in the United States were 86% and 87% of the total long-lived tangible assets as of June 30, 2021 and December 31, 2020, respectively. The long-lived tangible assets outside the United States were located in China, Canada and the Netherlands.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0" w:after="0"/>
        <w:rPr>
          <w:rFonts w:ascii="Arial" w:hAnsi="Arial"/>
          <w:b/>
          <w:i w:val="false"/>
          <w:caps w:val="false"/>
          <w:smallCaps w:val="false"/>
          <w:sz w:val="20"/>
        </w:rPr>
      </w:pPr>
      <w:bookmarkStart w:id="11" w:name="ITEM_2_MANAGEMENTS_DISCUSSION_ANALYSIS_F"/>
      <w:bookmarkEnd w:id="11"/>
      <w:r>
        <w:rPr>
          <w:rFonts w:ascii="Arial" w:hAnsi="Arial"/>
          <w:b/>
          <w:i w:val="false"/>
          <w:caps w:val="false"/>
          <w:smallCaps w:val="false"/>
          <w:sz w:val="20"/>
        </w:rPr>
        <w:t>Item 2. Management’s Discussion and Analysis of Financial Condition and Results of Operations</w:t>
      </w:r>
    </w:p>
    <w:p>
      <w:pPr>
        <w:pStyle w:val="TextBody"/>
        <w:spacing w:before="180" w:after="0"/>
        <w:jc w:val="both"/>
        <w:rPr>
          <w:rFonts w:ascii="Arial" w:hAnsi="Arial"/>
          <w:b w:val="false"/>
          <w:i/>
          <w:caps w:val="false"/>
          <w:smallCaps w:val="false"/>
          <w:color w:val="000000"/>
          <w:sz w:val="20"/>
          <w:highlight w:val="white"/>
        </w:rPr>
      </w:pPr>
      <w:r>
        <w:rPr>
          <w:rFonts w:ascii="Arial" w:hAnsi="Arial"/>
          <w:b w:val="false"/>
          <w:i/>
          <w:caps w:val="false"/>
          <w:smallCaps w:val="false"/>
          <w:color w:val="000000"/>
          <w:sz w:val="20"/>
          <w:highlight w:val="white"/>
        </w:rPr>
        <w:t>The following discussion and analysis of our financial condition, results of operations and cash flows should be read in conjunction with (1) the unaudited condensed consolidated financial statements and the related notes thereto included elsewhere in this Quarterly Report on Form 10-Q, and (2) the audited condensed consolidated financial statements and notes thereto and management’s discussion and analysis of financial condition and results of operations for the year ended December 31, 2020 included in our Annual Report on Form 10-K filed on March 25, 2021. Unless otherwise indicated, all results presented are prepared in a manner that complies, in all material respects, with accounting principles generally accepted in the United States of America (“GAAP”). Additionally, unless otherwise indicated, all changes identified for the current-period results represent comparisons to results for the prior corresponding fiscal period.</w:t>
      </w:r>
    </w:p>
    <w:p>
      <w:pPr>
        <w:pStyle w:val="TextBody"/>
        <w:spacing w:before="260" w:after="0"/>
        <w:jc w:val="both"/>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Special note regarding forward-looking statements</w:t>
      </w:r>
    </w:p>
    <w:p>
      <w:pPr>
        <w:pStyle w:val="TextBody"/>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This report contains forward-looking statements that involve risks and uncertainties. The Company’s actual results could differ materially from those discussed in the forward-looking statements. The statements contained in this report that are not purely historical are forward-looking statements within the meaning of Section 27A of the Securities Act and Section 21E of the Securities Exchange Act of 1934, as amended, ("the Exchange Act"). Forward-looking statements are often identified by the use of words such as, but not limited to, “anticipates,” “believes,” “could,” “estimates,” “expects,” “forecast,” “foresee,” “intends,” “likely,” “may,” “plans,” “potential,” “predicts,” “projects,” “seeks,” “should,” “will,” “would” and similar expressions or variations intended to identify forward- looking statements. These statements are based on the beliefs and assumptions of the Company’s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Such forward-looking statements speak only as of the date of this report. Except as required by law, the Company undertakes no obligation to update any forward-looking statements to reflect events or circumstances after the date of such statements. Factors that could cause or contribute to such differences include, but are not limited to, those identified below and those discussed in the section titled “Risk Factors” included under Part II, Item 1A below.</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This report may contain references to its proprietary intellectual property, including, among others, trademarks for its products and services, such as, WISH, W, WISH LOCAL, WISH PICKUP, WISHPOST, CONTEXTLOGIC, and related registered and pending trademarks and logos.</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These trademarks and trade names are the property of Wish or the property of its consolidated subsidiaries and are protected under applicable intellectual property laws. Solely for convenience, its trademarks and tradenames referred to in this Quarterly Report on Form 10-Q may appear without the ® or ™ symbols, but such references are not intended to indicate in any way that the Company will not assert, to the fullest extent under applicable law, its rights to these trademarks and tradenames.</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Financial Results for the Three Months Ended June 30, 2021</w:t>
      </w:r>
    </w:p>
    <w:tbl>
      <w:tblPr>
        <w:tblW w:w="5890" w:type="dxa"/>
        <w:jc w:val="left"/>
        <w:tblInd w:w="0" w:type="dxa"/>
        <w:tblCellMar>
          <w:top w:w="0" w:type="dxa"/>
          <w:left w:w="0" w:type="dxa"/>
          <w:bottom w:w="0" w:type="dxa"/>
          <w:right w:w="0" w:type="dxa"/>
        </w:tblCellMar>
      </w:tblPr>
      <w:tblGrid>
        <w:gridCol w:w="60"/>
        <w:gridCol w:w="110"/>
        <w:gridCol w:w="5720"/>
      </w:tblGrid>
      <w:tr>
        <w:trPr/>
        <w:tc>
          <w:tcPr>
            <w:tcW w:w="6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w:t>
            </w:r>
          </w:p>
        </w:tc>
        <w:tc>
          <w:tcPr>
            <w:tcW w:w="5720" w:type="dxa"/>
            <w:tcBorders/>
            <w:shd w:fill="auto" w:val="clear"/>
          </w:tcPr>
          <w:p>
            <w:pPr>
              <w:pStyle w:val="TableContents"/>
              <w:shd w:fill="FFFFFF" w:val="clear"/>
              <w:spacing w:before="8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Total revenue was $656 million, a decrease of 6% year-over-year.</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hd w:fill="FFFFFF" w:val="clear"/>
              <w:spacing w:before="8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 xml:space="preserve">Total cost of revenue and operating expenses were $770 million, including stock-based compensation expense of $37 million and $6 million of lease impairment related expenses. </w:t>
            </w:r>
          </w:p>
        </w:tc>
      </w:tr>
    </w:tbl>
    <w:tbl>
      <w:tblPr>
        <w:tblW w:w="3580" w:type="dxa"/>
        <w:jc w:val="left"/>
        <w:tblInd w:w="0" w:type="dxa"/>
        <w:tblCellMar>
          <w:top w:w="0" w:type="dxa"/>
          <w:left w:w="0" w:type="dxa"/>
          <w:bottom w:w="0" w:type="dxa"/>
          <w:right w:w="0" w:type="dxa"/>
        </w:tblCellMar>
      </w:tblPr>
      <w:tblGrid>
        <w:gridCol w:w="60"/>
        <w:gridCol w:w="110"/>
        <w:gridCol w:w="3410"/>
      </w:tblGrid>
      <w:tr>
        <w:trPr/>
        <w:tc>
          <w:tcPr>
            <w:tcW w:w="6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w:t>
            </w:r>
          </w:p>
        </w:tc>
        <w:tc>
          <w:tcPr>
            <w:tcW w:w="3410" w:type="dxa"/>
            <w:tcBorders/>
            <w:shd w:fill="auto" w:val="clear"/>
          </w:tcPr>
          <w:p>
            <w:pPr>
              <w:pStyle w:val="TableContents"/>
              <w:shd w:fill="FFFFFF" w:val="clear"/>
              <w:spacing w:before="8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Loss from operations was $114 million.</w:t>
            </w:r>
          </w:p>
        </w:tc>
      </w:tr>
    </w:tbl>
    <w:tbl>
      <w:tblPr>
        <w:tblW w:w="2470" w:type="dxa"/>
        <w:jc w:val="left"/>
        <w:tblInd w:w="0" w:type="dxa"/>
        <w:tblCellMar>
          <w:top w:w="0" w:type="dxa"/>
          <w:left w:w="0" w:type="dxa"/>
          <w:bottom w:w="0" w:type="dxa"/>
          <w:right w:w="0" w:type="dxa"/>
        </w:tblCellMar>
      </w:tblPr>
      <w:tblGrid>
        <w:gridCol w:w="60"/>
        <w:gridCol w:w="110"/>
        <w:gridCol w:w="2300"/>
      </w:tblGrid>
      <w:tr>
        <w:trPr/>
        <w:tc>
          <w:tcPr>
            <w:tcW w:w="6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w:t>
            </w:r>
          </w:p>
        </w:tc>
        <w:tc>
          <w:tcPr>
            <w:tcW w:w="2300" w:type="dxa"/>
            <w:tcBorders/>
            <w:shd w:fill="auto" w:val="clear"/>
          </w:tcPr>
          <w:p>
            <w:pPr>
              <w:pStyle w:val="TableContents"/>
              <w:shd w:fill="FFFFFF" w:val="clear"/>
              <w:spacing w:before="8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Net loss was $111 million.</w:t>
            </w:r>
          </w:p>
        </w:tc>
      </w:tr>
    </w:tbl>
    <w:tbl>
      <w:tblPr>
        <w:tblW w:w="6085" w:type="dxa"/>
        <w:jc w:val="left"/>
        <w:tblInd w:w="0" w:type="dxa"/>
        <w:tblCellMar>
          <w:top w:w="0" w:type="dxa"/>
          <w:left w:w="0" w:type="dxa"/>
          <w:bottom w:w="0" w:type="dxa"/>
          <w:right w:w="0" w:type="dxa"/>
        </w:tblCellMar>
      </w:tblPr>
      <w:tblGrid>
        <w:gridCol w:w="60"/>
        <w:gridCol w:w="110"/>
        <w:gridCol w:w="5915"/>
      </w:tblGrid>
      <w:tr>
        <w:trPr/>
        <w:tc>
          <w:tcPr>
            <w:tcW w:w="6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w:t>
            </w:r>
          </w:p>
        </w:tc>
        <w:tc>
          <w:tcPr>
            <w:tcW w:w="5915" w:type="dxa"/>
            <w:tcBorders/>
            <w:shd w:fill="auto" w:val="clear"/>
          </w:tcPr>
          <w:p>
            <w:pPr>
              <w:pStyle w:val="TableContents"/>
              <w:shd w:fill="FFFFFF" w:val="clear"/>
              <w:spacing w:before="8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Adjusted EBITDA was a loss of $67 million or 10% of total revenue.</w:t>
            </w:r>
          </w:p>
        </w:tc>
      </w:tr>
    </w:tbl>
    <w:tbl>
      <w:tblPr>
        <w:tblW w:w="6355" w:type="dxa"/>
        <w:jc w:val="left"/>
        <w:tblInd w:w="0" w:type="dxa"/>
        <w:tblCellMar>
          <w:top w:w="0" w:type="dxa"/>
          <w:left w:w="0" w:type="dxa"/>
          <w:bottom w:w="0" w:type="dxa"/>
          <w:right w:w="0" w:type="dxa"/>
        </w:tblCellMar>
      </w:tblPr>
      <w:tblGrid>
        <w:gridCol w:w="60"/>
        <w:gridCol w:w="110"/>
        <w:gridCol w:w="6185"/>
      </w:tblGrid>
      <w:tr>
        <w:trPr/>
        <w:tc>
          <w:tcPr>
            <w:tcW w:w="6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80" w:after="0"/>
              <w:jc w:val="both"/>
              <w:rPr>
                <w:caps w:val="false"/>
                <w:smallCaps w:val="false"/>
                <w:color w:val="000000"/>
                <w:spacing w:val="0"/>
              </w:rPr>
            </w:pPr>
            <w:r>
              <w:rPr>
                <w:caps w:val="false"/>
                <w:smallCaps w:val="false"/>
                <w:color w:val="000000"/>
                <w:spacing w:val="0"/>
              </w:rPr>
              <w:t>•</w:t>
            </w:r>
          </w:p>
        </w:tc>
        <w:tc>
          <w:tcPr>
            <w:tcW w:w="6185" w:type="dxa"/>
            <w:tcBorders/>
            <w:shd w:fill="auto" w:val="clear"/>
          </w:tcPr>
          <w:p>
            <w:pPr>
              <w:pStyle w:val="TableContents"/>
              <w:shd w:fill="FFFFFF" w:val="clear"/>
              <w:spacing w:before="8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Cash and cash equivalents and marketable securities were $1.6 billion.</w:t>
            </w:r>
          </w:p>
        </w:tc>
      </w:tr>
    </w:tbl>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As of June 30, 2021, we had an accumulated deficit of $2.4 billion. We expect losses from operations to continue for the foreseeable future as we incur costs and expenses related to brand development, expansion of market share, continued development of our mobile shopping marketplace infrastructure and development of other businesses.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rFonts w:ascii="Arial" w:hAnsi="Arial"/>
          <w:b/>
          <w:i w:val="false"/>
          <w:caps w:val="false"/>
          <w:smallCaps w:val="false"/>
          <w:sz w:val="20"/>
        </w:rPr>
      </w:pPr>
      <w:r>
        <w:rPr>
          <w:rFonts w:ascii="Arial" w:hAnsi="Arial"/>
          <w:b/>
          <w:i w:val="false"/>
          <w:caps w:val="false"/>
          <w:smallCaps w:val="false"/>
          <w:sz w:val="20"/>
        </w:rPr>
        <w:t>COVID-19</w:t>
      </w:r>
    </w:p>
    <w:p>
      <w:pPr>
        <w:pStyle w:val="TextBody"/>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outbreak of coronavirus disease 2019 (“COVID-19”), including recent and any future variants, has affected businesses worldwide, as of the date of filing of this Quarterly Report, and continues to impact the major markets in which we operate. The COVID-19 pandemic has resulted in significant governmental measures being implemented to control the spread of the virus. Our operations as well as the operations of our third-party merchants have been, and we expect will continue to be, disrupted by varying individual and governmental responses to COVID-19 around the world. Our MAUs, LTM Active Buyers and revenue declined in the second quarter of 2021 as compared to growth during the second quarter one year ago. The growth last year was driven by the shift of global consumers to purchase online as a result of various government responses, including lockdowns, stay-at-home orders, and business closings, among others. Our MAUs, LTM Active Buyers and revenue may continue to be negatively impacted as we proceed through 2021 due to a combination of reasons including: (i) macroeconomic factors such as worldwide retail businesses reopening; (ii) increased consumer spending on travel and other discretionary items; and, (iii) the waning impact of U.S. and other government economic stimulus programs.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Our Financial Model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business benefits from powerful network effects, fueled by our data advantage and scale. As more users join Wish, we are able to increase revenue potential for our merchants. As more merchants succeed on Wish, more merchants join the platform and grow their businesses with Wish, broadening our product selection, which in turn improves user experience. By developing a strategy focused on users and merchants, we align user and merchant success with the success of our financial model. Growth in users and merchants generates more data, which further strengthens our data advantage and helps create an even better experience for everyone on our platform, which in turn should attract more users and high-quality merchants.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model relies on cost-effectively adding new users, converting those users into buyers and improving engagement and monetization of those buyers on Wish over time as well as adding new merchants, delivering economic success for those merchants, and having those merchants use more of our end-to-end platform. </w:t>
      </w:r>
    </w:p>
    <w:p>
      <w:pPr>
        <w:pStyle w:val="TextBody"/>
        <w:spacing w:before="260" w:after="0"/>
        <w:rPr>
          <w:rFonts w:ascii="Arial" w:hAnsi="Arial"/>
          <w:b/>
          <w:i w:val="false"/>
          <w:caps w:val="false"/>
          <w:smallCaps w:val="false"/>
          <w:sz w:val="20"/>
        </w:rPr>
      </w:pPr>
      <w:r>
        <w:rPr>
          <w:rFonts w:ascii="Arial" w:hAnsi="Arial"/>
          <w:b/>
          <w:i w:val="false"/>
          <w:caps w:val="false"/>
          <w:smallCaps w:val="false"/>
          <w:sz w:val="20"/>
        </w:rPr>
        <w:t xml:space="preserve">Key Financial and Performance Metrics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In addition to the measures presented in our condensed consolidated financial statements, we monitor the following key metrics and other financial information to measure our performance, identify trends affecting our business, and make strategic decisions. </w:t>
      </w:r>
    </w:p>
    <w:tbl>
      <w:tblPr>
        <w:tblW w:w="6469" w:type="dxa"/>
        <w:jc w:val="left"/>
        <w:tblInd w:w="0" w:type="dxa"/>
        <w:tblCellMar>
          <w:top w:w="0" w:type="dxa"/>
          <w:left w:w="0" w:type="dxa"/>
          <w:bottom w:w="0" w:type="dxa"/>
          <w:right w:w="0" w:type="dxa"/>
        </w:tblCellMar>
      </w:tblPr>
      <w:tblGrid>
        <w:gridCol w:w="2210"/>
        <w:gridCol w:w="60"/>
        <w:gridCol w:w="187"/>
        <w:gridCol w:w="594"/>
        <w:gridCol w:w="391"/>
        <w:gridCol w:w="90"/>
        <w:gridCol w:w="187"/>
        <w:gridCol w:w="503"/>
        <w:gridCol w:w="200"/>
        <w:gridCol w:w="60"/>
        <w:gridCol w:w="166"/>
        <w:gridCol w:w="525"/>
        <w:gridCol w:w="346"/>
        <w:gridCol w:w="79"/>
        <w:gridCol w:w="166"/>
        <w:gridCol w:w="445"/>
        <w:gridCol w:w="260"/>
      </w:tblGrid>
      <w:tr>
        <w:trPr/>
        <w:tc>
          <w:tcPr>
            <w:tcW w:w="221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52"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27"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52"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27"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tcMar>
              <w:bottom w:w="28" w:type="dxa"/>
            </w:tcMa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1"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39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9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91"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34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11"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39" w:type="dxa"/>
            <w:gridSpan w:val="14"/>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MAU</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90</w:t>
            </w:r>
          </w:p>
        </w:tc>
        <w:tc>
          <w:tcPr>
            <w:tcW w:w="39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116</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95</w:t>
            </w:r>
          </w:p>
        </w:tc>
        <w:tc>
          <w:tcPr>
            <w:tcW w:w="34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113</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LTM Active Buyers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52</w:t>
            </w:r>
          </w:p>
        </w:tc>
        <w:tc>
          <w:tcPr>
            <w:tcW w:w="39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52</w:t>
            </w:r>
          </w:p>
        </w:tc>
        <w:tc>
          <w:tcPr>
            <w:tcW w:w="34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Adjusted EBITDA</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4"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(67</w:t>
            </w:r>
          </w:p>
        </w:tc>
        <w:tc>
          <w:tcPr>
            <w:tcW w:w="39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3"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w:t>
            </w:r>
          </w:p>
        </w:tc>
        <w:tc>
          <w:tcPr>
            <w:tcW w:w="346"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4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210"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Adjusted EBITDA Margin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4"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391"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3"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0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346"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9"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6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21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Free Cash Flow</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4"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(205</w:t>
            </w:r>
          </w:p>
        </w:tc>
        <w:tc>
          <w:tcPr>
            <w:tcW w:w="39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3"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625</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2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(559</w:t>
            </w:r>
          </w:p>
        </w:tc>
        <w:tc>
          <w:tcPr>
            <w:tcW w:w="346"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4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496</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60" w:after="0"/>
        <w:jc w:val="both"/>
        <w:rPr>
          <w:rFonts w:ascii="Arial" w:hAnsi="Arial"/>
          <w:b/>
          <w:i w:val="false"/>
          <w:caps w:val="false"/>
          <w:smallCaps w:val="false"/>
          <w:sz w:val="20"/>
        </w:rPr>
      </w:pPr>
      <w:r>
        <w:rPr>
          <w:rFonts w:ascii="Arial" w:hAnsi="Arial"/>
          <w:b/>
          <w:i w:val="false"/>
          <w:caps w:val="false"/>
          <w:smallCaps w:val="false"/>
          <w:sz w:val="20"/>
        </w:rPr>
        <w:t xml:space="preserve">Monthly Active Users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define MAUs as the number of unique users that visited the Wish platform,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the platform in a given month. We view the number of MAUs as a key driver of revenue growth as well as a key indicator of user engagement and awareness of our brand.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MAUs decreased approximately 22% and 16% from the three and six months ended June 30, 2020 to the three and six months ended June 30, 2021, respectively, which we believe was primarily driven by a decrease in overall mobile usage as stay-at-home restrictions eased around the world and lower marketing efficiency as the costs to advertise on key digital platforms increased.</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LTM Active Buyers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As of the last date of each reported period, we determine our number of unique active buyers by counting the total number of individual users who have placed at least one order on the Wish platform, either on our mobile app, mobile web, or on a desktop, during the preceding 12 months. We, however, exclude from the computation those buyers whose order is cancelled before the item is shipped and the purchase price is refunded. The number of Active Buyers is an indicator of our ability to attract and monetize a large user base to our platform and of our ability to convert visits into purchases. We believe that increasing our Active Buyers will be a significant driver to our future revenue growth.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LTM Active Buyers decreased approximately 26% from the three months ended June 30, 2020 to the three months ended June 30, 2021. We believe this decline was primarily driven by lower monthly active users and reduced conversion.</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A Note About Metrics</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The numbers for some of our metrics, including MAUs, are calculated and tracked with internal tools, which are not independently verified by any third party. We use these metrics to assess the growth and health of our overall business. While these numbers are based on what we believe to be reasonable estimates of our user or merchant base for the applicable period of measurement, there are inherent challenges in measurement as the methodologies used require significant judgment and may be susceptible to algorithm or other technical errors. In addition, we regularly review and adjust our processes for calculating metrics to improve their accuracy, and our estimates may change due to improvements or changes in technology or our methodology.</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Non-GAAP Financial Measures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 xml:space="preserve">Adjusted EBITDA and Adjusted EBITDA Margin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provide Adjusted EBITDA, a non-GAAP financial measure that represents our net income (loss) adjusted to exclude; interest and other income (expense), net (which includes foreign exchange gain or loss, foreign exchange forward contracts gain or loss and gain or loss on one-time </w:t>
      </w:r>
      <w:r>
        <w:rPr>
          <w:rFonts w:ascii="Arial" w:hAnsi="Arial"/>
          <w:b w:val="false"/>
          <w:i w:val="false"/>
          <w:caps w:val="false"/>
          <w:smallCaps w:val="false"/>
          <w:color w:val="000000"/>
          <w:sz w:val="20"/>
        </w:rPr>
        <w:t xml:space="preserve">non-operating </w:t>
      </w:r>
      <w:r>
        <w:rPr>
          <w:rFonts w:ascii="Arial" w:hAnsi="Arial"/>
          <w:b w:val="false"/>
          <w:i w:val="false"/>
          <w:caps w:val="false"/>
          <w:smallCaps w:val="false"/>
          <w:sz w:val="20"/>
        </w:rPr>
        <w:t>transactions); provision or benefit for income taxes; depreciation and amortization; stock-based compensation expense and related payroll taxes; lease impairment related expenses, remeasurement of redeemable convertible preferred stock warrant liability and other items. Additionally, we provide Adjusted EBITDA Margin, a non-GAAP financial measure that represents Adjusted EBITDA divided by revenue. Below is a reconciliation of Adjusted EBITDA to net loss, the most directly comparable GAAP financial measure.</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have included Adjusted EBITDA and Adjusted EBITDA Margin in this report because they are key measures used by our management and board of directors to understand and evaluate our operating performance and trends and how we are allocating internal resources, to prepare and approve our annual budget and to develop short- and long-term operating plans. We also believe that the exclusion of certain items in calculating Adjusted EBITDA can provide a useful measure for period-to-period comparisons of our business as it removes the impact of non-cash items and certain variable charges.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Adjusted EBITDA has limitations as an analytical measure, and you should not consider it in isolation or as a substitute for analysis of our results as reported under GAAP. Some of these limitations are:</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rPr>
            </w:pPr>
            <w:r>
              <w:rPr>
                <w:rFonts w:ascii="Arial" w:hAnsi="Arial"/>
                <w:b w:val="false"/>
                <w:i w:val="false"/>
                <w:caps w:val="false"/>
                <w:smallCaps w:val="false"/>
                <w:color w:val="00000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rPr>
            </w:pPr>
            <w:r>
              <w:rPr>
                <w:rFonts w:ascii="Arial" w:hAnsi="Arial"/>
                <w:b w:val="false"/>
                <w:i w:val="false"/>
                <w:caps w:val="false"/>
                <w:smallCaps w:val="false"/>
                <w:color w:val="000000"/>
              </w:rPr>
              <w:t>Adjusted EBITDA does not reflect changes in, or cash requirements for, our working capital needs;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rPr>
            </w:pPr>
            <w:r>
              <w:rPr>
                <w:rFonts w:ascii="Arial" w:hAnsi="Arial"/>
                <w:b w:val="false"/>
                <w:i w:val="false"/>
                <w:caps w:val="false"/>
                <w:smallCaps w:val="false"/>
                <w:color w:val="000000"/>
              </w:rPr>
              <w:t>Adjusted EBITDA does not consider the impact of stock-based compensation and related payroll taxes;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rPr>
            </w:pPr>
            <w:r>
              <w:rPr>
                <w:rFonts w:ascii="Arial" w:hAnsi="Arial"/>
                <w:b w:val="false"/>
                <w:i w:val="false"/>
                <w:caps w:val="false"/>
                <w:smallCaps w:val="false"/>
                <w:color w:val="000000"/>
              </w:rPr>
              <w:t>Adjusted EBITDA does not reflect tax payments that may represent a reduction in cash available to us;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rPr>
            </w:pPr>
            <w:r>
              <w:rPr>
                <w:rFonts w:ascii="Arial" w:hAnsi="Arial"/>
                <w:b w:val="false"/>
                <w:i w:val="false"/>
                <w:caps w:val="false"/>
                <w:smallCaps w:val="false"/>
                <w:color w:val="000000"/>
              </w:rPr>
              <w:t>other companies, including companies in our industry, may calculate Adjusted EBITDA differently, which reduces its usefulness as a comparative measure.</w:t>
            </w:r>
          </w:p>
        </w:tc>
      </w:tr>
    </w:tbl>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Because of these limitations, you should consider Adjusted EBITDA and Adjusted EBITDA Margin alongside other financial performance measures, including various cash flow metrics, net income (loss) and our other GAAP results.</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22</w:t>
      </w:r>
    </w:p>
    <w:p>
      <w:pPr>
        <w:pStyle w:val="HorizontalLine"/>
        <w:rPr/>
      </w:pPr>
      <w:r>
        <w:rPr/>
      </w:r>
    </w:p>
    <w:p>
      <w:pPr>
        <w:pStyle w:val="TextBody"/>
        <w:spacing w:before="0" w:after="0"/>
        <w:rPr/>
      </w:pPr>
      <w:r>
        <w:rPr/>
        <w:t> </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following table reflects the reconciliation of net loss to Adjusted EBITDA and net loss as a percentage of revenue to Adjusted EBITDA margin for each of the periods indicated:</w:t>
      </w:r>
    </w:p>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5985"/>
        <w:gridCol w:w="60"/>
        <w:gridCol w:w="181"/>
        <w:gridCol w:w="575"/>
        <w:gridCol w:w="373"/>
        <w:gridCol w:w="87"/>
        <w:gridCol w:w="181"/>
        <w:gridCol w:w="487"/>
        <w:gridCol w:w="254"/>
        <w:gridCol w:w="60"/>
        <w:gridCol w:w="135"/>
        <w:gridCol w:w="545"/>
        <w:gridCol w:w="277"/>
        <w:gridCol w:w="65"/>
        <w:gridCol w:w="135"/>
        <w:gridCol w:w="545"/>
        <w:gridCol w:w="260"/>
      </w:tblGrid>
      <w:tr>
        <w:trPr/>
        <w:tc>
          <w:tcPr>
            <w:tcW w:w="598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4"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tc>
        <w:tc>
          <w:tcPr>
            <w:tcW w:w="2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2"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8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4"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02"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8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6"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37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8"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5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27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8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00" w:type="dxa"/>
            <w:gridSpan w:val="14"/>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8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7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656</w:t>
            </w:r>
          </w:p>
        </w:tc>
        <w:tc>
          <w:tcPr>
            <w:tcW w:w="37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87"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701</w:t>
            </w:r>
          </w:p>
        </w:tc>
        <w:tc>
          <w:tcPr>
            <w:tcW w:w="25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4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1,428</w:t>
            </w:r>
          </w:p>
        </w:tc>
        <w:tc>
          <w:tcPr>
            <w:tcW w:w="27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4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1,141</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8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(111</w:t>
            </w:r>
          </w:p>
        </w:tc>
        <w:tc>
          <w:tcPr>
            <w:tcW w:w="373"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254"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(239</w:t>
            </w:r>
          </w:p>
        </w:tc>
        <w:tc>
          <w:tcPr>
            <w:tcW w:w="277"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26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98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 as a percentage of 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373"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5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27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98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Excluding: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85"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and other expense (income),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373"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25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277"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260"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985"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Provision for income taxes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37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27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85"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Depreciation and amortization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37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5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27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85"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Stock-based compensation expense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37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w:t>
            </w:r>
          </w:p>
        </w:tc>
        <w:tc>
          <w:tcPr>
            <w:tcW w:w="27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85"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Employer payroll taxes related to stock-based compensation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37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5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27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85" w:type="dxa"/>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Remeasurement of redeemable convertible preferred stock warrant liability</w:t>
            </w:r>
          </w:p>
        </w:tc>
        <w:tc>
          <w:tcPr>
            <w:tcW w:w="60" w:type="dxa"/>
            <w:tcBorders/>
            <w:shd w:fill="FFFFFF"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1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37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w:t>
            </w:r>
          </w:p>
        </w:tc>
        <w:tc>
          <w:tcPr>
            <w:tcW w:w="2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7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2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85" w:type="dxa"/>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Lease impairment related expenses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37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5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27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85" w:type="dxa"/>
            <w:tcBorders>
              <w:bottom w:val="single" w:sz="6" w:space="0" w:color="000000"/>
            </w:tcBorders>
            <w:shd w:fill="FFFFFF"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Recurring other items</w:t>
            </w:r>
          </w:p>
        </w:tc>
        <w:tc>
          <w:tcPr>
            <w:tcW w:w="60" w:type="dxa"/>
            <w:tcBorders>
              <w:bottom w:val="single" w:sz="6" w:space="0" w:color="000000"/>
            </w:tcBorders>
            <w:shd w:fill="FFFFFF" w:val="clear"/>
            <w:tcMar>
              <w:bottom w:w="28"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37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25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7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85" w:type="dxa"/>
            <w:tcBorders>
              <w:bottom w:val="doub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Adjusted EBITDA</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(67</w:t>
            </w:r>
          </w:p>
        </w:tc>
        <w:tc>
          <w:tcPr>
            <w:tcW w:w="373"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w:t>
            </w:r>
          </w:p>
        </w:tc>
        <w:tc>
          <w:tcPr>
            <w:tcW w:w="254"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(146</w:t>
            </w:r>
          </w:p>
        </w:tc>
        <w:tc>
          <w:tcPr>
            <w:tcW w:w="277"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(35</w:t>
            </w:r>
          </w:p>
        </w:tc>
        <w:tc>
          <w:tcPr>
            <w:tcW w:w="260" w:type="dxa"/>
            <w:tcBorders>
              <w:bottom w:val="double" w:sz="6" w:space="0" w:color="000000"/>
            </w:tcBorders>
            <w:shd w:fill="CFF0FC"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5985" w:type="dxa"/>
            <w:tcBorders>
              <w:bottom w:val="double" w:sz="6" w:space="0" w:color="000000"/>
            </w:tcBorders>
            <w:shd w:fill="FFFFFF" w:val="clear"/>
            <w:tcMar>
              <w:bottom w:w="28" w:type="dxa"/>
            </w:tcMar>
          </w:tcPr>
          <w:p>
            <w:pPr>
              <w:pStyle w:val="TableContents"/>
              <w:spacing w:before="0" w:after="0"/>
              <w:ind w:left="41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Adjusted EBITDA margin</w:t>
            </w:r>
          </w:p>
        </w:tc>
        <w:tc>
          <w:tcPr>
            <w:tcW w:w="60" w:type="dxa"/>
            <w:tcBorders>
              <w:bottom w:val="double" w:sz="6" w:space="0" w:color="000000"/>
            </w:tcBorders>
            <w:shd w:fill="FFFFFF" w:val="clear"/>
            <w:tcMar>
              <w:bottom w:w="28" w:type="dxa"/>
            </w:tcMar>
          </w:tcPr>
          <w:p>
            <w:pPr>
              <w:pStyle w:val="TableContents"/>
              <w:spacing w:before="0" w:after="0"/>
              <w:ind w:left="410" w:right="0" w:hanging="0"/>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FFFFFF" w:val="clear"/>
            <w:tcMar>
              <w:top w:w="28" w:type="dxa"/>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double" w:sz="6" w:space="0" w:color="000000"/>
              <w:bottom w:val="double" w:sz="6" w:space="0" w:color="000000"/>
            </w:tcBorders>
            <w:shd w:fill="FFFFFF" w:val="clear"/>
            <w:tcMar>
              <w:top w:w="28" w:type="dxa"/>
              <w:bottom w:w="28"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373" w:type="dxa"/>
            <w:tcBorders>
              <w:bottom w:val="doub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 w:type="dxa"/>
            <w:tcBorders>
              <w:bottom w:val="double" w:sz="6" w:space="0" w:color="000000"/>
            </w:tcBorders>
            <w:shd w:fill="FFFFFF" w:val="clear"/>
            <w:tcMar>
              <w:bottom w:w="28" w:type="dxa"/>
            </w:tcMar>
          </w:tcPr>
          <w:p>
            <w:pPr>
              <w:pStyle w:val="TableContents"/>
              <w:spacing w:before="0" w:after="0"/>
              <w:ind w:left="410" w:right="0" w:hanging="0"/>
              <w:rPr>
                <w:caps w:val="false"/>
                <w:smallCaps w:val="false"/>
                <w:color w:val="000000"/>
              </w:rPr>
            </w:pPr>
            <w:r>
              <w:rPr>
                <w:caps w:val="false"/>
                <w:smallCaps w:val="false"/>
                <w:color w:val="000000"/>
              </w:rPr>
              <w:t> </w:t>
            </w:r>
          </w:p>
        </w:tc>
        <w:tc>
          <w:tcPr>
            <w:tcW w:w="181" w:type="dxa"/>
            <w:tcBorders>
              <w:top w:val="double" w:sz="6" w:space="0" w:color="000000"/>
              <w:bottom w:val="double" w:sz="6" w:space="0" w:color="000000"/>
            </w:tcBorders>
            <w:shd w:fill="FFFFFF" w:val="clear"/>
            <w:tcMar>
              <w:top w:w="28" w:type="dxa"/>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top w:val="double" w:sz="6" w:space="0" w:color="000000"/>
              <w:bottom w:val="double" w:sz="6" w:space="0" w:color="000000"/>
            </w:tcBorders>
            <w:shd w:fill="FFFFFF" w:val="clear"/>
            <w:tcMar>
              <w:top w:w="28" w:type="dxa"/>
              <w:bottom w:w="28"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54" w:type="dxa"/>
            <w:tcBorders>
              <w:bottom w:val="doub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FFFFFF" w:val="clear"/>
            <w:tcMar>
              <w:bottom w:w="28" w:type="dxa"/>
            </w:tcMar>
          </w:tcPr>
          <w:p>
            <w:pPr>
              <w:pStyle w:val="TableContents"/>
              <w:spacing w:before="0" w:after="0"/>
              <w:ind w:left="410" w:right="0" w:hanging="0"/>
              <w:rPr>
                <w:caps w:val="false"/>
                <w:smallCaps w:val="false"/>
                <w:color w:val="000000"/>
              </w:rPr>
            </w:pPr>
            <w:r>
              <w:rPr>
                <w:caps w:val="false"/>
                <w:smallCaps w:val="false"/>
                <w:color w:val="000000"/>
              </w:rPr>
              <w:t> </w:t>
            </w:r>
          </w:p>
        </w:tc>
        <w:tc>
          <w:tcPr>
            <w:tcW w:w="135" w:type="dxa"/>
            <w:tcBorders>
              <w:top w:val="double" w:sz="6" w:space="0" w:color="000000"/>
              <w:bottom w:val="double" w:sz="6" w:space="0" w:color="000000"/>
            </w:tcBorders>
            <w:shd w:fill="FFFFFF" w:val="clear"/>
            <w:tcMar>
              <w:top w:w="28" w:type="dxa"/>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double" w:sz="6" w:space="0" w:color="000000"/>
              <w:bottom w:val="double" w:sz="6" w:space="0" w:color="000000"/>
            </w:tcBorders>
            <w:shd w:fill="FFFFFF" w:val="clear"/>
            <w:tcMar>
              <w:top w:w="28" w:type="dxa"/>
              <w:bottom w:w="28"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277" w:type="dxa"/>
            <w:tcBorders>
              <w:bottom w:val="doub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5" w:type="dxa"/>
            <w:tcBorders>
              <w:bottom w:val="double" w:sz="6" w:space="0" w:color="000000"/>
            </w:tcBorders>
            <w:shd w:fill="FFFFFF" w:val="clear"/>
            <w:tcMar>
              <w:bottom w:w="28" w:type="dxa"/>
            </w:tcMar>
          </w:tcPr>
          <w:p>
            <w:pPr>
              <w:pStyle w:val="TableContents"/>
              <w:spacing w:before="0" w:after="0"/>
              <w:ind w:left="410" w:right="0" w:hanging="0"/>
              <w:rPr>
                <w:caps w:val="false"/>
                <w:smallCaps w:val="false"/>
                <w:color w:val="000000"/>
              </w:rPr>
            </w:pPr>
            <w:r>
              <w:rPr>
                <w:caps w:val="false"/>
                <w:smallCaps w:val="false"/>
                <w:color w:val="000000"/>
              </w:rPr>
              <w:t> </w:t>
            </w:r>
          </w:p>
        </w:tc>
        <w:tc>
          <w:tcPr>
            <w:tcW w:w="135" w:type="dxa"/>
            <w:tcBorders>
              <w:top w:val="double" w:sz="6" w:space="0" w:color="000000"/>
              <w:bottom w:val="double" w:sz="6" w:space="0" w:color="000000"/>
            </w:tcBorders>
            <w:shd w:fill="FFFFFF" w:val="clear"/>
            <w:tcMar>
              <w:top w:w="28" w:type="dxa"/>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double" w:sz="6" w:space="0" w:color="000000"/>
              <w:bottom w:val="double" w:sz="6" w:space="0" w:color="000000"/>
            </w:tcBorders>
            <w:shd w:fill="FFFFFF" w:val="clear"/>
            <w:tcMar>
              <w:top w:w="28" w:type="dxa"/>
              <w:bottom w:w="28" w:type="dxa"/>
            </w:tcMar>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60" w:type="dxa"/>
            <w:tcBorders>
              <w:bottom w:val="doub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jc w:val="both"/>
        <w:rPr/>
      </w:pPr>
      <w:r>
        <w:rPr/>
        <w:t> </w:t>
      </w:r>
    </w:p>
    <w:p>
      <w:pPr>
        <w:pStyle w:val="TextBody"/>
        <w:spacing w:before="60" w:after="0"/>
        <w:jc w:val="both"/>
        <w:rPr>
          <w:rFonts w:ascii="Arial" w:hAnsi="Arial"/>
          <w:b/>
          <w:i/>
          <w:caps w:val="false"/>
          <w:smallCaps w:val="false"/>
          <w:sz w:val="20"/>
        </w:rPr>
      </w:pPr>
      <w:r>
        <w:rPr>
          <w:rFonts w:ascii="Arial" w:hAnsi="Arial"/>
          <w:b/>
          <w:i/>
          <w:caps w:val="false"/>
          <w:smallCaps w:val="false"/>
          <w:sz w:val="20"/>
        </w:rPr>
        <w:t xml:space="preserve">Free Cash Flow </w:t>
      </w:r>
    </w:p>
    <w:p>
      <w:pPr>
        <w:pStyle w:val="TextBody"/>
        <w:shd w:fill="FFFFFF" w:val="clear"/>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also provide Free Cash Flow, a non-GAAP financial measure that represents net cash provided by (used in) operating activities less purchases of property and equipment. </w:t>
      </w:r>
      <w:r>
        <w:rPr>
          <w:rFonts w:ascii="Arial" w:hAnsi="Arial"/>
          <w:b w:val="false"/>
          <w:i w:val="false"/>
          <w:caps w:val="false"/>
          <w:smallCaps w:val="false"/>
          <w:color w:val="000000"/>
          <w:sz w:val="20"/>
        </w:rPr>
        <w:t>We believe that Free Cash Flow is an important measure since we use third parties to host our services and therefore we do not incur significant capital expenditures to support revenue generating activities.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Free Cash Flow has limitations as an analytical measure, and you should not consider it in isolation or as a substitute for analysis of our results as reported under GAAP. Some of these limitations are:</w:t>
      </w:r>
    </w:p>
    <w:tbl>
      <w:tblPr>
        <w:tblW w:w="6640" w:type="dxa"/>
        <w:jc w:val="left"/>
        <w:tblInd w:w="0" w:type="dxa"/>
        <w:tblCellMar>
          <w:top w:w="0" w:type="dxa"/>
          <w:left w:w="0" w:type="dxa"/>
          <w:bottom w:w="0" w:type="dxa"/>
          <w:right w:w="0" w:type="dxa"/>
        </w:tblCellMar>
      </w:tblPr>
      <w:tblGrid>
        <w:gridCol w:w="60"/>
        <w:gridCol w:w="110"/>
        <w:gridCol w:w="6470"/>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6470"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it is not a substitute for net cash provided by (used in) operating activities;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companies may calculate Free Cash Flow or similarly titled non-GAAP measures differently or may use other measures to evaluate their performance, all of which could reduce the usefulness of free cash flow as a tool for comparison;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80" w:after="0"/>
              <w:jc w:val="both"/>
              <w:rPr>
                <w:caps w:val="false"/>
                <w:smallCaps w:val="false"/>
              </w:rPr>
            </w:pPr>
            <w:r>
              <w:rPr>
                <w:caps w:val="false"/>
                <w:smallCaps w:val="false"/>
              </w:rPr>
              <w:t> </w:t>
            </w:r>
          </w:p>
        </w:tc>
        <w:tc>
          <w:tcPr>
            <w:tcW w:w="110" w:type="dxa"/>
            <w:tcBorders/>
            <w:shd w:fill="auto" w:val="clear"/>
          </w:tcPr>
          <w:p>
            <w:pPr>
              <w:pStyle w:val="TableContents"/>
              <w:spacing w:before="80" w:after="0"/>
              <w:jc w:val="both"/>
              <w:rPr>
                <w:caps w:val="false"/>
                <w:smallCaps w:val="false"/>
              </w:rPr>
            </w:pPr>
            <w:r>
              <w:rPr>
                <w:caps w:val="false"/>
                <w:smallCaps w:val="false"/>
              </w:rPr>
              <w:t>•</w:t>
            </w:r>
          </w:p>
        </w:tc>
        <w:tc>
          <w:tcPr>
            <w:tcW w:w="10035" w:type="dxa"/>
            <w:tcBorders/>
            <w:shd w:fill="auto" w:val="clear"/>
          </w:tcPr>
          <w:p>
            <w:pPr>
              <w:pStyle w:val="TableContents"/>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utility of free cash flow is further limited as it does not reflect our future contractual commitments and does not represent the total increase or decrease in our cash balance for any given period.</w:t>
            </w:r>
          </w:p>
        </w:tc>
      </w:tr>
    </w:tbl>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Because of these limitations, you should consider Free Cash Flow alongside other financial performance measures, such as net cash provided by (used in) operating activities, net income (loss) and our other GAAP results.</w:t>
      </w:r>
    </w:p>
    <w:p>
      <w:pPr>
        <w:pStyle w:val="TextBody"/>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following table reflects the reconciliation of net cash provided by (used in) operating activities to Free Cash Flow for each of the periods indicated:</w:t>
      </w:r>
    </w:p>
    <w:p>
      <w:pPr>
        <w:pStyle w:val="TextBody"/>
        <w:spacing w:before="0" w:after="0"/>
        <w:jc w:val="both"/>
        <w:rPr/>
      </w:pPr>
      <w:r>
        <w:rPr/>
        <w:t> </w:t>
      </w:r>
    </w:p>
    <w:tbl>
      <w:tblPr>
        <w:tblW w:w="7960" w:type="dxa"/>
        <w:jc w:val="left"/>
        <w:tblInd w:w="0" w:type="dxa"/>
        <w:tblCellMar>
          <w:top w:w="0" w:type="dxa"/>
          <w:left w:w="0" w:type="dxa"/>
          <w:bottom w:w="0" w:type="dxa"/>
          <w:right w:w="0" w:type="dxa"/>
        </w:tblCellMar>
      </w:tblPr>
      <w:tblGrid>
        <w:gridCol w:w="4040"/>
        <w:gridCol w:w="60"/>
        <w:gridCol w:w="218"/>
        <w:gridCol w:w="689"/>
        <w:gridCol w:w="139"/>
        <w:gridCol w:w="104"/>
        <w:gridCol w:w="218"/>
        <w:gridCol w:w="584"/>
        <w:gridCol w:w="60"/>
        <w:gridCol w:w="60"/>
        <w:gridCol w:w="193"/>
        <w:gridCol w:w="610"/>
        <w:gridCol w:w="123"/>
        <w:gridCol w:w="92"/>
        <w:gridCol w:w="193"/>
        <w:gridCol w:w="517"/>
        <w:gridCol w:w="60"/>
      </w:tblGrid>
      <w:tr>
        <w:trPr/>
        <w:tc>
          <w:tcPr>
            <w:tcW w:w="404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2"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8"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2"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8"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7"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3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2"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2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00" w:type="dxa"/>
            <w:gridSpan w:val="14"/>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provided by (used in) operating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89"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(204</w:t>
            </w:r>
          </w:p>
        </w:tc>
        <w:tc>
          <w:tcPr>
            <w:tcW w:w="139"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4"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10"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(558</w:t>
            </w:r>
          </w:p>
        </w:tc>
        <w:tc>
          <w:tcPr>
            <w:tcW w:w="123"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17"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Less: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sing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Purchases of property and equipment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13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4"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12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7"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40" w:type="dxa"/>
            <w:tcBorders>
              <w:bottom w:val="double" w:sz="6" w:space="0" w:color="000000"/>
            </w:tcBorders>
            <w:shd w:fill="FFFFFF"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Free Cash Flow</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8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(205</w:t>
            </w:r>
          </w:p>
        </w:tc>
        <w:tc>
          <w:tcPr>
            <w:tcW w:w="139"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4"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84"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625</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(559</w:t>
            </w:r>
          </w:p>
        </w:tc>
        <w:tc>
          <w:tcPr>
            <w:tcW w:w="123" w:type="dxa"/>
            <w:tcBorders>
              <w:bottom w:val="double" w:sz="6" w:space="0" w:color="000000"/>
            </w:tcBorders>
            <w:shd w:fill="FFFFFF" w:val="clear"/>
            <w:tcMar>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2"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1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496</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Results of Operations</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The following table shows our results of operations for the periods presented and express the relationship of certain line items as a percentage of revenue for those periods. The period-to-period comparison of financial results is not necessarily indicative of future results.  </w:t>
      </w:r>
    </w:p>
    <w:p>
      <w:pPr>
        <w:pStyle w:val="TextBody"/>
        <w:spacing w:before="0" w:after="0"/>
        <w:jc w:val="both"/>
        <w:rPr/>
      </w:pPr>
      <w:r>
        <w:rPr/>
        <w:t> </w:t>
      </w:r>
    </w:p>
    <w:tbl>
      <w:tblPr>
        <w:tblW w:w="10205" w:type="dxa"/>
        <w:jc w:val="left"/>
        <w:tblInd w:w="0" w:type="dxa"/>
        <w:tblCellMar>
          <w:top w:w="0" w:type="dxa"/>
          <w:left w:w="0" w:type="dxa"/>
          <w:bottom w:w="28" w:type="dxa"/>
          <w:right w:w="0" w:type="dxa"/>
        </w:tblCellMar>
      </w:tblPr>
      <w:tblGrid>
        <w:gridCol w:w="4912"/>
        <w:gridCol w:w="60"/>
        <w:gridCol w:w="288"/>
        <w:gridCol w:w="913"/>
        <w:gridCol w:w="184"/>
        <w:gridCol w:w="138"/>
        <w:gridCol w:w="288"/>
        <w:gridCol w:w="775"/>
        <w:gridCol w:w="80"/>
        <w:gridCol w:w="60"/>
        <w:gridCol w:w="218"/>
        <w:gridCol w:w="872"/>
        <w:gridCol w:w="138"/>
        <w:gridCol w:w="103"/>
        <w:gridCol w:w="218"/>
        <w:gridCol w:w="872"/>
        <w:gridCol w:w="86"/>
      </w:tblGrid>
      <w:tr>
        <w:trPr/>
        <w:tc>
          <w:tcPr>
            <w:tcW w:w="4912"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86"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1"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 June 30,</w:t>
            </w:r>
          </w:p>
        </w:tc>
        <w:tc>
          <w:tcPr>
            <w:tcW w:w="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0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8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6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3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147" w:type="dxa"/>
            <w:gridSpan w:val="14"/>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Revenue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1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656</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7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1,428</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1,141</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bottom w:val="single" w:sz="6" w:space="0" w:color="000000"/>
            </w:tcBorders>
            <w:shd w:fill="FFFFFF" w:val="clear"/>
          </w:tcPr>
          <w:p>
            <w:pPr>
              <w:pStyle w:val="TableContents"/>
              <w:spacing w:lineRule="auto" w:line="288"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Cost of revenue(1)</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272</w:t>
            </w:r>
          </w:p>
        </w:tc>
        <w:tc>
          <w:tcPr>
            <w:tcW w:w="1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607</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364</w:t>
            </w:r>
          </w:p>
        </w:tc>
        <w:tc>
          <w:tcPr>
            <w:tcW w:w="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Gross profit</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384</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821</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777</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expenses: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1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shd w:fill="CFF0FC" w:val="clear"/>
            <w:tcMar>
              <w:bottom w:w="0" w:type="dxa"/>
            </w:tcMar>
          </w:tcPr>
          <w:p>
            <w:pPr>
              <w:pStyle w:val="TableContents"/>
              <w:spacing w:lineRule="auto" w:line="288"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Sales and marketing(1)</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396</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866</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739</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shd w:fill="FFFFFF" w:val="clear"/>
            <w:tcMar>
              <w:bottom w:w="0" w:type="dxa"/>
            </w:tcMar>
          </w:tcPr>
          <w:p>
            <w:pPr>
              <w:pStyle w:val="TableContents"/>
              <w:spacing w:lineRule="auto" w:line="288"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 development(1)</w:t>
            </w:r>
          </w:p>
        </w:tc>
        <w:tc>
          <w:tcPr>
            <w:tcW w:w="6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52</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103</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bottom w:val="single" w:sz="6" w:space="0" w:color="000000"/>
            </w:tcBorders>
            <w:shd w:fill="CFF0FC" w:val="clear"/>
          </w:tcPr>
          <w:p>
            <w:pPr>
              <w:pStyle w:val="TableContents"/>
              <w:spacing w:lineRule="auto" w:line="288"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administrative(1)</w:t>
            </w:r>
          </w:p>
        </w:tc>
        <w:tc>
          <w:tcPr>
            <w:tcW w:w="60" w:type="dxa"/>
            <w:tcBorders>
              <w:bottom w:val="single" w:sz="6" w:space="0" w:color="000000"/>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3"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50</w:t>
            </w:r>
          </w:p>
        </w:tc>
        <w:tc>
          <w:tcPr>
            <w:tcW w:w="1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92</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bottom w:val="single" w:sz="6" w:space="0" w:color="000000"/>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w:t>
            </w:r>
          </w:p>
        </w:tc>
        <w:tc>
          <w:tcPr>
            <w:tcW w:w="8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shd w:fill="FFFFFF" w:val="clear"/>
            <w:tcMar>
              <w:bottom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operating expenses</w:t>
            </w:r>
          </w:p>
        </w:tc>
        <w:tc>
          <w:tcPr>
            <w:tcW w:w="60" w:type="dxa"/>
            <w:tcBorders/>
            <w:shd w:fill="FFFFFF"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28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498</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28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21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1,061</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21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819</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Income (loss) from operations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(114</w:t>
            </w:r>
          </w:p>
        </w:tc>
        <w:tc>
          <w:tcPr>
            <w:tcW w:w="18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8"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(240</w:t>
            </w:r>
          </w:p>
        </w:tc>
        <w:tc>
          <w:tcPr>
            <w:tcW w:w="13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3"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w:t>
            </w:r>
          </w:p>
        </w:tc>
        <w:tc>
          <w:tcPr>
            <w:tcW w:w="8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912"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income (expense), net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1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and other income, net</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Remeasurement of convertible preferred stock warrant liability</w:t>
            </w:r>
          </w:p>
        </w:tc>
        <w:tc>
          <w:tcPr>
            <w:tcW w:w="60" w:type="dxa"/>
            <w:tcBorders>
              <w:bottom w:val="single" w:sz="6" w:space="0" w:color="000000"/>
            </w:tcBorders>
            <w:shd w:fill="FFFFFF"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w:t>
            </w:r>
          </w:p>
        </w:tc>
        <w:tc>
          <w:tcPr>
            <w:tcW w:w="8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bottom w:val="single" w:sz="6" w:space="0" w:color="000000"/>
            </w:tcBorders>
            <w:shd w:fill="FFFFFF"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86"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912"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before provision for income taxes</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(106</w:t>
            </w:r>
          </w:p>
        </w:tc>
        <w:tc>
          <w:tcPr>
            <w:tcW w:w="18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8"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(232</w:t>
            </w:r>
          </w:p>
        </w:tc>
        <w:tc>
          <w:tcPr>
            <w:tcW w:w="13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3"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1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86"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912"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Provision for income taxes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3"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1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912"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1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(111</w:t>
            </w:r>
          </w:p>
        </w:tc>
        <w:tc>
          <w:tcPr>
            <w:tcW w:w="184"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8"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8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(239</w:t>
            </w:r>
          </w:p>
        </w:tc>
        <w:tc>
          <w:tcPr>
            <w:tcW w:w="138"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3"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(77</w:t>
            </w:r>
          </w:p>
        </w:tc>
        <w:tc>
          <w:tcPr>
            <w:tcW w:w="86"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jc w:val="both"/>
        <w:rPr/>
      </w:pPr>
      <w:r>
        <w:rPr/>
        <w:t> </w:t>
      </w:r>
    </w:p>
    <w:tbl>
      <w:tblPr>
        <w:tblW w:w="5350" w:type="dxa"/>
        <w:jc w:val="left"/>
        <w:tblInd w:w="0" w:type="dxa"/>
        <w:tblCellMar>
          <w:top w:w="0" w:type="dxa"/>
          <w:left w:w="0" w:type="dxa"/>
          <w:bottom w:w="0" w:type="dxa"/>
          <w:right w:w="0" w:type="dxa"/>
        </w:tblCellMar>
      </w:tblPr>
      <w:tblGrid>
        <w:gridCol w:w="60"/>
        <w:gridCol w:w="290"/>
        <w:gridCol w:w="500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90"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5000" w:type="dxa"/>
            <w:tcBorders/>
            <w:shd w:fill="auto" w:val="clear"/>
          </w:tcPr>
          <w:p>
            <w:pPr>
              <w:pStyle w:val="TableContents"/>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Includes stock-based compensation expense as follows: </w:t>
            </w:r>
          </w:p>
        </w:tc>
      </w:tr>
    </w:tbl>
    <w:p>
      <w:pPr>
        <w:pStyle w:val="TextBody"/>
        <w:spacing w:before="0" w:after="0"/>
        <w:jc w:val="both"/>
        <w:rPr/>
      </w:pPr>
      <w:r>
        <w:rPr/>
        <w:t> </w:t>
      </w:r>
    </w:p>
    <w:tbl>
      <w:tblPr>
        <w:tblW w:w="6775" w:type="dxa"/>
        <w:jc w:val="left"/>
        <w:tblInd w:w="0" w:type="dxa"/>
        <w:tblCellMar>
          <w:top w:w="0" w:type="dxa"/>
          <w:left w:w="0" w:type="dxa"/>
          <w:bottom w:w="0" w:type="dxa"/>
          <w:right w:w="0" w:type="dxa"/>
        </w:tblCellMar>
      </w:tblPr>
      <w:tblGrid>
        <w:gridCol w:w="2855"/>
        <w:gridCol w:w="60"/>
        <w:gridCol w:w="284"/>
        <w:gridCol w:w="522"/>
        <w:gridCol w:w="136"/>
        <w:gridCol w:w="136"/>
        <w:gridCol w:w="284"/>
        <w:gridCol w:w="591"/>
        <w:gridCol w:w="60"/>
        <w:gridCol w:w="60"/>
        <w:gridCol w:w="251"/>
        <w:gridCol w:w="462"/>
        <w:gridCol w:w="120"/>
        <w:gridCol w:w="120"/>
        <w:gridCol w:w="251"/>
        <w:gridCol w:w="523"/>
        <w:gridCol w:w="60"/>
      </w:tblGrid>
      <w:tr>
        <w:trPr/>
        <w:tc>
          <w:tcPr>
            <w:tcW w:w="285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53"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27" w:type="dxa"/>
            <w:gridSpan w:val="6"/>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53"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27"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6"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3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3"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4"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800" w:type="dxa"/>
            <w:gridSpan w:val="14"/>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Cost of 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2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13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6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2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Sales and marketing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13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2" w:type="dxa"/>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 development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w:t>
            </w:r>
          </w:p>
        </w:tc>
        <w:tc>
          <w:tcPr>
            <w:tcW w:w="13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2" w:type="dxa"/>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tcMar>
              <w:bottom w:w="28"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w:t>
            </w:r>
          </w:p>
        </w:tc>
        <w:tc>
          <w:tcPr>
            <w:tcW w:w="13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1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3"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double" w:sz="6" w:space="0" w:color="000000"/>
            </w:tcBorders>
            <w:shd w:fill="CFF0FC" w:val="clear"/>
            <w:tcMar>
              <w:bottom w:w="28"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stock-based compensation</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2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w:t>
            </w:r>
          </w:p>
        </w:tc>
        <w:tc>
          <w:tcPr>
            <w:tcW w:w="136"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6"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9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6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w:t>
            </w:r>
          </w:p>
        </w:tc>
        <w:tc>
          <w:tcPr>
            <w:tcW w:w="12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23"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following table presents the components of our condensed consolidated statements of operations as a percentage of revenue: </w:t>
      </w:r>
    </w:p>
    <w:p>
      <w:pPr>
        <w:pStyle w:val="TextBody"/>
        <w:spacing w:before="0" w:after="0"/>
        <w:jc w:val="both"/>
        <w:rPr/>
      </w:pPr>
      <w:r>
        <w:rPr/>
        <w:t> </w:t>
      </w:r>
    </w:p>
    <w:tbl>
      <w:tblPr>
        <w:tblW w:w="10205" w:type="dxa"/>
        <w:jc w:val="left"/>
        <w:tblInd w:w="0" w:type="dxa"/>
        <w:tblCellMar>
          <w:top w:w="0" w:type="dxa"/>
          <w:left w:w="0" w:type="dxa"/>
          <w:bottom w:w="28" w:type="dxa"/>
          <w:right w:w="0" w:type="dxa"/>
        </w:tblCellMar>
      </w:tblPr>
      <w:tblGrid>
        <w:gridCol w:w="4736"/>
        <w:gridCol w:w="60"/>
        <w:gridCol w:w="143"/>
        <w:gridCol w:w="758"/>
        <w:gridCol w:w="578"/>
        <w:gridCol w:w="135"/>
        <w:gridCol w:w="143"/>
        <w:gridCol w:w="758"/>
        <w:gridCol w:w="250"/>
        <w:gridCol w:w="60"/>
        <w:gridCol w:w="132"/>
        <w:gridCol w:w="702"/>
        <w:gridCol w:w="534"/>
        <w:gridCol w:w="125"/>
        <w:gridCol w:w="132"/>
        <w:gridCol w:w="702"/>
        <w:gridCol w:w="257"/>
      </w:tblGrid>
      <w:tr>
        <w:trPr/>
        <w:tc>
          <w:tcPr>
            <w:tcW w:w="4736"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1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 June 30,</w:t>
            </w:r>
          </w:p>
        </w:tc>
        <w:tc>
          <w:tcPr>
            <w:tcW w:w="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27"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 June 30,</w:t>
            </w:r>
          </w:p>
        </w:tc>
        <w:tc>
          <w:tcPr>
            <w:tcW w:w="2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36"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5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3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5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3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36"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Revenue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57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5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53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5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36"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Cost of revenue</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w:t>
            </w:r>
          </w:p>
        </w:tc>
        <w:tc>
          <w:tcPr>
            <w:tcW w:w="578"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w:t>
            </w:r>
          </w:p>
        </w:tc>
        <w:tc>
          <w:tcPr>
            <w:tcW w:w="25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53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w:t>
            </w:r>
          </w:p>
        </w:tc>
        <w:tc>
          <w:tcPr>
            <w:tcW w:w="257"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36"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Gross profit</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59</w:t>
            </w:r>
          </w:p>
        </w:tc>
        <w:tc>
          <w:tcPr>
            <w:tcW w:w="57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5"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w:t>
            </w:r>
          </w:p>
        </w:tc>
        <w:tc>
          <w:tcPr>
            <w:tcW w:w="25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w:t>
            </w:r>
          </w:p>
        </w:tc>
        <w:tc>
          <w:tcPr>
            <w:tcW w:w="53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68</w:t>
            </w:r>
          </w:p>
        </w:tc>
        <w:tc>
          <w:tcPr>
            <w:tcW w:w="25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36"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expenses: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7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34"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5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36"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Sales and marketing</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w:t>
            </w:r>
          </w:p>
        </w:tc>
        <w:tc>
          <w:tcPr>
            <w:tcW w:w="57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5"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63</w:t>
            </w:r>
          </w:p>
        </w:tc>
        <w:tc>
          <w:tcPr>
            <w:tcW w:w="25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61</w:t>
            </w:r>
          </w:p>
        </w:tc>
        <w:tc>
          <w:tcPr>
            <w:tcW w:w="53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w:t>
            </w:r>
          </w:p>
        </w:tc>
        <w:tc>
          <w:tcPr>
            <w:tcW w:w="25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36"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 development</w:t>
            </w:r>
          </w:p>
        </w:tc>
        <w:tc>
          <w:tcPr>
            <w:tcW w:w="6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578"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5"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5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534"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5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36" w:type="dxa"/>
            <w:tcBorders>
              <w:bottom w:val="single" w:sz="6" w:space="0" w:color="000000"/>
            </w:tcBorders>
            <w:shd w:fill="CFF0FC"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bottom w:val="single" w:sz="6" w:space="0" w:color="000000"/>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578"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5" w:type="dxa"/>
            <w:tcBorders>
              <w:bottom w:val="single" w:sz="6" w:space="0" w:color="000000"/>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50"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534"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bottom w:val="single" w:sz="6" w:space="0" w:color="000000"/>
            </w:tcBorders>
            <w:shd w:fill="CFF0FC"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bottom w:val="sing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57" w:type="dxa"/>
            <w:tcBorders>
              <w:bottom w:val="sing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36" w:type="dxa"/>
            <w:tcBorders/>
            <w:shd w:fill="FFFFFF" w:val="clear"/>
            <w:tcMar>
              <w:bottom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Total operating expenses</w:t>
            </w:r>
          </w:p>
        </w:tc>
        <w:tc>
          <w:tcPr>
            <w:tcW w:w="60" w:type="dxa"/>
            <w:tcBorders/>
            <w:shd w:fill="FFFFFF"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76</w:t>
            </w:r>
          </w:p>
        </w:tc>
        <w:tc>
          <w:tcPr>
            <w:tcW w:w="578"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5" w:type="dxa"/>
            <w:tcBorders/>
            <w:shd w:fill="FFFFFF"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68</w:t>
            </w:r>
          </w:p>
        </w:tc>
        <w:tc>
          <w:tcPr>
            <w:tcW w:w="25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top w:val="single" w:sz="6" w:space="0" w:color="000000"/>
            </w:tcBorders>
            <w:shd w:fill="FFFFFF" w:val="clear"/>
            <w:tcMar>
              <w:top w:w="28" w:type="dxa"/>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13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74</w:t>
            </w:r>
          </w:p>
        </w:tc>
        <w:tc>
          <w:tcPr>
            <w:tcW w:w="534"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shd w:fill="FFFFFF"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13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72</w:t>
            </w:r>
          </w:p>
        </w:tc>
        <w:tc>
          <w:tcPr>
            <w:tcW w:w="257"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36"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from operations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57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5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53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5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36"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Other income (expense), net: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7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34"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5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36"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Interest and other income, net</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57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5"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25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53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25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36"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Remeasurement of convertible preferred stock warrant liability</w:t>
            </w:r>
          </w:p>
        </w:tc>
        <w:tc>
          <w:tcPr>
            <w:tcW w:w="60" w:type="dxa"/>
            <w:tcBorders>
              <w:bottom w:val="single" w:sz="6" w:space="0" w:color="000000"/>
            </w:tcBorders>
            <w:shd w:fill="FFFFFF"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57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5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5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Pr>
          <w:p>
            <w:pPr>
              <w:pStyle w:val="TableContents"/>
              <w:spacing w:before="0" w:after="0"/>
              <w:ind w:left="274"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57"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36" w:type="dxa"/>
            <w:tcBorders/>
            <w:shd w:fill="CFF0FC" w:val="clear"/>
            <w:tcMar>
              <w:bottom w:w="0" w:type="dxa"/>
            </w:tcM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Loss before provision for income taxes</w:t>
            </w:r>
          </w:p>
        </w:tc>
        <w:tc>
          <w:tcPr>
            <w:tcW w:w="60" w:type="dxa"/>
            <w:tcBorders/>
            <w:shd w:fill="CFF0FC"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w:t>
            </w:r>
          </w:p>
        </w:tc>
        <w:tc>
          <w:tcPr>
            <w:tcW w:w="578"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5" w:type="dxa"/>
            <w:tcBorders/>
            <w:shd w:fill="CFF0FC"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25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(16</w:t>
            </w:r>
          </w:p>
        </w:tc>
        <w:tc>
          <w:tcPr>
            <w:tcW w:w="53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shd w:fill="CFF0FC" w:val="clear"/>
            <w:tcMar>
              <w:bottom w:w="0" w:type="dxa"/>
            </w:tcMar>
          </w:tcPr>
          <w:p>
            <w:pPr>
              <w:pStyle w:val="TableContents"/>
              <w:spacing w:before="0" w:after="0"/>
              <w:ind w:left="547" w:right="0" w:hanging="0"/>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25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736"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Provision for income taxes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578"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534"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36" w:type="dxa"/>
            <w:tcBorders>
              <w:bottom w:val="double" w:sz="6" w:space="0" w:color="000000"/>
            </w:tcBorders>
            <w:shd w:fill="CFF0FC"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loss</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578"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5"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25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534"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257"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80" w:after="0"/>
        <w:jc w:val="both"/>
        <w:rPr/>
      </w:pPr>
      <w:r>
        <w:rPr/>
        <w:t> </w:t>
      </w:r>
    </w:p>
    <w:p>
      <w:pPr>
        <w:pStyle w:val="TextBody"/>
        <w:spacing w:before="60" w:after="0"/>
        <w:jc w:val="both"/>
        <w:rPr>
          <w:rFonts w:ascii="Arial" w:hAnsi="Arial"/>
          <w:b/>
          <w:i/>
          <w:caps w:val="false"/>
          <w:smallCaps w:val="false"/>
          <w:sz w:val="20"/>
        </w:rPr>
      </w:pPr>
      <w:r>
        <w:rPr>
          <w:rFonts w:ascii="Arial" w:hAnsi="Arial"/>
          <w:b/>
          <w:i/>
          <w:caps w:val="false"/>
          <w:smallCaps w:val="false"/>
          <w:sz w:val="20"/>
        </w:rPr>
        <w:t>Comparison of Three and Six Months Ended June 30, 2021 and 2020</w:t>
      </w:r>
    </w:p>
    <w:p>
      <w:pPr>
        <w:pStyle w:val="TextBody"/>
        <w:spacing w:before="0" w:after="0"/>
        <w:jc w:val="both"/>
        <w:rPr/>
      </w:pPr>
      <w:r>
        <w:rPr/>
        <w:t> </w:t>
      </w:r>
    </w:p>
    <w:p>
      <w:pPr>
        <w:pStyle w:val="TextBody"/>
        <w:spacing w:before="80" w:after="0"/>
        <w:jc w:val="both"/>
        <w:rPr>
          <w:rFonts w:ascii="Arial" w:hAnsi="Arial"/>
          <w:b/>
          <w:i/>
          <w:caps w:val="false"/>
          <w:smallCaps w:val="false"/>
          <w:sz w:val="20"/>
        </w:rPr>
      </w:pPr>
      <w:r>
        <w:rPr>
          <w:rFonts w:ascii="Arial" w:hAnsi="Arial"/>
          <w:b/>
          <w:i/>
          <w:caps w:val="false"/>
          <w:smallCaps w:val="false"/>
          <w:sz w:val="20"/>
        </w:rPr>
        <w:t>Revenue</w:t>
      </w:r>
    </w:p>
    <w:p>
      <w:pPr>
        <w:pStyle w:val="TextBody"/>
        <w:spacing w:before="0" w:after="0"/>
        <w:jc w:val="both"/>
        <w:rPr/>
      </w:pPr>
      <w:r>
        <w:rPr/>
        <w:t> </w:t>
      </w:r>
    </w:p>
    <w:tbl>
      <w:tblPr>
        <w:tblW w:w="9956" w:type="dxa"/>
        <w:jc w:val="left"/>
        <w:tblInd w:w="0" w:type="dxa"/>
        <w:tblCellMar>
          <w:top w:w="0" w:type="dxa"/>
          <w:left w:w="0" w:type="dxa"/>
          <w:bottom w:w="28" w:type="dxa"/>
          <w:right w:w="0" w:type="dxa"/>
        </w:tblCellMar>
      </w:tblPr>
      <w:tblGrid>
        <w:gridCol w:w="2510"/>
        <w:gridCol w:w="60"/>
        <w:gridCol w:w="234"/>
        <w:gridCol w:w="629"/>
        <w:gridCol w:w="112"/>
        <w:gridCol w:w="112"/>
        <w:gridCol w:w="234"/>
        <w:gridCol w:w="629"/>
        <w:gridCol w:w="60"/>
        <w:gridCol w:w="60"/>
        <w:gridCol w:w="125"/>
        <w:gridCol w:w="395"/>
        <w:gridCol w:w="80"/>
        <w:gridCol w:w="60"/>
        <w:gridCol w:w="60"/>
        <w:gridCol w:w="335"/>
        <w:gridCol w:w="260"/>
        <w:gridCol w:w="60"/>
        <w:gridCol w:w="234"/>
        <w:gridCol w:w="937"/>
        <w:gridCol w:w="112"/>
        <w:gridCol w:w="112"/>
        <w:gridCol w:w="234"/>
        <w:gridCol w:w="937"/>
        <w:gridCol w:w="60"/>
        <w:gridCol w:w="60"/>
        <w:gridCol w:w="125"/>
        <w:gridCol w:w="335"/>
        <w:gridCol w:w="80"/>
        <w:gridCol w:w="60"/>
        <w:gridCol w:w="60"/>
        <w:gridCol w:w="335"/>
        <w:gridCol w:w="260"/>
      </w:tblGrid>
      <w:tr>
        <w:trPr/>
        <w:tc>
          <w:tcPr>
            <w:tcW w:w="251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6"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26" w:type="dxa"/>
            <w:gridSpan w:val="3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10" w:type="dxa"/>
            <w:tcBorders/>
            <w:shd w:fill="CFF0FC" w:val="clear"/>
            <w:tcMar>
              <w:bottom w:w="0" w:type="dxa"/>
            </w:tcMar>
          </w:tcPr>
          <w:p>
            <w:pPr>
              <w:pStyle w:val="TableContents"/>
              <w:spacing w:lineRule="auto" w:line="288"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Core marketplace revenue</w:t>
            </w:r>
            <w:r>
              <w:rPr>
                <w:rFonts w:ascii="Arial" w:hAnsi="Arial"/>
                <w:b w:val="false"/>
                <w:i w:val="false"/>
                <w:caps w:val="false"/>
                <w:smallCaps w:val="false"/>
                <w:color w:val="000000"/>
                <w:sz w:val="16"/>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2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378</w:t>
            </w:r>
          </w:p>
        </w:tc>
        <w:tc>
          <w:tcPr>
            <w:tcW w:w="1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2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(177</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3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855</w:t>
            </w:r>
          </w:p>
        </w:tc>
        <w:tc>
          <w:tcPr>
            <w:tcW w:w="1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37"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895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(40</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0" w:type="dxa"/>
            <w:tcBorders>
              <w:bottom w:val="single" w:sz="6" w:space="0" w:color="000000"/>
            </w:tcBorders>
            <w:shd w:fill="FFFFFF" w:val="cle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ProductBoost revenue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50</w:t>
            </w:r>
          </w:p>
        </w:tc>
        <w:tc>
          <w:tcPr>
            <w:tcW w:w="1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2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1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w:t>
            </w:r>
          </w:p>
        </w:tc>
        <w:tc>
          <w:tcPr>
            <w:tcW w:w="2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0"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Marketplace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428</w:t>
            </w:r>
          </w:p>
        </w:tc>
        <w:tc>
          <w:tcPr>
            <w:tcW w:w="1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(172</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955</w:t>
            </w:r>
          </w:p>
        </w:tc>
        <w:tc>
          <w:tcPr>
            <w:tcW w:w="1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984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Logistics revenue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228</w:t>
            </w:r>
          </w:p>
        </w:tc>
        <w:tc>
          <w:tcPr>
            <w:tcW w:w="1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9"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126</w:t>
            </w:r>
          </w:p>
        </w:tc>
        <w:tc>
          <w:tcPr>
            <w:tcW w:w="2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473</w:t>
            </w:r>
          </w:p>
        </w:tc>
        <w:tc>
          <w:tcPr>
            <w:tcW w:w="1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7"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157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201</w:t>
            </w:r>
          </w:p>
        </w:tc>
        <w:tc>
          <w:tcPr>
            <w:tcW w:w="26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510" w:type="dxa"/>
            <w:tcBorders>
              <w:bottom w:val="double" w:sz="6" w:space="0" w:color="000000"/>
            </w:tcBorders>
            <w:shd w:fill="CFF0FC" w:val="clear"/>
          </w:tcPr>
          <w:p>
            <w:pPr>
              <w:pStyle w:val="TableContents"/>
              <w:spacing w:before="0" w:after="0"/>
              <w:ind w:left="547"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Revenue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2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656</w:t>
            </w:r>
          </w:p>
        </w:tc>
        <w:tc>
          <w:tcPr>
            <w:tcW w:w="11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2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(45</w:t>
            </w:r>
          </w:p>
        </w:tc>
        <w:tc>
          <w:tcPr>
            <w:tcW w:w="8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doub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26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1,428</w:t>
            </w:r>
          </w:p>
        </w:tc>
        <w:tc>
          <w:tcPr>
            <w:tcW w:w="11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1,141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287</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double" w:sz="6" w:space="0" w:color="000000"/>
            </w:tcBorders>
            <w:shd w:fill="CFF0FC" w:val="cle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w:t>
            </w:r>
          </w:p>
        </w:tc>
        <w:tc>
          <w:tcPr>
            <w:tcW w:w="260" w:type="dxa"/>
            <w:tcBorders>
              <w:bottom w:val="double" w:sz="6" w:space="0" w:color="000000"/>
            </w:tcBorders>
            <w:shd w:fill="CFF0FC"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bl>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230"/>
        <w:gridCol w:w="991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230" w:type="dxa"/>
            <w:tcBorders/>
            <w:shd w:fill="auto" w:val="clear"/>
          </w:tcPr>
          <w:p>
            <w:pPr>
              <w:pStyle w:val="TableContents"/>
              <w:spacing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15" w:type="dxa"/>
            <w:tcBorders/>
            <w:shd w:fill="auto" w:val="clear"/>
          </w:tcPr>
          <w:p>
            <w:pPr>
              <w:pStyle w:val="TableContents"/>
              <w:spacing w:before="0" w:after="0"/>
              <w:jc w:val="both"/>
              <w:rPr>
                <w:rFonts w:ascii="Arial" w:hAnsi="Arial"/>
                <w:b w:val="false"/>
                <w:i w:val="false"/>
                <w:caps w:val="false"/>
                <w:smallCaps w:val="false"/>
                <w:color w:val="000000"/>
                <w:sz w:val="16"/>
              </w:rPr>
            </w:pPr>
            <w:r>
              <w:rPr>
                <w:rFonts w:ascii="Arial" w:hAnsi="Arial"/>
                <w:b w:val="false"/>
                <w:i w:val="false"/>
                <w:caps w:val="false"/>
                <w:smallCaps w:val="false"/>
                <w:color w:val="000000"/>
                <w:sz w:val="16"/>
              </w:rPr>
              <w:t>Core marketplace revenue for the three and six months ended June 30, 2021 included approximately $21 million that we recognized related to Wish Cash liability breakage. Refer to Note 4 to our condensed consolidated financial statements in Item 1 of Part I, “Financial Information” for additional details. In addition, Core marketplace revenue for the three and six months ended June 30, 2021 included approximately $8 million and $17 million net gains, respectively, from our cash flow hedging program. We did not have a hedging program during the three and six months ended June 30, 2020.  </w:t>
            </w:r>
          </w:p>
        </w:tc>
      </w:tr>
    </w:tbl>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Revenue for the three months ended June 30, 2021 decreased $45 million, or 6%, compared to the same period in 2020 primarily due to a $172 million decrease in marketplace revenue, partially offset by a $127 million increase in logistics revenue.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Revenue for the six months ended June 30, 2021 increased $287 million, or 25%, compared to the same period in 2020 primarily due to increased logistics revenue.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25</w:t>
      </w:r>
    </w:p>
    <w:p>
      <w:pPr>
        <w:pStyle w:val="HorizontalLine"/>
        <w:rPr/>
      </w:pPr>
      <w:r>
        <w:rPr/>
      </w:r>
    </w:p>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Marketplace revenue for the three and six months ended June 30, 2021 decreased $172 million, or 29%, and $29 million, or 3%, respectively, compared to the same periods in 2020. We believe this decrease was primarily driven by lower order volumes associated with reduced MAUs and LTM Active Buyers, as discussed above under “Key Financial and Performance Metrics.” This decrease in marketplace revenue was partially offset by $21 million of revenue that we recognized during the three and six months ended June 30, 2021 related to Wish Cash liability breakage. Refer to Note 4 to our condensed consolidated financial statements in Item 1 of Part I, “Financial Information” for additional details.</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With the reduced digital advertising expenditures, we expect our marketplace revenue to decline further in the second half of 2021.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Logistics revenue for the three and six months ended June 30, 2021 increased $127 million, or 126% and $316 million, or 201%, respectively, compared to the same periods in 2020. We believe this increase was primarily due to accelerated merchant adoption of our logistics offerings, as well as the expansion of our A+ program, in which Wish manages first mile collection from merchants to warehousing operations all the way to last mile delivery to the buyer.</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Cost of Revenue and Gross Margin </w:t>
      </w:r>
    </w:p>
    <w:p>
      <w:pPr>
        <w:pStyle w:val="TextBody"/>
        <w:spacing w:before="0" w:after="0"/>
        <w:jc w:val="both"/>
        <w:rPr/>
      </w:pPr>
      <w:r>
        <w:rPr/>
        <w:t> </w:t>
      </w:r>
    </w:p>
    <w:tbl>
      <w:tblPr>
        <w:tblW w:w="8342" w:type="dxa"/>
        <w:jc w:val="left"/>
        <w:tblInd w:w="0" w:type="dxa"/>
        <w:tblCellMar>
          <w:top w:w="0" w:type="dxa"/>
          <w:left w:w="0" w:type="dxa"/>
          <w:bottom w:w="28" w:type="dxa"/>
          <w:right w:w="0" w:type="dxa"/>
        </w:tblCellMar>
      </w:tblPr>
      <w:tblGrid>
        <w:gridCol w:w="1985"/>
        <w:gridCol w:w="60"/>
        <w:gridCol w:w="207"/>
        <w:gridCol w:w="555"/>
        <w:gridCol w:w="331"/>
        <w:gridCol w:w="99"/>
        <w:gridCol w:w="207"/>
        <w:gridCol w:w="555"/>
        <w:gridCol w:w="200"/>
        <w:gridCol w:w="60"/>
        <w:gridCol w:w="125"/>
        <w:gridCol w:w="230"/>
        <w:gridCol w:w="60"/>
        <w:gridCol w:w="60"/>
        <w:gridCol w:w="60"/>
        <w:gridCol w:w="230"/>
        <w:gridCol w:w="200"/>
        <w:gridCol w:w="60"/>
        <w:gridCol w:w="183"/>
        <w:gridCol w:w="491"/>
        <w:gridCol w:w="293"/>
        <w:gridCol w:w="87"/>
        <w:gridCol w:w="183"/>
        <w:gridCol w:w="491"/>
        <w:gridCol w:w="200"/>
        <w:gridCol w:w="60"/>
        <w:gridCol w:w="125"/>
        <w:gridCol w:w="335"/>
        <w:gridCol w:w="60"/>
        <w:gridCol w:w="60"/>
        <w:gridCol w:w="60"/>
        <w:gridCol w:w="230"/>
        <w:gridCol w:w="200"/>
      </w:tblGrid>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54"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3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29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97" w:type="dxa"/>
            <w:gridSpan w:val="3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Cost of 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5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272</w:t>
            </w:r>
          </w:p>
        </w:tc>
        <w:tc>
          <w:tcPr>
            <w:tcW w:w="3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5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208</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3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31</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607</w:t>
            </w:r>
          </w:p>
        </w:tc>
        <w:tc>
          <w:tcPr>
            <w:tcW w:w="2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364</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67</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198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Percentage of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41</w:t>
            </w:r>
          </w:p>
        </w:tc>
        <w:tc>
          <w:tcPr>
            <w:tcW w:w="33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30</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29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Gross Margin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59</w:t>
            </w:r>
          </w:p>
        </w:tc>
        <w:tc>
          <w:tcPr>
            <w:tcW w:w="33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70</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57</w:t>
            </w:r>
          </w:p>
        </w:tc>
        <w:tc>
          <w:tcPr>
            <w:tcW w:w="29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68</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Cost of revenue for the three and six months ended June 30, 2021 increased $64 million, or 31%, and $243 million, or 67%, respectively, compared to the same periods in 2020. This increase was primarily due to costs related to the increased volume of logistics services provided and increased headcount. The increase was also driven by a $5 million and $10 million stock-based compensation expense and related employer payroll taxes that we recognized for our employees involved in infrastructure, merchant support, and logistics functions during the three and six months ended June 30, 2021, respectively.</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Gross margin decreased to 59% and 57% for the three and six months ended June 30, 2021, respectively, from 70% and 68% for the three and six months ended June 30, 2020, respectively, primarily due to increased volume of logistics services provided and the fact that logistics gross margin was at a significantly lower rate than marketplace gross margin. </w:t>
      </w:r>
    </w:p>
    <w:p>
      <w:pPr>
        <w:pStyle w:val="TextBody"/>
        <w:spacing w:before="180" w:after="0"/>
        <w:jc w:val="both"/>
        <w:rPr>
          <w:rFonts w:ascii="Arial" w:hAnsi="Arial"/>
          <w:b/>
          <w:i/>
          <w:caps w:val="false"/>
          <w:smallCaps w:val="false"/>
          <w:sz w:val="20"/>
        </w:rPr>
      </w:pPr>
      <w:r>
        <w:rPr>
          <w:rFonts w:ascii="Arial" w:hAnsi="Arial"/>
          <w:b/>
          <w:i/>
          <w:caps w:val="false"/>
          <w:smallCaps w:val="false"/>
          <w:sz w:val="20"/>
        </w:rPr>
        <w:t xml:space="preserve">Sales and Marketing </w:t>
      </w:r>
    </w:p>
    <w:p>
      <w:pPr>
        <w:pStyle w:val="TextBody"/>
        <w:spacing w:before="0" w:after="0"/>
        <w:jc w:val="both"/>
        <w:rPr/>
      </w:pPr>
      <w:r>
        <w:rPr/>
        <w:t> </w:t>
      </w:r>
    </w:p>
    <w:tbl>
      <w:tblPr>
        <w:tblW w:w="8542" w:type="dxa"/>
        <w:jc w:val="left"/>
        <w:tblInd w:w="0" w:type="dxa"/>
        <w:tblCellMar>
          <w:top w:w="0" w:type="dxa"/>
          <w:left w:w="0" w:type="dxa"/>
          <w:bottom w:w="28" w:type="dxa"/>
          <w:right w:w="0" w:type="dxa"/>
        </w:tblCellMar>
      </w:tblPr>
      <w:tblGrid>
        <w:gridCol w:w="1985"/>
        <w:gridCol w:w="60"/>
        <w:gridCol w:w="207"/>
        <w:gridCol w:w="555"/>
        <w:gridCol w:w="331"/>
        <w:gridCol w:w="99"/>
        <w:gridCol w:w="207"/>
        <w:gridCol w:w="555"/>
        <w:gridCol w:w="200"/>
        <w:gridCol w:w="60"/>
        <w:gridCol w:w="125"/>
        <w:gridCol w:w="290"/>
        <w:gridCol w:w="80"/>
        <w:gridCol w:w="60"/>
        <w:gridCol w:w="60"/>
        <w:gridCol w:w="290"/>
        <w:gridCol w:w="260"/>
        <w:gridCol w:w="60"/>
        <w:gridCol w:w="183"/>
        <w:gridCol w:w="491"/>
        <w:gridCol w:w="293"/>
        <w:gridCol w:w="87"/>
        <w:gridCol w:w="183"/>
        <w:gridCol w:w="491"/>
        <w:gridCol w:w="200"/>
        <w:gridCol w:w="60"/>
        <w:gridCol w:w="125"/>
        <w:gridCol w:w="335"/>
        <w:gridCol w:w="60"/>
        <w:gridCol w:w="60"/>
        <w:gridCol w:w="60"/>
        <w:gridCol w:w="230"/>
        <w:gridCol w:w="200"/>
      </w:tblGrid>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954"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3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5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29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97" w:type="dxa"/>
            <w:gridSpan w:val="3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Sales and marketing</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5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396</w:t>
            </w:r>
          </w:p>
        </w:tc>
        <w:tc>
          <w:tcPr>
            <w:tcW w:w="3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5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444</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9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w:t>
            </w:r>
          </w:p>
        </w:tc>
        <w:tc>
          <w:tcPr>
            <w:tcW w:w="8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w:t>
            </w:r>
          </w:p>
        </w:tc>
        <w:tc>
          <w:tcPr>
            <w:tcW w:w="26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866</w:t>
            </w:r>
          </w:p>
        </w:tc>
        <w:tc>
          <w:tcPr>
            <w:tcW w:w="2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9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739</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17</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198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Percentage of revenue</w:t>
            </w:r>
          </w:p>
        </w:tc>
        <w:tc>
          <w:tcPr>
            <w:tcW w:w="6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0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w:t>
            </w:r>
          </w:p>
        </w:tc>
        <w:tc>
          <w:tcPr>
            <w:tcW w:w="33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9"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0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5"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63</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61</w:t>
            </w:r>
          </w:p>
        </w:tc>
        <w:tc>
          <w:tcPr>
            <w:tcW w:w="29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65</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Sales and marketing expense for the three months ended June 30, 2021 decreased $48 million, or 11%, compared to the same period in 2020 primarily due to lower digital advertising expense.</w:t>
      </w:r>
    </w:p>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Sales and marketing expenses for the six months ended June 30, 2021 increased $127 million, or 17%, compared to the same period in 2020. The increase in sales and marketing expenses consisted primarily of incremental digital advertising spend associated with increased pricing from our largest vendors. To a lesser extent, the increase was also driven by a $7 million stock-based compensation expense and related employer payroll taxes for our employees involved in marketing, user support, and business development functions. While we anticipate that sales and marketing expenses will continue to be our most significant operating expense in the future, we expect these expenses to decline in the second half of 2021 as compared to the same period in 2020 primarily due to reduced digital advertising expenditures. </w:t>
      </w:r>
    </w:p>
    <w:p>
      <w:pPr>
        <w:pStyle w:val="TextBody"/>
        <w:spacing w:before="0" w:after="0"/>
        <w:jc w:val="both"/>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60" w:after="0"/>
        <w:jc w:val="both"/>
        <w:rPr>
          <w:rFonts w:ascii="Arial" w:hAnsi="Arial"/>
          <w:b/>
          <w:i/>
          <w:caps w:val="false"/>
          <w:smallCaps w:val="false"/>
          <w:sz w:val="20"/>
        </w:rPr>
      </w:pPr>
      <w:r>
        <w:rPr>
          <w:rFonts w:ascii="Arial" w:hAnsi="Arial"/>
          <w:b/>
          <w:i/>
          <w:caps w:val="false"/>
          <w:smallCaps w:val="false"/>
          <w:sz w:val="20"/>
        </w:rPr>
        <w:t xml:space="preserve">Product Development </w:t>
      </w:r>
    </w:p>
    <w:p>
      <w:pPr>
        <w:pStyle w:val="TextBody"/>
        <w:spacing w:before="0" w:after="0"/>
        <w:rPr/>
      </w:pPr>
      <w:r>
        <w:rPr/>
        <w:t> </w:t>
      </w:r>
    </w:p>
    <w:tbl>
      <w:tblPr>
        <w:tblW w:w="8444" w:type="dxa"/>
        <w:jc w:val="left"/>
        <w:tblInd w:w="0" w:type="dxa"/>
        <w:tblCellMar>
          <w:top w:w="0" w:type="dxa"/>
          <w:left w:w="0" w:type="dxa"/>
          <w:bottom w:w="28" w:type="dxa"/>
          <w:right w:w="0" w:type="dxa"/>
        </w:tblCellMar>
      </w:tblPr>
      <w:tblGrid>
        <w:gridCol w:w="1985"/>
        <w:gridCol w:w="60"/>
        <w:gridCol w:w="251"/>
        <w:gridCol w:w="463"/>
        <w:gridCol w:w="403"/>
        <w:gridCol w:w="120"/>
        <w:gridCol w:w="251"/>
        <w:gridCol w:w="463"/>
        <w:gridCol w:w="200"/>
        <w:gridCol w:w="60"/>
        <w:gridCol w:w="125"/>
        <w:gridCol w:w="230"/>
        <w:gridCol w:w="60"/>
        <w:gridCol w:w="60"/>
        <w:gridCol w:w="60"/>
        <w:gridCol w:w="335"/>
        <w:gridCol w:w="200"/>
        <w:gridCol w:w="60"/>
        <w:gridCol w:w="201"/>
        <w:gridCol w:w="539"/>
        <w:gridCol w:w="321"/>
        <w:gridCol w:w="96"/>
        <w:gridCol w:w="201"/>
        <w:gridCol w:w="370"/>
        <w:gridCol w:w="200"/>
        <w:gridCol w:w="60"/>
        <w:gridCol w:w="125"/>
        <w:gridCol w:w="230"/>
        <w:gridCol w:w="60"/>
        <w:gridCol w:w="60"/>
        <w:gridCol w:w="60"/>
        <w:gridCol w:w="335"/>
        <w:gridCol w:w="200"/>
      </w:tblGrid>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1"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40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3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9" w:type="dxa"/>
            <w:gridSpan w:val="3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8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Product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6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52</w:t>
            </w:r>
          </w:p>
        </w:tc>
        <w:tc>
          <w:tcPr>
            <w:tcW w:w="4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6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23</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3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126</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39"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103</w:t>
            </w:r>
          </w:p>
        </w:tc>
        <w:tc>
          <w:tcPr>
            <w:tcW w:w="3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7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48</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3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115</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198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Percentage of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40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9"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321"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Product development expense for the three and six months ended June 30, 2021 increased $29 million, or 126%, and $55 million, or 115%, respectively, compared to the same periods in 2020 primarily as a result of an increase in employee-related costs driven by increased headcount and a $15 million and a $32 million stock-based compensation expense and related employer payroll taxes that we recognized for our employees involved in product development activities during the three and six months ended June 30, 2021, respectively. The increase was also, to a lesser extent, driven by expenses associated with data warehousing, processing and analytics. </w:t>
      </w:r>
    </w:p>
    <w:p>
      <w:pPr>
        <w:pStyle w:val="TextBody"/>
        <w:spacing w:before="0" w:after="0"/>
        <w:rPr/>
      </w:pPr>
      <w:r>
        <w:rPr/>
        <w:t> </w:t>
      </w:r>
    </w:p>
    <w:p>
      <w:pPr>
        <w:pStyle w:val="TextBody"/>
        <w:spacing w:before="60" w:after="0"/>
        <w:jc w:val="both"/>
        <w:rPr>
          <w:rFonts w:ascii="Arial" w:hAnsi="Arial"/>
          <w:b/>
          <w:i/>
          <w:caps w:val="false"/>
          <w:smallCaps w:val="false"/>
          <w:sz w:val="20"/>
        </w:rPr>
      </w:pPr>
      <w:r>
        <w:rPr>
          <w:rFonts w:ascii="Arial" w:hAnsi="Arial"/>
          <w:b/>
          <w:i/>
          <w:caps w:val="false"/>
          <w:smallCaps w:val="false"/>
          <w:sz w:val="20"/>
        </w:rPr>
        <w:t xml:space="preserve">General and Administrative </w:t>
      </w:r>
    </w:p>
    <w:p>
      <w:pPr>
        <w:pStyle w:val="TextBody"/>
        <w:spacing w:before="0" w:after="0"/>
        <w:rPr/>
      </w:pPr>
      <w:r>
        <w:rPr/>
        <w:t> </w:t>
      </w:r>
    </w:p>
    <w:tbl>
      <w:tblPr>
        <w:tblW w:w="8803" w:type="dxa"/>
        <w:jc w:val="left"/>
        <w:tblInd w:w="0" w:type="dxa"/>
        <w:tblCellMar>
          <w:top w:w="0" w:type="dxa"/>
          <w:left w:w="0" w:type="dxa"/>
          <w:bottom w:w="28" w:type="dxa"/>
          <w:right w:w="0" w:type="dxa"/>
        </w:tblCellMar>
      </w:tblPr>
      <w:tblGrid>
        <w:gridCol w:w="2345"/>
        <w:gridCol w:w="60"/>
        <w:gridCol w:w="251"/>
        <w:gridCol w:w="463"/>
        <w:gridCol w:w="403"/>
        <w:gridCol w:w="120"/>
        <w:gridCol w:w="251"/>
        <w:gridCol w:w="463"/>
        <w:gridCol w:w="200"/>
        <w:gridCol w:w="60"/>
        <w:gridCol w:w="125"/>
        <w:gridCol w:w="230"/>
        <w:gridCol w:w="60"/>
        <w:gridCol w:w="60"/>
        <w:gridCol w:w="60"/>
        <w:gridCol w:w="335"/>
        <w:gridCol w:w="200"/>
        <w:gridCol w:w="60"/>
        <w:gridCol w:w="222"/>
        <w:gridCol w:w="410"/>
        <w:gridCol w:w="356"/>
        <w:gridCol w:w="107"/>
        <w:gridCol w:w="222"/>
        <w:gridCol w:w="410"/>
        <w:gridCol w:w="200"/>
        <w:gridCol w:w="60"/>
        <w:gridCol w:w="125"/>
        <w:gridCol w:w="230"/>
        <w:gridCol w:w="60"/>
        <w:gridCol w:w="60"/>
        <w:gridCol w:w="60"/>
        <w:gridCol w:w="335"/>
        <w:gridCol w:w="200"/>
      </w:tblGrid>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1"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7"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40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35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98" w:type="dxa"/>
            <w:gridSpan w:val="3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General and administrative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6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50</w:t>
            </w:r>
          </w:p>
        </w:tc>
        <w:tc>
          <w:tcPr>
            <w:tcW w:w="4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6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14</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3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257</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1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92</w:t>
            </w:r>
          </w:p>
        </w:tc>
        <w:tc>
          <w:tcPr>
            <w:tcW w:w="35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2"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1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32</w:t>
            </w:r>
          </w:p>
        </w:tc>
        <w:tc>
          <w:tcPr>
            <w:tcW w:w="2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3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188</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34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Percentage of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8</w:t>
            </w:r>
          </w:p>
        </w:tc>
        <w:tc>
          <w:tcPr>
            <w:tcW w:w="40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w:t>
            </w:r>
          </w:p>
        </w:tc>
        <w:tc>
          <w:tcPr>
            <w:tcW w:w="35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0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tc>
        <w:tc>
          <w:tcPr>
            <w:tcW w:w="200"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General and administrative expense for the three and six months ended June 30, 2021 increased $36 million, or 257%, and $60 million, or 188%, respectively compared to the same periods in 2020. The increase was primarily related to a $15 million and a $31 million stock-based compensation expense and related employer payroll taxes that we recognized during the three and six months ended June 30, 2021, respectively, and increases in headcount, legal, tax, insurance and audit-related expenses associated with being a publicly listed company. During the three and six months ended June 30, 2021, we also recognized approximately $6 million of lease impairment related expenses. Refer to Note 6 to our condensed consolidated financial statements in Item 1 of Part I, “Financial Information” for additional details.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Remeasurement of Redeemable Convertible Preferred Stock Warrant Liability</w:t>
      </w:r>
    </w:p>
    <w:p>
      <w:pPr>
        <w:pStyle w:val="TextBody"/>
        <w:spacing w:before="0" w:after="0"/>
        <w:jc w:val="both"/>
        <w:rPr/>
      </w:pPr>
      <w:r>
        <w:rPr/>
        <w:t> </w:t>
      </w:r>
    </w:p>
    <w:tbl>
      <w:tblPr>
        <w:tblW w:w="10205" w:type="dxa"/>
        <w:jc w:val="left"/>
        <w:tblInd w:w="0" w:type="dxa"/>
        <w:tblCellMar>
          <w:top w:w="0" w:type="dxa"/>
          <w:left w:w="0" w:type="dxa"/>
          <w:bottom w:w="28" w:type="dxa"/>
          <w:right w:w="0" w:type="dxa"/>
        </w:tblCellMar>
      </w:tblPr>
      <w:tblGrid>
        <w:gridCol w:w="4235"/>
        <w:gridCol w:w="60"/>
        <w:gridCol w:w="227"/>
        <w:gridCol w:w="422"/>
        <w:gridCol w:w="97"/>
        <w:gridCol w:w="97"/>
        <w:gridCol w:w="214"/>
        <w:gridCol w:w="471"/>
        <w:gridCol w:w="233"/>
        <w:gridCol w:w="60"/>
        <w:gridCol w:w="125"/>
        <w:gridCol w:w="230"/>
        <w:gridCol w:w="60"/>
        <w:gridCol w:w="60"/>
        <w:gridCol w:w="60"/>
        <w:gridCol w:w="395"/>
        <w:gridCol w:w="233"/>
        <w:gridCol w:w="60"/>
        <w:gridCol w:w="210"/>
        <w:gridCol w:w="387"/>
        <w:gridCol w:w="88"/>
        <w:gridCol w:w="88"/>
        <w:gridCol w:w="197"/>
        <w:gridCol w:w="432"/>
        <w:gridCol w:w="233"/>
        <w:gridCol w:w="60"/>
        <w:gridCol w:w="125"/>
        <w:gridCol w:w="230"/>
        <w:gridCol w:w="60"/>
        <w:gridCol w:w="60"/>
        <w:gridCol w:w="60"/>
        <w:gridCol w:w="395"/>
        <w:gridCol w:w="241"/>
      </w:tblGrid>
      <w:tr>
        <w:trPr/>
        <w:tc>
          <w:tcPr>
            <w:tcW w:w="423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28"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3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02"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23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0"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4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9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3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3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9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8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23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4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669" w:type="dxa"/>
            <w:gridSpan w:val="3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3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Remeasurement of redeemable convertible preferred stock warrant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2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4"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7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w:t>
            </w:r>
          </w:p>
        </w:tc>
        <w:tc>
          <w:tcPr>
            <w:tcW w:w="23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3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3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38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7"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432"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23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30"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4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4235"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Percentage of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3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2"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w:t>
            </w:r>
          </w:p>
        </w:tc>
        <w:tc>
          <w:tcPr>
            <w:tcW w:w="23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The $28 million and $43 million expense that we recognized during the three and six months ended June 30, 2020, respectively, was related to the change in fair value of the redeemable convertible preferred stock warrant liability. There was no remeasurement charge recognized during the three and six months ended June 30, 2021 because immediately prior to the completion of our IPO in December 2020, the outstanding redeemable convertible preferred stock warrant was net exercised. The fair value of the warrant at the time of exercise was reclassified into the Company’s Class A common stock and additional paid-in capital.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27</w:t>
      </w:r>
    </w:p>
    <w:p>
      <w:pPr>
        <w:pStyle w:val="HorizontalLine"/>
        <w:rPr/>
      </w:pPr>
      <w:r>
        <w:rPr/>
      </w:r>
    </w:p>
    <w:p>
      <w:pPr>
        <w:pStyle w:val="TextBody"/>
        <w:spacing w:before="0" w:after="0"/>
        <w:rPr/>
      </w:pPr>
      <w:r>
        <w:rPr/>
        <w:t>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Provision for Income Taxes </w:t>
      </w:r>
    </w:p>
    <w:p>
      <w:pPr>
        <w:pStyle w:val="TextBody"/>
        <w:spacing w:before="0" w:after="0"/>
        <w:jc w:val="both"/>
        <w:rPr/>
      </w:pPr>
      <w:r>
        <w:rPr/>
        <w:t> </w:t>
      </w:r>
    </w:p>
    <w:p>
      <w:pPr>
        <w:pStyle w:val="TextBody"/>
        <w:spacing w:before="0" w:after="0"/>
        <w:jc w:val="both"/>
        <w:rPr/>
      </w:pPr>
      <w:r>
        <w:rPr/>
        <w:t> </w:t>
      </w:r>
    </w:p>
    <w:tbl>
      <w:tblPr>
        <w:tblW w:w="8314" w:type="dxa"/>
        <w:jc w:val="left"/>
        <w:tblInd w:w="0" w:type="dxa"/>
        <w:tblCellMar>
          <w:top w:w="0" w:type="dxa"/>
          <w:left w:w="0" w:type="dxa"/>
          <w:bottom w:w="28" w:type="dxa"/>
          <w:right w:w="0" w:type="dxa"/>
        </w:tblCellMar>
      </w:tblPr>
      <w:tblGrid>
        <w:gridCol w:w="2345"/>
        <w:gridCol w:w="60"/>
        <w:gridCol w:w="273"/>
        <w:gridCol w:w="273"/>
        <w:gridCol w:w="436"/>
        <w:gridCol w:w="131"/>
        <w:gridCol w:w="273"/>
        <w:gridCol w:w="567"/>
        <w:gridCol w:w="60"/>
        <w:gridCol w:w="60"/>
        <w:gridCol w:w="125"/>
        <w:gridCol w:w="125"/>
        <w:gridCol w:w="60"/>
        <w:gridCol w:w="60"/>
        <w:gridCol w:w="60"/>
        <w:gridCol w:w="335"/>
        <w:gridCol w:w="200"/>
        <w:gridCol w:w="60"/>
        <w:gridCol w:w="241"/>
        <w:gridCol w:w="241"/>
        <w:gridCol w:w="386"/>
        <w:gridCol w:w="115"/>
        <w:gridCol w:w="241"/>
        <w:gridCol w:w="502"/>
        <w:gridCol w:w="60"/>
        <w:gridCol w:w="60"/>
        <w:gridCol w:w="125"/>
        <w:gridCol w:w="125"/>
        <w:gridCol w:w="60"/>
        <w:gridCol w:w="60"/>
        <w:gridCol w:w="60"/>
        <w:gridCol w:w="335"/>
        <w:gridCol w:w="200"/>
      </w:tblGrid>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3"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Three Months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6"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w:t>
            </w:r>
          </w:p>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Change</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43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3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4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w:t>
            </w:r>
          </w:p>
        </w:tc>
        <w:tc>
          <w:tcPr>
            <w:tcW w:w="2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09" w:type="dxa"/>
            <w:gridSpan w:val="30"/>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4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Provision for income 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73"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43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7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6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241"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3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1"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50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2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100</w:t>
            </w:r>
          </w:p>
        </w:tc>
        <w:tc>
          <w:tcPr>
            <w:tcW w:w="200"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r>
      <w:tr>
        <w:trPr/>
        <w:tc>
          <w:tcPr>
            <w:tcW w:w="234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Percentage of revenue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3"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43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1"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tc>
        <w:tc>
          <w:tcPr>
            <w:tcW w:w="38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Provision for income taxes for the three and six months ended June 30, 2021 increased $5 million and $7 million, respectively, compared to the same periods in 2020 primarily due to an increase of taxes related to our international operations.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Liquidity and Capital Resources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As of June 30, 2021, we had cash, cash equivalents and marketable securities of $1.6 billion, a majority of which were held in cash deposits and money market funds, and were held for working capital purposes. We believe that our existing cash, cash equivalents and marketable securities will be sufficient to meet our anticipated cash needs for at least the next 12 months. Additional future financing may be necessary to fund our operations and there can be no assurance that, if needed, we will be able to secure additional debt or equity financing on terms acceptable to us or at all, especially in light of the market volatility and uncertainty as a result of the COVID-19 pandemic. Although we believe we have adequate sources of liquidity over the long term, the success of our operations, the global economic outlook, and the pace of sustainable growth in our markets, in each case, in light of the market volatility and uncertainty as a result of the COVID-19 pandemic, among other factors, could impact our business and liquidity.</w:t>
      </w:r>
    </w:p>
    <w:p>
      <w:pPr>
        <w:pStyle w:val="TextBody"/>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November 2020 Credit Facility</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November 2020, we entered into the Revolving Credit Facility which enables us to borrow up to $280 million. The Revolving Credit Facility contains an accordion option which, if exercised and provided we are able to secure additional lender commitments and satisfy certain other conditions, would allow us to increase the aggregate commitments by up to $100 million. As of June 30, 2021, we had not made any borrowings under the Revolving Credit Facility. Refer to Note 7 to our condensed consolidated financial statements in Item 1 of Part I, “Financial Information” for additional details related to the Revolving Credit Facility.</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Cash Flows </w:t>
      </w:r>
    </w:p>
    <w:p>
      <w:pPr>
        <w:pStyle w:val="TextBody"/>
        <w:spacing w:before="0" w:after="0"/>
        <w:jc w:val="both"/>
        <w:rPr/>
      </w:pPr>
      <w:r>
        <w:rPr/>
        <w:t> </w:t>
      </w:r>
    </w:p>
    <w:tbl>
      <w:tblPr>
        <w:tblW w:w="5091" w:type="dxa"/>
        <w:jc w:val="left"/>
        <w:tblInd w:w="0" w:type="dxa"/>
        <w:tblCellMar>
          <w:top w:w="0" w:type="dxa"/>
          <w:left w:w="0" w:type="dxa"/>
          <w:bottom w:w="28" w:type="dxa"/>
          <w:right w:w="0" w:type="dxa"/>
        </w:tblCellMar>
      </w:tblPr>
      <w:tblGrid>
        <w:gridCol w:w="2405"/>
        <w:gridCol w:w="60"/>
        <w:gridCol w:w="286"/>
        <w:gridCol w:w="906"/>
        <w:gridCol w:w="183"/>
        <w:gridCol w:w="137"/>
        <w:gridCol w:w="286"/>
        <w:gridCol w:w="768"/>
        <w:gridCol w:w="60"/>
      </w:tblGrid>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66" w:type="dxa"/>
            <w:gridSpan w:val="6"/>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Six Months Ended 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9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2021</w:t>
            </w:r>
          </w:p>
        </w:tc>
        <w:tc>
          <w:tcPr>
            <w:tcW w:w="1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5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566" w:type="dxa"/>
            <w:gridSpan w:val="6"/>
            <w:tcBorders/>
            <w:shd w:fill="FFFFFF" w:val="clear"/>
            <w:tcMar>
              <w:bottom w:w="0" w:type="dxa"/>
            </w:tcM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(in millions)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provided by (used in):</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0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83"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8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68"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Operating activities</w:t>
            </w:r>
          </w:p>
        </w:tc>
        <w:tc>
          <w:tcPr>
            <w:tcW w:w="6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906"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(558</w:t>
            </w:r>
          </w:p>
        </w:tc>
        <w:tc>
          <w:tcPr>
            <w:tcW w:w="183"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7"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6" w:type="dxa"/>
            <w:tcBorders/>
            <w:shd w:fill="FFFFFF"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768" w:type="dxa"/>
            <w:tcBorders/>
            <w:shd w:fill="FFFFFF"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496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Investing activities</w:t>
            </w:r>
          </w:p>
        </w:tc>
        <w:tc>
          <w:tcPr>
            <w:tcW w:w="60"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6"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(2</w:t>
            </w:r>
          </w:p>
        </w:tc>
        <w:tc>
          <w:tcPr>
            <w:tcW w:w="183" w:type="dxa"/>
            <w:tcBorders/>
            <w:shd w:fill="CFF0FC" w:val="clear"/>
            <w:tcMar>
              <w:bottom w:w="0" w:type="dxa"/>
            </w:tcM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tc>
        <w:tc>
          <w:tcPr>
            <w:tcW w:w="137" w:type="dxa"/>
            <w:tcBorders/>
            <w:shd w:fill="CFF0FC"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8" w:type="dxa"/>
            <w:tcBorders/>
            <w:shd w:fill="CFF0FC" w:val="clear"/>
            <w:tcMar>
              <w:bottom w:w="0" w:type="dxa"/>
            </w:tcMar>
            <w:vAlign w:val="bottom"/>
          </w:tcPr>
          <w:p>
            <w:pPr>
              <w:pStyle w:val="TableContents"/>
              <w:spacing w:before="0" w:after="0"/>
              <w:ind w:left="0" w:right="0" w:hanging="0"/>
              <w:jc w:val="righ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66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274"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Financing activities</w:t>
            </w:r>
          </w:p>
        </w:tc>
        <w:tc>
          <w:tcPr>
            <w:tcW w:w="6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6" w:type="dxa"/>
            <w:tcBorders/>
            <w:shd w:fill="FFFFFF" w:val="clear"/>
            <w:tcMar>
              <w:bottom w:w="0" w:type="dxa"/>
            </w:tcMar>
            <w:vAlign w:val="bottom"/>
          </w:tcPr>
          <w:p>
            <w:pPr>
              <w:pStyle w:val="TableContents"/>
              <w:spacing w:before="0" w:after="0"/>
              <w:ind w:left="274" w:right="0" w:hanging="0"/>
              <w:jc w:val="right"/>
              <w:rPr>
                <w:caps w:val="false"/>
                <w:smallCaps w:val="false"/>
                <w:color w:val="000000"/>
              </w:rPr>
            </w:pPr>
            <w:r>
              <w:rPr>
                <w:caps w:val="false"/>
                <w:smallCaps w:val="false"/>
                <w:color w:val="000000"/>
              </w:rPr>
              <w:t>—</w:t>
            </w:r>
          </w:p>
        </w:tc>
        <w:tc>
          <w:tcPr>
            <w:tcW w:w="1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2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8" w:type="dxa"/>
            <w:tcBorders/>
            <w:shd w:fill="FFFFFF" w:val="clear"/>
            <w:tcMar>
              <w:bottom w:w="0" w:type="dxa"/>
            </w:tcMar>
            <w:vAlign w:val="bottom"/>
          </w:tcPr>
          <w:p>
            <w:pPr>
              <w:pStyle w:val="TableContents"/>
              <w:spacing w:before="0" w:after="0"/>
              <w:ind w:left="274"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60" w:after="0"/>
        <w:jc w:val="both"/>
        <w:rPr>
          <w:rFonts w:ascii="Arial" w:hAnsi="Arial"/>
          <w:b/>
          <w:i/>
          <w:caps w:val="false"/>
          <w:smallCaps w:val="false"/>
          <w:sz w:val="20"/>
        </w:rPr>
      </w:pPr>
      <w:r>
        <w:rPr>
          <w:rFonts w:ascii="Arial" w:hAnsi="Arial"/>
          <w:b/>
          <w:i/>
          <w:caps w:val="false"/>
          <w:smallCaps w:val="false"/>
          <w:sz w:val="20"/>
        </w:rPr>
        <w:t xml:space="preserve">Net Cash Provided by (Used in) Operating Activities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cash flows from operations are largely dependent on the amount of revenue we generate. Net cash provided by operating activities in each period presented has been influenced by changes in funds receivable, prepaid expenses, and other current and noncurrent assets, accounts payable, merchants payable, accrued and refund liabilities, lease liabilities, and other current and noncurrent liabilities. </w:t>
      </w:r>
    </w:p>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28</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Net cash used in our operating activities for the six months ended June 30, 2021 was $558 million. This was primarily driven by our net loss of $239 million and $410 million unfavorable net working capital changes, which was partially offset by non-cash expenses, such as stock-based compensation expense of $74 million. Unfavorable working capital movement was mainly driven by accounts payable, merchants payable and accrued and refund liabilities. Accounts payable decreased by $179 million primarily due to timing of payments and shorter vendor payment terms. Earlier during the COVID-19 pandemic, we were able to negotiate favorable payment terms with certain key digital advertising partners (45 days and 60 days). The payment terms with these key digital advertising partners reverted back to 30 days when the favorable terms expired on December 31, 2020. Merchants payable decreased by $141 million primarily driven by lower volumes in the first half of 2021 compared to the fourth quarter of 2020 due to seasonality and higher percentage of shipments through our A+ program which accelerated the payment of merchants payable due to higher delivery confirmation rates.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Net cash provided by our operating activities for the six months ended June 30, 2020 was $496 million. This was primarily driven by favorable net working capital changes of $521 million and the remeasurement of redeemable convertible preferred stock warrant liability of $43 million, which was partially offset by our net loss of $77 million.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Net Cash Provided by (Used in) Investing Activities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Our primary investing activities have consisted of investing excess cash balances in marketable securities.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Net cash used in investing activities was $2 million for the six months ended June 30, 2021. This was primarily due to $124 million purchases of marketable securities, partially offset by $123 million of maturities of marketable securities. </w:t>
      </w:r>
    </w:p>
    <w:p>
      <w:pPr>
        <w:pStyle w:val="TextBody"/>
        <w:spacing w:before="1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Net cash provided by investing activities was $66 million for the six months ended June 30, 2020. This was primarily due to $244 million maturities of marketable securities, partially offset by $178 million purchases of marketable securities. </w:t>
      </w:r>
    </w:p>
    <w:p>
      <w:pPr>
        <w:pStyle w:val="TextBody"/>
        <w:spacing w:before="260" w:after="0"/>
        <w:jc w:val="both"/>
        <w:rPr>
          <w:rFonts w:ascii="Arial" w:hAnsi="Arial"/>
          <w:b/>
          <w:i/>
          <w:caps w:val="false"/>
          <w:smallCaps w:val="false"/>
          <w:sz w:val="20"/>
        </w:rPr>
      </w:pPr>
      <w:r>
        <w:rPr>
          <w:rFonts w:ascii="Arial" w:hAnsi="Arial"/>
          <w:b/>
          <w:i/>
          <w:caps w:val="false"/>
          <w:smallCaps w:val="false"/>
          <w:sz w:val="20"/>
        </w:rPr>
        <w:t xml:space="preserve">Net Cash Provided by (Used in) Financing Activities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Net cash provided by (used in) our financing activities was nil for each of the six months ended June 30, 2021 and 2020.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Off Balance Sheet Arrangements </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For the three and six months ended June 30, 2021 and 2020,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 xml:space="preserve">Contingencies </w:t>
      </w:r>
    </w:p>
    <w:p>
      <w:pPr>
        <w:pStyle w:val="TextBody"/>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 xml:space="preserve">We are involved in claims, lawsuits, government investigations, securities class action lawsuits and proceedings arising from the ordinary course of our business. We record a provision for a liability when we believe that it is both probable that a liability has been incurred, and the amount can be reasonably estimated. Significant judgment is required to determine both probability and the estimated amount. Such legal proceedings are inherently unpredictable and subject to significant uncertainties, some of which are beyond our control. Should any of these estimates and assumptions change or prove to be incorrect, it could have a material impact on our results of operations, financial position, and cash flows. </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Critical Accounting Policies</w:t>
      </w:r>
    </w:p>
    <w:p>
      <w:pPr>
        <w:pStyle w:val="TextBody"/>
        <w:shd w:fill="FFFFFF" w:val="clear"/>
        <w:spacing w:before="80" w:after="0"/>
        <w:jc w:val="both"/>
        <w:rPr>
          <w:rFonts w:ascii="Arial" w:hAnsi="Arial"/>
          <w:b w:val="false"/>
          <w:i w:val="false"/>
          <w:caps w:val="false"/>
          <w:smallCaps w:val="false"/>
          <w:sz w:val="20"/>
        </w:rPr>
      </w:pPr>
      <w:r>
        <w:rPr>
          <w:rFonts w:ascii="Arial" w:hAnsi="Arial"/>
          <w:b w:val="false"/>
          <w:i w:val="false"/>
          <w:caps w:val="false"/>
          <w:smallCaps w:val="false"/>
          <w:sz w:val="20"/>
        </w:rPr>
        <w:t>The preparation of financial statements and related disclosures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On an ongoing basis, we evaluate our estimates, including those listed below. We base our estimates on historical facts and various other assumptions that we believe to be reasonable at the time the estimates are made. Actual results could differ from those estimates.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Our critical accounting policies are as follows:</w:t>
      </w:r>
    </w:p>
    <w:tbl>
      <w:tblPr>
        <w:tblW w:w="2020" w:type="dxa"/>
        <w:jc w:val="left"/>
        <w:tblInd w:w="0" w:type="dxa"/>
        <w:tblCellMar>
          <w:top w:w="0" w:type="dxa"/>
          <w:left w:w="0" w:type="dxa"/>
          <w:bottom w:w="0" w:type="dxa"/>
          <w:right w:w="0" w:type="dxa"/>
        </w:tblCellMar>
      </w:tblPr>
      <w:tblGrid>
        <w:gridCol w:w="60"/>
        <w:gridCol w:w="110"/>
        <w:gridCol w:w="1850"/>
      </w:tblGrid>
      <w:tr>
        <w:trPr/>
        <w:tc>
          <w:tcPr>
            <w:tcW w:w="60" w:type="dxa"/>
            <w:tcBorders/>
            <w:shd w:fill="auto" w:val="clear"/>
          </w:tcPr>
          <w:p>
            <w:pPr>
              <w:pStyle w:val="TableContents"/>
              <w:shd w:fill="FFFFFF" w:val="clear"/>
              <w:spacing w:before="12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120" w:after="0"/>
              <w:jc w:val="both"/>
              <w:rPr>
                <w:caps w:val="false"/>
                <w:smallCaps w:val="false"/>
                <w:color w:val="000000"/>
                <w:spacing w:val="0"/>
              </w:rPr>
            </w:pPr>
            <w:r>
              <w:rPr>
                <w:caps w:val="false"/>
                <w:smallCaps w:val="false"/>
                <w:color w:val="000000"/>
                <w:spacing w:val="0"/>
              </w:rPr>
              <w:t>•</w:t>
            </w:r>
          </w:p>
        </w:tc>
        <w:tc>
          <w:tcPr>
            <w:tcW w:w="1850" w:type="dxa"/>
            <w:tcBorders/>
            <w:shd w:fill="auto" w:val="clear"/>
          </w:tcPr>
          <w:p>
            <w:pPr>
              <w:pStyle w:val="TableContents"/>
              <w:shd w:fill="FFFFFF" w:val="clear"/>
              <w:spacing w:before="12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Revenue recognition;</w:t>
            </w:r>
          </w:p>
        </w:tc>
      </w:tr>
    </w:tbl>
    <w:tbl>
      <w:tblPr>
        <w:tblW w:w="2605" w:type="dxa"/>
        <w:jc w:val="left"/>
        <w:tblInd w:w="0" w:type="dxa"/>
        <w:tblCellMar>
          <w:top w:w="0" w:type="dxa"/>
          <w:left w:w="0" w:type="dxa"/>
          <w:bottom w:w="0" w:type="dxa"/>
          <w:right w:w="0" w:type="dxa"/>
        </w:tblCellMar>
      </w:tblPr>
      <w:tblGrid>
        <w:gridCol w:w="60"/>
        <w:gridCol w:w="110"/>
        <w:gridCol w:w="2435"/>
      </w:tblGrid>
      <w:tr>
        <w:trPr/>
        <w:tc>
          <w:tcPr>
            <w:tcW w:w="60" w:type="dxa"/>
            <w:tcBorders/>
            <w:shd w:fill="auto" w:val="clear"/>
          </w:tcPr>
          <w:p>
            <w:pPr>
              <w:pStyle w:val="TableContents"/>
              <w:shd w:fill="FFFFFF" w:val="clear"/>
              <w:spacing w:before="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hd w:fill="FFFFFF" w:val="clear"/>
              <w:spacing w:before="0" w:after="0"/>
              <w:jc w:val="both"/>
              <w:rPr>
                <w:caps w:val="false"/>
                <w:smallCaps w:val="false"/>
                <w:color w:val="000000"/>
                <w:spacing w:val="0"/>
              </w:rPr>
            </w:pPr>
            <w:r>
              <w:rPr>
                <w:caps w:val="false"/>
                <w:smallCaps w:val="false"/>
                <w:color w:val="000000"/>
                <w:spacing w:val="0"/>
              </w:rPr>
              <w:t>•</w:t>
            </w:r>
          </w:p>
        </w:tc>
        <w:tc>
          <w:tcPr>
            <w:tcW w:w="2435" w:type="dxa"/>
            <w:tcBorders/>
            <w:shd w:fill="auto" w:val="clear"/>
          </w:tcPr>
          <w:p>
            <w:pPr>
              <w:pStyle w:val="TableContents"/>
              <w:shd w:fill="FFFFFF" w:val="clear"/>
              <w:spacing w:before="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Operating lease obligations;</w:t>
            </w:r>
          </w:p>
        </w:tc>
      </w:tr>
    </w:tbl>
    <w:tbl>
      <w:tblPr>
        <w:tblW w:w="2995" w:type="dxa"/>
        <w:jc w:val="left"/>
        <w:tblInd w:w="0" w:type="dxa"/>
        <w:tblCellMar>
          <w:top w:w="0" w:type="dxa"/>
          <w:left w:w="0" w:type="dxa"/>
          <w:bottom w:w="0" w:type="dxa"/>
          <w:right w:w="0" w:type="dxa"/>
        </w:tblCellMar>
      </w:tblPr>
      <w:tblGrid>
        <w:gridCol w:w="60"/>
        <w:gridCol w:w="110"/>
        <w:gridCol w:w="2825"/>
      </w:tblGrid>
      <w:tr>
        <w:trPr/>
        <w:tc>
          <w:tcPr>
            <w:tcW w:w="60" w:type="dxa"/>
            <w:tcBorders/>
            <w:shd w:fill="auto" w:val="clear"/>
          </w:tcPr>
          <w:p>
            <w:pPr>
              <w:pStyle w:val="TableContents"/>
              <w:spacing w:before="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both"/>
              <w:rPr>
                <w:caps w:val="false"/>
                <w:smallCaps w:val="false"/>
                <w:color w:val="000000"/>
                <w:spacing w:val="0"/>
              </w:rPr>
            </w:pPr>
            <w:r>
              <w:rPr>
                <w:caps w:val="false"/>
                <w:smallCaps w:val="false"/>
                <w:color w:val="000000"/>
                <w:spacing w:val="0"/>
              </w:rPr>
              <w:t>•</w:t>
            </w:r>
          </w:p>
        </w:tc>
        <w:tc>
          <w:tcPr>
            <w:tcW w:w="2825" w:type="dxa"/>
            <w:tcBorders/>
            <w:shd w:fill="auto" w:val="clear"/>
          </w:tcPr>
          <w:p>
            <w:pPr>
              <w:pStyle w:val="TableContents"/>
              <w:spacing w:before="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Stock-based compensation; and</w:t>
            </w:r>
          </w:p>
        </w:tc>
      </w:tr>
    </w:tbl>
    <w:tbl>
      <w:tblPr>
        <w:tblW w:w="1435" w:type="dxa"/>
        <w:jc w:val="left"/>
        <w:tblInd w:w="0" w:type="dxa"/>
        <w:tblCellMar>
          <w:top w:w="0" w:type="dxa"/>
          <w:left w:w="0" w:type="dxa"/>
          <w:bottom w:w="0" w:type="dxa"/>
          <w:right w:w="0" w:type="dxa"/>
        </w:tblCellMar>
      </w:tblPr>
      <w:tblGrid>
        <w:gridCol w:w="60"/>
        <w:gridCol w:w="110"/>
        <w:gridCol w:w="1265"/>
      </w:tblGrid>
      <w:tr>
        <w:trPr/>
        <w:tc>
          <w:tcPr>
            <w:tcW w:w="60" w:type="dxa"/>
            <w:tcBorders/>
            <w:shd w:fill="auto" w:val="clear"/>
          </w:tcPr>
          <w:p>
            <w:pPr>
              <w:pStyle w:val="TableContents"/>
              <w:spacing w:before="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0" w:after="0"/>
              <w:jc w:val="both"/>
              <w:rPr>
                <w:caps w:val="false"/>
                <w:smallCaps w:val="false"/>
                <w:color w:val="000000"/>
                <w:spacing w:val="0"/>
              </w:rPr>
            </w:pPr>
            <w:r>
              <w:rPr>
                <w:caps w:val="false"/>
                <w:smallCaps w:val="false"/>
                <w:color w:val="000000"/>
                <w:spacing w:val="0"/>
              </w:rPr>
              <w:t>•</w:t>
            </w:r>
          </w:p>
        </w:tc>
        <w:tc>
          <w:tcPr>
            <w:tcW w:w="1265" w:type="dxa"/>
            <w:tcBorders/>
            <w:shd w:fill="auto" w:val="clear"/>
          </w:tcPr>
          <w:p>
            <w:pPr>
              <w:pStyle w:val="TableContents"/>
              <w:spacing w:before="0" w:after="0"/>
              <w:jc w:val="both"/>
              <w:rPr>
                <w:rFonts w:ascii="Arial" w:hAnsi="Arial"/>
                <w:b w:val="false"/>
                <w:i w:val="false"/>
                <w:caps w:val="false"/>
                <w:smallCaps w:val="false"/>
                <w:color w:val="000000"/>
                <w:spacing w:val="0"/>
                <w:sz w:val="20"/>
              </w:rPr>
            </w:pPr>
            <w:r>
              <w:rPr>
                <w:rFonts w:ascii="Arial" w:hAnsi="Arial"/>
                <w:b w:val="false"/>
                <w:i w:val="false"/>
                <w:caps w:val="false"/>
                <w:smallCaps w:val="false"/>
                <w:color w:val="000000"/>
                <w:spacing w:val="0"/>
                <w:sz w:val="20"/>
              </w:rPr>
              <w:t>Income taxes.</w:t>
            </w:r>
          </w:p>
        </w:tc>
      </w:tr>
    </w:tbl>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critical accounting policies are important to the portrayal of our financial condition and results of operations, and require us to make judgments and estimates about matters that are inherently uncertain.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29</w:t>
      </w:r>
    </w:p>
    <w:p>
      <w:pPr>
        <w:pStyle w:val="HorizontalLine"/>
        <w:rPr/>
      </w:pPr>
      <w:r>
        <w:rPr/>
      </w:r>
    </w:p>
    <w:p>
      <w:pPr>
        <w:pStyle w:val="TextBody"/>
        <w:spacing w:before="0" w:after="0"/>
        <w:rPr/>
      </w:pPr>
      <w:r>
        <w:rPr/>
        <w:t>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There have been no material changes to our critical accounting policies and estimates as compared to those described in our Annual Report on Form 10-K for the year ended December 31, 2020, filed with the SEC on March 25, 2021.</w:t>
      </w:r>
    </w:p>
    <w:p>
      <w:pPr>
        <w:pStyle w:val="TextBody"/>
        <w:spacing w:before="260" w:after="0"/>
        <w:jc w:val="both"/>
        <w:rPr>
          <w:rFonts w:ascii="Arial" w:hAnsi="Arial"/>
          <w:b/>
          <w:i w:val="false"/>
          <w:caps w:val="false"/>
          <w:smallCaps w:val="false"/>
          <w:sz w:val="20"/>
        </w:rPr>
      </w:pPr>
      <w:r>
        <w:rPr>
          <w:rFonts w:ascii="Arial" w:hAnsi="Arial"/>
          <w:b/>
          <w:i w:val="false"/>
          <w:caps w:val="false"/>
          <w:smallCaps w:val="false"/>
          <w:sz w:val="20"/>
        </w:rPr>
        <w:t>Recent Accounting Pronouncements</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See Note 1 of Part I, Item 1 of this Quarterly Report on Form 10-Q for a full description of recent accounting pronouncements.</w:t>
      </w:r>
    </w:p>
    <w:p>
      <w:pPr>
        <w:pStyle w:val="TextBody"/>
        <w:spacing w:before="360" w:after="0"/>
        <w:jc w:val="both"/>
        <w:rPr>
          <w:rFonts w:ascii="Arial" w:hAnsi="Arial"/>
          <w:b/>
          <w:i w:val="false"/>
          <w:caps w:val="false"/>
          <w:smallCaps w:val="false"/>
          <w:sz w:val="20"/>
        </w:rPr>
      </w:pPr>
      <w:bookmarkStart w:id="12" w:name="ITEM_3_QUANTITATIVE_QUALITATIVE_DISCLOSU"/>
      <w:bookmarkEnd w:id="12"/>
      <w:r>
        <w:rPr>
          <w:rFonts w:ascii="Arial" w:hAnsi="Arial"/>
          <w:b/>
          <w:i w:val="false"/>
          <w:caps w:val="false"/>
          <w:smallCaps w:val="false"/>
          <w:sz w:val="20"/>
        </w:rPr>
        <w:t>Item 3. Quantitative and Qualitative Disclosures About Market Risk.</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have operations both within the U.S.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Interest Rate Sensitivity</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Cash, cash equivalents and marketable securities as of June 30, 2021 were held primarily in cash deposits and money market funds. The fair value of our cash, cash equivalents, and investments would not be significantly affected by either an increase or decrease in interest rates due mainly to the short-term nature of these instruments. A 100 basis point increase or decrease in our current interest rates would have increased or decreased our interest income by $16 million for each of the three and six months ended June 30, 2021.</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Foreign Currency Risk</w:t>
      </w:r>
    </w:p>
    <w:p>
      <w:pPr>
        <w:pStyle w:val="TextBody"/>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We transact business in various foreign countries and are, therefore, subject to risk of foreign currency exchange rate fluctuations. We have established a foreign currency risk management policy to provide process and procedures for managing this risk. We use natural hedging techniques first to net off existing foreign currency exposures. For the remaining exposure, we may enter into short term foreign exchange derivative contracts, including forward contracts to hedge exposures associated with monetary assets and liabilities, mainly merchants payable, and cash flows denominated in non-functional currencies. </w:t>
      </w:r>
    </w:p>
    <w:p>
      <w:pPr>
        <w:pStyle w:val="TextBody"/>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credit risk of our foreign exchange derivative contracts is minimized since contracts are not concentrated with any one financial institution and all contracts are only placed with large financial institutions. The gains and losses on foreign exchange derivative contracts generally offset the losses and gains on the assets, liabilities and transactions hedged. The fair value of foreign exchange derivative contracts is reported in the condensed consolidated balance sheets. The majority of these foreign exchange contracts expire in less than three months and all expire within one year. Refer to Note 5 to our condensed consolidated financial statements in Item 1 of Part I, “Financial Statements” for more information related to our derivative financial instruments.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Based on our overall currency rate exposures as of June 30, 2021, including the derivative financial instruments intended to hedge the nonfunctional currency-denominated monetary assets, liabilities and cash flows, and other factors, a 10% appreciation or depreciation of the U.S. dollar from its cross-functional rates would not be expected, in the aggregate, to have a material effect on our financial position, results of operations and cash flows in the near-term.</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Inflation Risk</w:t>
      </w:r>
    </w:p>
    <w:p>
      <w:pPr>
        <w:pStyle w:val="TextBody"/>
        <w:shd w:fill="FFFFFF" w:val="clear"/>
        <w:spacing w:before="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We do not believe that inflation has had a material effect on our business, financial condition, or results of operations. If the Company’s costs were to become subject to significant inflationary pressures, the Company may not be able to fully offset such higher costs through increases in revenue. The Company’s inability or failure to do so could harm the Company’s business, financial condition, and results of operations.</w:t>
      </w:r>
    </w:p>
    <w:p>
      <w:pPr>
        <w:pStyle w:val="TextBody"/>
        <w:spacing w:before="360" w:after="0"/>
        <w:jc w:val="both"/>
        <w:rPr>
          <w:rFonts w:ascii="Arial" w:hAnsi="Arial"/>
          <w:b/>
          <w:i w:val="false"/>
          <w:caps w:val="false"/>
          <w:smallCaps w:val="false"/>
          <w:sz w:val="20"/>
        </w:rPr>
      </w:pPr>
      <w:bookmarkStart w:id="13" w:name="ITEM_4_CONTROLS_PROCEDURES"/>
      <w:bookmarkEnd w:id="13"/>
      <w:r>
        <w:rPr>
          <w:rFonts w:ascii="Arial" w:hAnsi="Arial"/>
          <w:b/>
          <w:i w:val="false"/>
          <w:caps w:val="false"/>
          <w:smallCaps w:val="false"/>
          <w:sz w:val="20"/>
        </w:rPr>
        <w:t>Item 4. Controls and Procedures.</w:t>
      </w:r>
    </w:p>
    <w:p>
      <w:pPr>
        <w:pStyle w:val="TextBody"/>
        <w:shd w:fill="FFFFFF" w:val="clear"/>
        <w:spacing w:before="180" w:after="0"/>
        <w:jc w:val="both"/>
        <w:rPr>
          <w:rFonts w:ascii="Arial" w:hAnsi="Arial"/>
          <w:b/>
          <w:i/>
          <w:caps w:val="false"/>
          <w:smallCaps w:val="false"/>
          <w:color w:val="000000"/>
          <w:sz w:val="20"/>
        </w:rPr>
      </w:pPr>
      <w:r>
        <w:rPr>
          <w:rFonts w:ascii="Arial" w:hAnsi="Arial"/>
          <w:b/>
          <w:i/>
          <w:caps w:val="false"/>
          <w:smallCaps w:val="false"/>
          <w:color w:val="000000"/>
          <w:sz w:val="20"/>
        </w:rPr>
        <w:t>Evaluation of Disclosure Controls and Procedures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 as of the end of the period covered by this report. Based on management’s evaluation, our principal executive officer and principal financial officer concluded that our disclosure controls and procedures are effective at a reasonable assurance level.</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30</w:t>
      </w:r>
    </w:p>
    <w:p>
      <w:pPr>
        <w:pStyle w:val="HorizontalLine"/>
        <w:rPr/>
      </w:pPr>
      <w:r>
        <w:rPr/>
      </w:r>
    </w:p>
    <w:p>
      <w:pPr>
        <w:pStyle w:val="TextBody"/>
        <w:spacing w:before="0" w:after="0"/>
        <w:rPr/>
      </w:pPr>
      <w:r>
        <w:rPr/>
        <w:t> </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shd w:fill="FFFFFF" w:val="clear"/>
        <w:spacing w:before="260" w:after="0"/>
        <w:jc w:val="both"/>
        <w:rPr>
          <w:rFonts w:ascii="Arial" w:hAnsi="Arial"/>
          <w:b/>
          <w:i/>
          <w:caps w:val="false"/>
          <w:smallCaps w:val="false"/>
          <w:color w:val="000000"/>
          <w:sz w:val="20"/>
        </w:rPr>
      </w:pPr>
      <w:r>
        <w:rPr>
          <w:rFonts w:ascii="Arial" w:hAnsi="Arial"/>
          <w:b/>
          <w:i/>
          <w:caps w:val="false"/>
          <w:smallCaps w:val="false"/>
          <w:color w:val="000000"/>
          <w:sz w:val="20"/>
        </w:rPr>
        <w:t>Changes in Internal Control over Financial Reporting</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There were no changes in our internal control over financial reporting identified in connection with the evaluation required by Rules 13a-15(d) and 15d-15(d) of the Exchange Act that occurred during the three months ended June 30, 2021 that have materially affected, or are reasonably likely to materially affect, our internal control over financial reporting.</w:t>
      </w:r>
    </w:p>
    <w:p>
      <w:pPr>
        <w:pStyle w:val="TextBody"/>
        <w:spacing w:before="360" w:after="0"/>
        <w:rPr>
          <w:rFonts w:ascii="Arial" w:hAnsi="Arial"/>
          <w:b/>
          <w:i w:val="false"/>
          <w:caps w:val="false"/>
          <w:smallCaps w:val="false"/>
          <w:sz w:val="20"/>
        </w:rPr>
      </w:pPr>
      <w:bookmarkStart w:id="14" w:name="PART_IIOR_INFORMATION"/>
      <w:bookmarkEnd w:id="14"/>
      <w:r>
        <w:rPr>
          <w:rFonts w:ascii="Arial" w:hAnsi="Arial"/>
          <w:b/>
          <w:i w:val="false"/>
          <w:caps w:val="false"/>
          <w:smallCaps w:val="false"/>
          <w:sz w:val="20"/>
        </w:rPr>
        <w:t>PART II—OTHER INFORMATION</w:t>
      </w:r>
    </w:p>
    <w:p>
      <w:pPr>
        <w:pStyle w:val="TextBody"/>
        <w:spacing w:before="180" w:after="0"/>
        <w:rPr>
          <w:rFonts w:ascii="Arial" w:hAnsi="Arial"/>
          <w:b/>
          <w:i w:val="false"/>
          <w:caps w:val="false"/>
          <w:smallCaps w:val="false"/>
          <w:sz w:val="20"/>
        </w:rPr>
      </w:pPr>
      <w:bookmarkStart w:id="15" w:name="ITEM_1_LEGAL_PROCEEDINGS"/>
      <w:bookmarkEnd w:id="15"/>
      <w:r>
        <w:rPr>
          <w:rFonts w:ascii="Arial" w:hAnsi="Arial"/>
          <w:b/>
          <w:i w:val="false"/>
          <w:caps w:val="false"/>
          <w:smallCaps w:val="false"/>
          <w:sz w:val="20"/>
        </w:rPr>
        <w:t>Item 1. Legal Proceedings.</w:t>
      </w:r>
    </w:p>
    <w:p>
      <w:pPr>
        <w:pStyle w:val="TextBody"/>
        <w:spacing w:before="12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Information with respect to this item may be found in Note 7, Commitments and Contingencies, in our Notes to Unaudited Condensed Consolidated Financial Statements included in Part I, Item 1, of this Quarterly Report on Form 10-Q, which information is incorporated herein by reference. </w:t>
      </w:r>
    </w:p>
    <w:p>
      <w:pPr>
        <w:pStyle w:val="TextBody"/>
        <w:spacing w:before="360" w:after="0"/>
        <w:rPr>
          <w:rFonts w:ascii="Arial" w:hAnsi="Arial"/>
          <w:b/>
          <w:i w:val="false"/>
          <w:caps w:val="false"/>
          <w:smallCaps w:val="false"/>
          <w:sz w:val="20"/>
        </w:rPr>
      </w:pPr>
      <w:bookmarkStart w:id="16" w:name="ITEM_1A_RISK_FACTORS"/>
      <w:bookmarkEnd w:id="16"/>
      <w:r>
        <w:rPr>
          <w:rFonts w:ascii="Arial" w:hAnsi="Arial"/>
          <w:b/>
          <w:i w:val="false"/>
          <w:caps w:val="false"/>
          <w:smallCaps w:val="false"/>
          <w:sz w:val="20"/>
        </w:rPr>
        <w:t>Item 1A. Risk Factors.</w:t>
      </w:r>
    </w:p>
    <w:p>
      <w:pPr>
        <w:pStyle w:val="TextBody"/>
        <w:spacing w:before="180" w:after="0"/>
        <w:jc w:val="both"/>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You should carefully consider the risks and uncertainties described under the heading "Risk Factors" in Part I, Item 1A of our Annual Report on Form 10-K for the year ended December 31, 2020 (the "2020 Form 10-K"), together with all of the other information contained in this Quarterly Report on Form 10-Q, including our condensed consolidated financial statements and related notes, before making a decision to invest in our Class A common stock.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Class A common stock could decline. These risk factors do not identify all risks that we face –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There have been no additional material changes from the risks and uncertainties previously disclosed under the "Risk Factors" section in our 2020 Form 10-K.</w:t>
      </w:r>
    </w:p>
    <w:p>
      <w:pPr>
        <w:pStyle w:val="TextBody"/>
        <w:spacing w:before="360" w:after="0"/>
        <w:jc w:val="both"/>
        <w:rPr>
          <w:rFonts w:ascii="Arial" w:hAnsi="Arial"/>
          <w:b/>
          <w:i w:val="false"/>
          <w:caps w:val="false"/>
          <w:smallCaps w:val="false"/>
          <w:sz w:val="20"/>
        </w:rPr>
      </w:pPr>
      <w:bookmarkStart w:id="17" w:name="ITEM_2_UNREGISTERED_SALES_EQUITY_SECURIT"/>
      <w:bookmarkEnd w:id="17"/>
      <w:r>
        <w:rPr>
          <w:rFonts w:ascii="Arial" w:hAnsi="Arial"/>
          <w:b/>
          <w:i w:val="false"/>
          <w:caps w:val="false"/>
          <w:smallCaps w:val="false"/>
          <w:sz w:val="20"/>
        </w:rPr>
        <w:t>Item 2. Unregistered Sales of Equity Securities and Use of Proceeds.</w:t>
      </w:r>
    </w:p>
    <w:p>
      <w:pPr>
        <w:pStyle w:val="TextBody"/>
        <w:shd w:fill="FFFFFF" w:val="clear"/>
        <w:spacing w:before="180" w:after="0"/>
        <w:jc w:val="both"/>
        <w:rPr>
          <w:rFonts w:ascii="Arial" w:hAnsi="Arial"/>
          <w:b w:val="false"/>
          <w:i/>
          <w:caps w:val="false"/>
          <w:smallCaps w:val="false"/>
          <w:color w:val="000000"/>
          <w:sz w:val="20"/>
        </w:rPr>
      </w:pPr>
      <w:r>
        <w:rPr>
          <w:rFonts w:ascii="Arial" w:hAnsi="Arial"/>
          <w:b w:val="false"/>
          <w:i/>
          <w:caps w:val="false"/>
          <w:smallCaps w:val="false"/>
          <w:color w:val="000000"/>
          <w:sz w:val="20"/>
        </w:rPr>
        <w:t>(a) Unregistered Sales of Equity Securities</w:t>
      </w:r>
    </w:p>
    <w:p>
      <w:pPr>
        <w:pStyle w:val="TextBody"/>
        <w:shd w:fill="FFFFFF" w:val="clear"/>
        <w:spacing w:before="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None</w:t>
      </w:r>
    </w:p>
    <w:p>
      <w:pPr>
        <w:pStyle w:val="TextBody"/>
        <w:shd w:fill="FFFFFF" w:val="clear"/>
        <w:spacing w:before="0" w:after="0"/>
        <w:jc w:val="both"/>
        <w:rPr>
          <w:caps w:val="false"/>
          <w:smallCaps w:val="false"/>
          <w:color w:val="000000"/>
        </w:rPr>
      </w:pPr>
      <w:r>
        <w:rPr>
          <w:caps w:val="false"/>
          <w:smallCaps w:val="false"/>
          <w:color w:val="000000"/>
        </w:rPr>
        <w:t> </w:t>
      </w:r>
    </w:p>
    <w:p>
      <w:pPr>
        <w:pStyle w:val="TextBody"/>
        <w:shd w:fill="FFFFFF" w:val="clear"/>
        <w:spacing w:before="0" w:after="0"/>
        <w:rPr>
          <w:rFonts w:ascii="Arial" w:hAnsi="Arial"/>
          <w:b w:val="false"/>
          <w:i/>
          <w:caps w:val="false"/>
          <w:smallCaps w:val="false"/>
          <w:color w:val="000000"/>
          <w:sz w:val="20"/>
        </w:rPr>
      </w:pPr>
      <w:r>
        <w:rPr>
          <w:rFonts w:ascii="Arial" w:hAnsi="Arial"/>
          <w:b w:val="false"/>
          <w:i/>
          <w:caps w:val="false"/>
          <w:smallCaps w:val="false"/>
          <w:color w:val="000000"/>
          <w:sz w:val="20"/>
        </w:rPr>
        <w:t>(b) Use of Proceeds</w:t>
      </w:r>
    </w:p>
    <w:p>
      <w:pPr>
        <w:pStyle w:val="TextBody"/>
        <w:shd w:fill="FFFFFF" w:val="clear"/>
        <w:spacing w:before="180" w:after="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Our IPO of Class A common stock was effected through a Registration Statement on Form S-1 (File Nos. 333-250531), which was declared or became effective on December 15, 2020. There has been no material change in the use of proceeds from our IPO as described in our final prospectus dated December 15, 2020 filed with the Securities and Exchange Commission, or SEC, pursuant to Rule 424(b) of the Securities Act of 1933, as amended, or the Securities Act. </w:t>
      </w:r>
    </w:p>
    <w:p>
      <w:pPr>
        <w:pStyle w:val="TextBody"/>
        <w:spacing w:before="0" w:after="0"/>
        <w:rPr/>
      </w:pPr>
      <w:r>
        <w:rPr/>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360" w:after="0"/>
        <w:jc w:val="both"/>
        <w:rPr>
          <w:rFonts w:ascii="Arial" w:hAnsi="Arial"/>
          <w:b/>
          <w:i w:val="false"/>
          <w:caps w:val="false"/>
          <w:smallCaps w:val="false"/>
          <w:sz w:val="20"/>
        </w:rPr>
      </w:pPr>
      <w:bookmarkStart w:id="18" w:name="ITEM_6_EXHIBITS"/>
      <w:bookmarkEnd w:id="18"/>
      <w:r>
        <w:rPr>
          <w:rFonts w:ascii="Arial" w:hAnsi="Arial"/>
          <w:b/>
          <w:i w:val="false"/>
          <w:caps w:val="false"/>
          <w:smallCaps w:val="false"/>
          <w:sz w:val="20"/>
        </w:rPr>
        <w:t>Item 6. Exhibits.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757"/>
        <w:gridCol w:w="60"/>
        <w:gridCol w:w="9388"/>
      </w:tblGrid>
      <w:tr>
        <w:trPr/>
        <w:tc>
          <w:tcPr>
            <w:tcW w:w="757"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Exhibit</w:t>
            </w:r>
          </w:p>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Number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88" w:type="dxa"/>
            <w:tcBorders>
              <w:bottom w:val="single" w:sz="6" w:space="0" w:color="000000"/>
            </w:tcBorders>
            <w:shd w:fill="FFFFFF" w:val="clear"/>
            <w:vAlign w:val="bottom"/>
          </w:tcPr>
          <w:p>
            <w:pPr>
              <w:pStyle w:val="TableContents"/>
              <w:spacing w:before="0" w:after="0"/>
              <w:ind w:left="0" w:right="0" w:hanging="0"/>
              <w:jc w:val="center"/>
              <w:rPr>
                <w:rFonts w:ascii="Arial" w:hAnsi="Arial"/>
                <w:b/>
                <w:i w:val="false"/>
                <w:caps w:val="false"/>
                <w:smallCaps w:val="false"/>
                <w:color w:val="000000"/>
                <w:sz w:val="16"/>
              </w:rPr>
            </w:pPr>
            <w:r>
              <w:rPr>
                <w:rFonts w:ascii="Arial" w:hAnsi="Arial"/>
                <w:b/>
                <w:i w:val="false"/>
                <w:caps w:val="false"/>
                <w:smallCaps w:val="false"/>
                <w:color w:val="000000"/>
                <w:sz w:val="16"/>
              </w:rPr>
              <w:t>Description</w:t>
            </w:r>
          </w:p>
        </w:tc>
      </w:tr>
      <w:tr>
        <w:trPr/>
        <w:tc>
          <w:tcPr>
            <w:tcW w:w="757"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pPr>
            <w:r>
              <w:rPr/>
              <w:t> </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10.1</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pPr>
            <w:hyperlink r:id="rId2">
              <w:r>
                <w:rPr>
                  <w:rStyle w:val="InternetLink"/>
                  <w:rFonts w:ascii="Arial" w:hAnsi="Arial"/>
                  <w:b w:val="false"/>
                  <w:i w:val="false"/>
                  <w:caps w:val="false"/>
                  <w:smallCaps w:val="false"/>
                  <w:sz w:val="20"/>
                  <w:u w:val="single"/>
                </w:rPr>
                <w:t>Offer Letter, dated May 11, 2021, by and between the Company and Jacqueline Reses (incorporated by reference from our Current Report on Form 8-K filed on May 12, 2021).</w:t>
              </w:r>
            </w:hyperlink>
          </w:p>
        </w:tc>
      </w:tr>
      <w:tr>
        <w:trPr/>
        <w:tc>
          <w:tcPr>
            <w:tcW w:w="757"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pPr>
            <w:r>
              <w:rPr/>
              <w:t> </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31.1*</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388" w:type="dxa"/>
            <w:tcBorders/>
            <w:shd w:fill="FFFFFF" w:val="clear"/>
            <w:tcMar>
              <w:bottom w:w="0" w:type="dxa"/>
            </w:tcMar>
          </w:tcPr>
          <w:p>
            <w:pPr>
              <w:pStyle w:val="TableContents"/>
              <w:spacing w:before="0" w:after="0"/>
              <w:ind w:left="0" w:right="0" w:hanging="0"/>
              <w:rPr/>
            </w:pPr>
            <w:hyperlink w:anchor="wish-ex311_6.htm">
              <w:r>
                <w:rPr>
                  <w:rStyle w:val="InternetLink"/>
                  <w:rFonts w:ascii="Arial" w:hAnsi="Arial"/>
                  <w:b w:val="false"/>
                  <w:i w:val="false"/>
                  <w:caps w:val="false"/>
                  <w:smallCaps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7"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pPr>
            <w:r>
              <w:rPr/>
              <w:t> </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31.2*</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388" w:type="dxa"/>
            <w:tcBorders/>
            <w:shd w:fill="FFFFFF" w:val="clear"/>
            <w:tcMar>
              <w:bottom w:w="0" w:type="dxa"/>
            </w:tcMar>
          </w:tcPr>
          <w:p>
            <w:pPr>
              <w:pStyle w:val="TableContents"/>
              <w:spacing w:before="0" w:after="0"/>
              <w:ind w:left="0" w:right="0" w:hanging="0"/>
              <w:rPr/>
            </w:pPr>
            <w:hyperlink w:anchor="wish-ex312_8.htm">
              <w:r>
                <w:rPr>
                  <w:rStyle w:val="InternetLink"/>
                  <w:rFonts w:ascii="Arial" w:hAnsi="Arial"/>
                  <w:b w:val="false"/>
                  <w:i w:val="false"/>
                  <w:caps w:val="false"/>
                  <w:smallCaps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7"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pPr>
            <w:r>
              <w:rPr/>
              <w:t> </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31.3*</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pPr>
            <w:hyperlink w:anchor="wish-ex313_267.htm">
              <w:r>
                <w:rPr>
                  <w:rStyle w:val="InternetLink"/>
                  <w:rFonts w:ascii="Arial" w:hAnsi="Arial"/>
                  <w:b w:val="false"/>
                  <w:i w:val="false"/>
                  <w:caps w:val="false"/>
                  <w:smallCaps w:val="false"/>
                  <w:sz w:val="20"/>
                  <w:u w:val="single"/>
                </w:rPr>
                <w:t>Certification of Interim Co-Chief Financial Officer Pursuant to Rules 13a-14(a) and 15d-14(a) under the Securities Exchange Act of 1934, as Adopted Pursuant to Section 302 of the Sarbanes-Oxley Act of 2002.</w:t>
              </w:r>
            </w:hyperlink>
          </w:p>
        </w:tc>
      </w:tr>
      <w:tr>
        <w:trPr/>
        <w:tc>
          <w:tcPr>
            <w:tcW w:w="757"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pPr>
            <w:r>
              <w:rPr/>
              <w:t> </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32.1**</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388" w:type="dxa"/>
            <w:tcBorders/>
            <w:shd w:fill="FFFFFF" w:val="clear"/>
            <w:tcMar>
              <w:bottom w:w="0" w:type="dxa"/>
            </w:tcMar>
          </w:tcPr>
          <w:p>
            <w:pPr>
              <w:pStyle w:val="TableContents"/>
              <w:spacing w:before="0" w:after="0"/>
              <w:ind w:left="0" w:right="0" w:hanging="0"/>
              <w:rPr/>
            </w:pPr>
            <w:hyperlink w:anchor="wish-ex321_7.htm">
              <w:r>
                <w:rPr>
                  <w:rStyle w:val="InternetLink"/>
                  <w:rFonts w:ascii="Arial" w:hAnsi="Arial"/>
                  <w:b w:val="false"/>
                  <w:i w:val="false"/>
                  <w:caps w:val="false"/>
                  <w:smallCaps w:val="false"/>
                  <w:sz w:val="20"/>
                  <w:u w:val="single"/>
                </w:rPr>
                <w:t>Certification of Principal Executive Officer Pursuant to 18 U.S.C. Section 1350, as Adopted Pursuant to Section 906 of the Sarbanes-Oxley Act of 2002.</w:t>
              </w:r>
            </w:hyperlink>
          </w:p>
        </w:tc>
      </w:tr>
      <w:tr>
        <w:trPr/>
        <w:tc>
          <w:tcPr>
            <w:tcW w:w="757"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pPr>
            <w:r>
              <w:rPr/>
              <w:t> </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32.2**</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388" w:type="dxa"/>
            <w:tcBorders/>
            <w:shd w:fill="FFFFFF" w:val="clear"/>
            <w:tcMar>
              <w:bottom w:w="0" w:type="dxa"/>
            </w:tcMar>
          </w:tcPr>
          <w:p>
            <w:pPr>
              <w:pStyle w:val="TableContents"/>
              <w:spacing w:before="0" w:after="0"/>
              <w:ind w:left="0" w:right="0" w:hanging="0"/>
              <w:rPr/>
            </w:pPr>
            <w:hyperlink w:anchor="wish-ex322_9.htm">
              <w:r>
                <w:rPr>
                  <w:rStyle w:val="InternetLink"/>
                  <w:rFonts w:ascii="Arial" w:hAnsi="Arial"/>
                  <w:b w:val="false"/>
                  <w:i w:val="false"/>
                  <w:caps w:val="false"/>
                  <w:smallCaps w:val="false"/>
                  <w:sz w:val="20"/>
                  <w:u w:val="single"/>
                </w:rPr>
                <w:t>Certification of Principal Financial Officer Pursuant to 18 U.S.C. Section 1350, as Adopted Pursuant to Section 906 of the Sarbanes-Oxley Act of 2002.</w:t>
              </w:r>
            </w:hyperlink>
          </w:p>
        </w:tc>
      </w:tr>
      <w:tr>
        <w:trPr/>
        <w:tc>
          <w:tcPr>
            <w:tcW w:w="757"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pPr>
            <w:r>
              <w:rPr/>
              <w:t> </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32.3**</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pPr>
            <w:hyperlink w:anchor="wish-ex323_268.htm">
              <w:r>
                <w:rPr>
                  <w:rStyle w:val="InternetLink"/>
                  <w:rFonts w:ascii="Arial" w:hAnsi="Arial"/>
                  <w:b w:val="false"/>
                  <w:i w:val="false"/>
                  <w:caps w:val="false"/>
                  <w:smallCaps w:val="false"/>
                  <w:sz w:val="20"/>
                  <w:u w:val="single"/>
                </w:rPr>
                <w:t>Certification of Interim Co-Chief Financial Officer Pursuant to 18 U.S.C. Section 1350, as Adopted Pursuant to Section 906 of the Sarbanes-Oxley Act of 2002.</w:t>
              </w:r>
            </w:hyperlink>
          </w:p>
        </w:tc>
      </w:tr>
      <w:tr>
        <w:trPr/>
        <w:tc>
          <w:tcPr>
            <w:tcW w:w="757"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pPr>
            <w:r>
              <w:rPr/>
              <w:t> </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highlight w:val="white"/>
              </w:rPr>
            </w:pPr>
            <w:r>
              <w:rPr>
                <w:rFonts w:ascii="Arial" w:hAnsi="Arial"/>
                <w:b w:val="false"/>
                <w:i w:val="false"/>
                <w:caps w:val="false"/>
                <w:smallCaps w:val="false"/>
                <w:sz w:val="20"/>
                <w:highlight w:val="white"/>
              </w:rPr>
              <w:t>101.INS*</w:t>
            </w:r>
          </w:p>
        </w:tc>
        <w:tc>
          <w:tcPr>
            <w:tcW w:w="60" w:type="dxa"/>
            <w:tcBorders/>
            <w:shd w:fill="FFFFFF" w:val="clear"/>
            <w:tcMar>
              <w:bottom w:w="0" w:type="dxa"/>
            </w:tcMar>
          </w:tcPr>
          <w:p>
            <w:pPr>
              <w:pStyle w:val="TableContents"/>
              <w:spacing w:before="0" w:after="0"/>
              <w:ind w:left="0" w:right="0" w:hanging="0"/>
              <w:rPr>
                <w:caps w:val="false"/>
                <w:smallCaps w:val="false"/>
              </w:rPr>
            </w:pPr>
            <w:r>
              <w:rPr>
                <w:caps w:val="false"/>
                <w:smallCaps w:val="false"/>
              </w:rPr>
              <w:t> </w:t>
            </w:r>
          </w:p>
        </w:tc>
        <w:tc>
          <w:tcPr>
            <w:tcW w:w="9388"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Inline XBRL Instance Document – the instance document does not appear in the Interactive Data File because XBRL tags are embedded within the Inline XBRL document.</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highlight w:val="white"/>
              </w:rPr>
            </w:pPr>
            <w:r>
              <w:rPr>
                <w:rFonts w:ascii="Arial" w:hAnsi="Arial"/>
                <w:b w:val="false"/>
                <w:i w:val="false"/>
                <w:caps w:val="false"/>
                <w:smallCaps w:val="false"/>
                <w:sz w:val="20"/>
                <w:highlight w:val="white"/>
              </w:rPr>
              <w:t>101.SCH*</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Inline XBRL Taxonomy Extension Schema Document</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highlight w:val="white"/>
              </w:rPr>
            </w:pPr>
            <w:r>
              <w:rPr>
                <w:rFonts w:ascii="Arial" w:hAnsi="Arial"/>
                <w:b w:val="false"/>
                <w:i w:val="false"/>
                <w:caps w:val="false"/>
                <w:smallCaps w:val="false"/>
                <w:sz w:val="20"/>
                <w:highlight w:val="white"/>
              </w:rPr>
              <w:t>101.CAL*</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Inline XBRL Taxonomy Extension Calculation Linkbase Document</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highlight w:val="white"/>
              </w:rPr>
            </w:pPr>
            <w:r>
              <w:rPr>
                <w:rFonts w:ascii="Arial" w:hAnsi="Arial"/>
                <w:b w:val="false"/>
                <w:i w:val="false"/>
                <w:caps w:val="false"/>
                <w:smallCaps w:val="false"/>
                <w:sz w:val="20"/>
                <w:highlight w:val="white"/>
              </w:rPr>
              <w:t>101.DEF*</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Inline XBRL Taxonomy Extension Definition Linkbase Document</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highlight w:val="white"/>
              </w:rPr>
            </w:pPr>
            <w:r>
              <w:rPr>
                <w:rFonts w:ascii="Arial" w:hAnsi="Arial"/>
                <w:b w:val="false"/>
                <w:i w:val="false"/>
                <w:caps w:val="false"/>
                <w:smallCaps w:val="false"/>
                <w:sz w:val="20"/>
                <w:highlight w:val="white"/>
              </w:rPr>
              <w:t>101.LAB*</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Inline XBRL Taxonomy Extension Label Linkbase Document</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highlight w:val="white"/>
              </w:rPr>
            </w:pPr>
            <w:r>
              <w:rPr>
                <w:rFonts w:ascii="Arial" w:hAnsi="Arial"/>
                <w:b w:val="false"/>
                <w:i w:val="false"/>
                <w:caps w:val="false"/>
                <w:smallCaps w:val="false"/>
                <w:sz w:val="20"/>
                <w:highlight w:val="white"/>
              </w:rPr>
              <w:t>101.PRE*</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Inline XBRL Taxonomy Extension Presentation Linkbase Document</w:t>
            </w:r>
          </w:p>
        </w:tc>
      </w:tr>
      <w:tr>
        <w:trPr/>
        <w:tc>
          <w:tcPr>
            <w:tcW w:w="757"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highlight w:val="white"/>
              </w:rPr>
            </w:pPr>
            <w:r>
              <w:rPr>
                <w:rFonts w:ascii="Arial" w:hAnsi="Arial"/>
                <w:b w:val="false"/>
                <w:i w:val="false"/>
                <w:caps w:val="false"/>
                <w:smallCaps w:val="false"/>
                <w:sz w:val="20"/>
                <w:highlight w:val="white"/>
              </w:rPr>
              <w:t>104*</w:t>
            </w:r>
          </w:p>
        </w:tc>
        <w:tc>
          <w:tcPr>
            <w:tcW w:w="60" w:type="dxa"/>
            <w:tcBorders/>
            <w:shd w:fill="FFFFFF" w:val="clear"/>
            <w:tcMar>
              <w:bottom w:w="0" w:type="dxa"/>
            </w:tcMar>
          </w:tcPr>
          <w:p>
            <w:pPr>
              <w:pStyle w:val="TableContents"/>
              <w:spacing w:before="0" w:after="0"/>
              <w:ind w:left="0" w:right="0" w:hanging="0"/>
              <w:rPr/>
            </w:pPr>
            <w:r>
              <w:rPr/>
              <w:t> </w:t>
            </w:r>
          </w:p>
        </w:tc>
        <w:tc>
          <w:tcPr>
            <w:tcW w:w="9388" w:type="dxa"/>
            <w:tcBorders/>
            <w:shd w:fill="FFFFFF" w:val="clear"/>
            <w:tcMar>
              <w:bottom w:w="0" w:type="dxa"/>
            </w:tcMar>
          </w:tcPr>
          <w:p>
            <w:pPr>
              <w:pStyle w:val="TableContents"/>
              <w:spacing w:before="0" w:after="0"/>
              <w:ind w:left="0" w:right="0" w:hanging="0"/>
              <w:rPr>
                <w:rFonts w:ascii="Arial" w:hAnsi="Arial"/>
                <w:b w:val="false"/>
                <w:i w:val="false"/>
                <w:caps w:val="false"/>
                <w:smallCaps w:val="false"/>
                <w:sz w:val="20"/>
              </w:rPr>
            </w:pPr>
            <w:r>
              <w:rPr>
                <w:rFonts w:ascii="Arial" w:hAnsi="Arial"/>
                <w:b w:val="false"/>
                <w:i w:val="false"/>
                <w:caps w:val="false"/>
                <w:smallCaps w:val="false"/>
                <w:sz w:val="20"/>
              </w:rPr>
              <w:t>Cover Page Interactive Data File (embedded within the Inline XBRL document)</w:t>
            </w:r>
          </w:p>
        </w:tc>
      </w:tr>
    </w:tbl>
    <w:p>
      <w:pPr>
        <w:pStyle w:val="TextBody"/>
        <w:pBdr>
          <w:bottom w:val="single" w:sz="6" w:space="1" w:color="000000"/>
        </w:pBdr>
        <w:spacing w:before="0" w:after="0"/>
        <w:rPr/>
      </w:pPr>
      <w:r>
        <w:rPr/>
        <w:t> </w:t>
      </w:r>
    </w:p>
    <w:tbl>
      <w:tblPr>
        <w:tblW w:w="1375" w:type="dxa"/>
        <w:jc w:val="left"/>
        <w:tblInd w:w="0" w:type="dxa"/>
        <w:tblCellMar>
          <w:top w:w="0" w:type="dxa"/>
          <w:left w:w="0" w:type="dxa"/>
          <w:bottom w:w="0" w:type="dxa"/>
          <w:right w:w="0" w:type="dxa"/>
        </w:tblCellMar>
      </w:tblPr>
      <w:tblGrid>
        <w:gridCol w:w="95"/>
        <w:gridCol w:w="1280"/>
      </w:tblGrid>
      <w:tr>
        <w:trPr/>
        <w:tc>
          <w:tcPr>
            <w:tcW w:w="95" w:type="dxa"/>
            <w:tcBorders/>
            <w:shd w:fill="auto" w:val="clear"/>
          </w:tcPr>
          <w:p>
            <w:pPr>
              <w:pStyle w:val="TableContents"/>
              <w:spacing w:before="120" w:after="0"/>
              <w:jc w:val="both"/>
              <w:rPr>
                <w:rFonts w:ascii="Arial" w:hAnsi="Arial"/>
                <w:b w:val="false"/>
                <w:i w:val="false"/>
                <w:caps w:val="false"/>
                <w:smallCaps w:val="false"/>
                <w:sz w:val="20"/>
              </w:rPr>
            </w:pPr>
            <w:r>
              <w:rPr>
                <w:rFonts w:ascii="Arial" w:hAnsi="Arial"/>
                <w:b w:val="false"/>
                <w:i w:val="false"/>
                <w:caps w:val="false"/>
                <w:smallCaps w:val="false"/>
                <w:sz w:val="20"/>
              </w:rPr>
              <w:t>*</w:t>
            </w:r>
          </w:p>
        </w:tc>
        <w:tc>
          <w:tcPr>
            <w:tcW w:w="1280" w:type="dxa"/>
            <w:tcBorders/>
            <w:shd w:fill="auto" w:val="clear"/>
          </w:tcPr>
          <w:p>
            <w:pPr>
              <w:pStyle w:val="TableContents"/>
              <w:spacing w:before="120" w:after="0"/>
              <w:jc w:val="both"/>
              <w:rPr>
                <w:rFonts w:ascii="Arial" w:hAnsi="Arial"/>
                <w:b w:val="false"/>
                <w:i w:val="false"/>
                <w:caps w:val="false"/>
                <w:smallCaps w:val="false"/>
                <w:sz w:val="20"/>
              </w:rPr>
            </w:pPr>
            <w:r>
              <w:rPr>
                <w:rFonts w:ascii="Arial" w:hAnsi="Arial"/>
                <w:b w:val="false"/>
                <w:i w:val="false"/>
                <w:caps w:val="false"/>
                <w:smallCaps w:val="false"/>
                <w:sz w:val="20"/>
              </w:rPr>
              <w:t>Filed herewith.</w:t>
            </w:r>
          </w:p>
        </w:tc>
      </w:tr>
    </w:tbl>
    <w:tbl>
      <w:tblPr>
        <w:tblW w:w="1885" w:type="dxa"/>
        <w:jc w:val="left"/>
        <w:tblInd w:w="0" w:type="dxa"/>
        <w:tblCellMar>
          <w:top w:w="0" w:type="dxa"/>
          <w:left w:w="0" w:type="dxa"/>
          <w:bottom w:w="0" w:type="dxa"/>
          <w:right w:w="0" w:type="dxa"/>
        </w:tblCellMar>
      </w:tblPr>
      <w:tblGrid>
        <w:gridCol w:w="170"/>
        <w:gridCol w:w="1715"/>
      </w:tblGrid>
      <w:tr>
        <w:trPr/>
        <w:tc>
          <w:tcPr>
            <w:tcW w:w="170" w:type="dxa"/>
            <w:tcBorders/>
            <w:shd w:fill="auto" w:val="clear"/>
          </w:tcPr>
          <w:p>
            <w:pPr>
              <w:pStyle w:val="TableContents"/>
              <w:spacing w:before="120" w:after="0"/>
              <w:jc w:val="both"/>
              <w:rPr>
                <w:rFonts w:ascii="Arial" w:hAnsi="Arial"/>
                <w:b w:val="false"/>
                <w:i w:val="false"/>
                <w:caps w:val="false"/>
                <w:smallCaps w:val="false"/>
                <w:sz w:val="20"/>
              </w:rPr>
            </w:pPr>
            <w:r>
              <w:rPr>
                <w:rFonts w:ascii="Arial" w:hAnsi="Arial"/>
                <w:b w:val="false"/>
                <w:i w:val="false"/>
                <w:caps w:val="false"/>
                <w:smallCaps w:val="false"/>
                <w:sz w:val="20"/>
              </w:rPr>
              <w:t>**</w:t>
            </w:r>
          </w:p>
        </w:tc>
        <w:tc>
          <w:tcPr>
            <w:tcW w:w="1715" w:type="dxa"/>
            <w:tcBorders/>
            <w:shd w:fill="auto" w:val="clear"/>
          </w:tcPr>
          <w:p>
            <w:pPr>
              <w:pStyle w:val="TableContents"/>
              <w:spacing w:before="120" w:after="0"/>
              <w:jc w:val="both"/>
              <w:rPr>
                <w:rFonts w:ascii="Arial" w:hAnsi="Arial"/>
                <w:b w:val="false"/>
                <w:i w:val="false"/>
                <w:caps w:val="false"/>
                <w:smallCaps w:val="false"/>
                <w:sz w:val="20"/>
              </w:rPr>
            </w:pPr>
            <w:r>
              <w:rPr>
                <w:rFonts w:ascii="Arial" w:hAnsi="Arial"/>
                <w:b w:val="false"/>
                <w:i w:val="false"/>
                <w:caps w:val="false"/>
                <w:smallCaps w:val="false"/>
                <w:sz w:val="20"/>
              </w:rPr>
              <w:t>Furnished herewith.</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Arial" w:hAnsi="Arial"/>
          <w:b/>
          <w:i w:val="false"/>
          <w:caps w:val="false"/>
          <w:smallCaps w:val="false"/>
          <w:sz w:val="20"/>
        </w:rPr>
      </w:pPr>
      <w:bookmarkStart w:id="19" w:name="Signatures"/>
      <w:bookmarkEnd w:id="19"/>
      <w:r>
        <w:rPr>
          <w:rFonts w:ascii="Arial" w:hAnsi="Arial"/>
          <w:b/>
          <w:i w:val="false"/>
          <w:caps w:val="false"/>
          <w:smallCaps w:val="false"/>
          <w:sz w:val="20"/>
        </w:rPr>
        <w:t>SIGNATURES</w:t>
      </w:r>
    </w:p>
    <w:p>
      <w:pPr>
        <w:pStyle w:val="TextBody"/>
        <w:spacing w:before="240" w:after="0"/>
        <w:jc w:val="both"/>
        <w:rPr>
          <w:rFonts w:ascii="Arial" w:hAnsi="Arial"/>
          <w:b w:val="false"/>
          <w:i w:val="false"/>
          <w:caps w:val="false"/>
          <w:smallCaps w:val="false"/>
          <w:sz w:val="20"/>
        </w:rPr>
      </w:pPr>
      <w:r>
        <w:rPr>
          <w:rFonts w:ascii="Arial" w:hAnsi="Arial"/>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both"/>
        <w:rPr/>
      </w:pPr>
      <w:r>
        <w:rPr/>
        <w:t> </w:t>
      </w:r>
    </w:p>
    <w:tbl>
      <w:tblPr>
        <w:tblW w:w="5265" w:type="dxa"/>
        <w:jc w:val="left"/>
        <w:tblInd w:w="0" w:type="dxa"/>
        <w:tblCellMar>
          <w:top w:w="0" w:type="dxa"/>
          <w:left w:w="0" w:type="dxa"/>
          <w:bottom w:w="0" w:type="dxa"/>
          <w:right w:w="0" w:type="dxa"/>
        </w:tblCellMar>
      </w:tblPr>
      <w:tblGrid>
        <w:gridCol w:w="1970"/>
        <w:gridCol w:w="60"/>
        <w:gridCol w:w="320"/>
        <w:gridCol w:w="2915"/>
      </w:tblGrid>
      <w:tr>
        <w:trPr/>
        <w:tc>
          <w:tcPr>
            <w:tcW w:w="197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35" w:type="dxa"/>
            <w:gridSpan w:val="2"/>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ContextLogic Inc. </w:t>
            </w:r>
          </w:p>
        </w:tc>
      </w:tr>
      <w:tr>
        <w:trPr/>
        <w:tc>
          <w:tcPr>
            <w:tcW w:w="197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1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70" w:type="dxa"/>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August 12, 2021</w:t>
            </w:r>
          </w:p>
        </w:tc>
        <w:tc>
          <w:tcPr>
            <w:tcW w:w="60" w:type="dxa"/>
            <w:tcBorders/>
            <w:shd w:fill="FFFFFF" w:val="clear"/>
            <w:vAlign w:val="bottom"/>
          </w:tcPr>
          <w:p>
            <w:pPr>
              <w:pStyle w:val="TableContents"/>
              <w:spacing w:before="0" w:after="0"/>
              <w:ind w:left="0" w:right="0" w:hanging="0"/>
              <w:rPr/>
            </w:pPr>
            <w:r>
              <w:rPr/>
              <w:t> </w:t>
            </w:r>
          </w:p>
        </w:tc>
        <w:tc>
          <w:tcPr>
            <w:tcW w:w="320" w:type="dxa"/>
            <w:tcBorders/>
            <w:shd w:fill="FFFFFF" w:val="clear"/>
            <w:vAlign w:val="cente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2915" w:type="dxa"/>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/s/ Brett Just</w:t>
            </w:r>
          </w:p>
        </w:tc>
      </w:tr>
      <w:tr>
        <w:trPr/>
        <w:tc>
          <w:tcPr>
            <w:tcW w:w="19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915" w:type="dxa"/>
            <w:tcBorders>
              <w:top w:val="single" w:sz="6" w:space="0" w:color="000000"/>
            </w:tcBorders>
            <w:shd w:fill="FFFFFF" w:val="clear"/>
            <w:tcMar>
              <w:top w:w="28"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Brett Just</w:t>
            </w:r>
          </w:p>
        </w:tc>
      </w:tr>
      <w:tr>
        <w:trPr/>
        <w:tc>
          <w:tcPr>
            <w:tcW w:w="197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15" w:type="dxa"/>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Interim Co-Chief Financial Officer</w:t>
            </w:r>
          </w:p>
        </w:tc>
      </w:tr>
      <w:tr>
        <w:trPr/>
        <w:tc>
          <w:tcPr>
            <w:tcW w:w="1970" w:type="dxa"/>
            <w:tcBorders/>
            <w:shd w:fill="FFFFFF" w:val="clear"/>
            <w:vAlign w:val="center"/>
          </w:tcPr>
          <w:p>
            <w:pPr>
              <w:pStyle w:val="TableContents"/>
              <w:spacing w:before="0" w:after="0"/>
              <w:ind w:left="0" w:right="0" w:hanging="0"/>
              <w:rPr/>
            </w:pPr>
            <w:r>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15" w:type="dxa"/>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rPr>
            </w:pPr>
            <w:r>
              <w:rPr>
                <w:rFonts w:ascii="Arial" w:hAnsi="Arial"/>
                <w:b w:val="false"/>
                <w:i w:val="false"/>
                <w:caps w:val="false"/>
                <w:smallCaps w:val="false"/>
                <w:color w:val="000000"/>
                <w:sz w:val="20"/>
              </w:rPr>
              <w:t>(Principal Financial Officer)</w:t>
            </w:r>
          </w:p>
        </w:tc>
      </w:tr>
    </w:tbl>
    <w:p>
      <w:pPr>
        <w:pStyle w:val="TextBody"/>
        <w:spacing w:before="0" w:after="0"/>
        <w:rPr/>
      </w:pPr>
      <w:r>
        <w:rPr/>
        <w:t> </w:t>
      </w:r>
    </w:p>
    <w:p>
      <w:pPr>
        <w:pStyle w:val="TextBody"/>
        <w:spacing w:before="240" w:after="0"/>
        <w:jc w:val="center"/>
        <w:rPr>
          <w:rFonts w:ascii="Arial" w:hAnsi="Arial"/>
          <w:b w:val="false"/>
          <w:i w:val="false"/>
          <w:caps w:val="false"/>
          <w:smallCaps w:val="false"/>
          <w:sz w:val="20"/>
        </w:rPr>
      </w:pPr>
      <w:r>
        <w:rPr>
          <w:rFonts w:ascii="Arial" w:hAnsi="Arial"/>
          <w:b w:val="false"/>
          <w:i w:val="false"/>
          <w:caps w:val="false"/>
          <w:smallCaps w:val="false"/>
          <w:sz w:val="20"/>
        </w:rPr>
        <w:t>33</w:t>
      </w:r>
      <w:r>
        <w:br w:type="page"/>
      </w:r>
    </w:p>
    <w:p>
      <w:pPr>
        <w:pStyle w:val="TextBody"/>
        <w:spacing w:before="0" w:after="0"/>
        <w:rPr/>
      </w:pPr>
      <w:bookmarkStart w:id="20" w:name="wish-ex311_6.htm"/>
      <w:bookmarkStart w:id="21" w:name="kswishex311_6"/>
      <w:bookmarkEnd w:id="20"/>
      <w:bookmarkEnd w:id="21"/>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31.1</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 OF PRINCIPAL EXECUTIVE OFFICER</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PURSUANT TO SECTION 302 OF THE SARBANES-OXLEY ACT OF 2002</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 </w:t>
      </w:r>
      <w:r>
        <w:rPr>
          <w:rFonts w:ascii="Arial" w:hAnsi="Arial"/>
          <w:b w:val="false"/>
          <w:i w:val="false"/>
          <w:caps w:val="false"/>
          <w:smallCaps w:val="false"/>
          <w:color w:val="000000"/>
          <w:sz w:val="20"/>
        </w:rPr>
        <w:t>Piotr Szulczewski</w:t>
      </w:r>
      <w:r>
        <w:rPr>
          <w:rFonts w:ascii="Arial" w:hAnsi="Arial"/>
          <w:b w:val="false"/>
          <w:i w:val="false"/>
          <w:caps w:val="false"/>
          <w:smallCaps w:val="false"/>
          <w:sz w:val="20"/>
        </w:rPr>
        <w:t>, certify that:</w:t>
      </w:r>
    </w:p>
    <w:tbl>
      <w:tblPr>
        <w:tblW w:w="7900" w:type="dxa"/>
        <w:jc w:val="left"/>
        <w:tblInd w:w="0" w:type="dxa"/>
        <w:tblCellMar>
          <w:top w:w="0" w:type="dxa"/>
          <w:left w:w="0" w:type="dxa"/>
          <w:bottom w:w="0" w:type="dxa"/>
          <w:right w:w="0" w:type="dxa"/>
        </w:tblCellMar>
      </w:tblPr>
      <w:tblGrid>
        <w:gridCol w:w="200"/>
        <w:gridCol w:w="7700"/>
      </w:tblGrid>
      <w:tr>
        <w:trPr/>
        <w:tc>
          <w:tcPr>
            <w:tcW w:w="20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70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I have reviewed this Quarterly Report on Form 10-Q of ContextLogic Inc.;</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8"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6"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1"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60"/>
        <w:gridCol w:w="202"/>
        <w:gridCol w:w="9943"/>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2"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43"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95" w:type="dxa"/>
        <w:jc w:val="left"/>
        <w:tblInd w:w="0" w:type="dxa"/>
        <w:tblCellMar>
          <w:top w:w="0" w:type="dxa"/>
          <w:left w:w="0" w:type="dxa"/>
          <w:bottom w:w="0" w:type="dxa"/>
          <w:right w:w="0" w:type="dxa"/>
        </w:tblCellMar>
      </w:tblPr>
      <w:tblGrid>
        <w:gridCol w:w="60"/>
        <w:gridCol w:w="245"/>
        <w:gridCol w:w="8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4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89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[Omitted];</w:t>
            </w:r>
          </w:p>
        </w:tc>
      </w:tr>
    </w:tbl>
    <w:tbl>
      <w:tblPr>
        <w:tblW w:w="10205" w:type="dxa"/>
        <w:jc w:val="left"/>
        <w:tblInd w:w="0" w:type="dxa"/>
        <w:tblCellMar>
          <w:top w:w="0" w:type="dxa"/>
          <w:left w:w="0" w:type="dxa"/>
          <w:bottom w:w="0" w:type="dxa"/>
          <w:right w:w="0" w:type="dxa"/>
        </w:tblCellMar>
      </w:tblPr>
      <w:tblGrid>
        <w:gridCol w:w="60"/>
        <w:gridCol w:w="208"/>
        <w:gridCol w:w="993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8"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(c)</w:t>
            </w:r>
          </w:p>
        </w:tc>
        <w:tc>
          <w:tcPr>
            <w:tcW w:w="9937"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3"/>
        <w:gridCol w:w="9942"/>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3"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w:t>
            </w:r>
          </w:p>
        </w:tc>
        <w:tc>
          <w:tcPr>
            <w:tcW w:w="9942"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7"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1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3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4"/>
        <w:gridCol w:w="992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4"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9921"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5865" w:type="dxa"/>
        <w:jc w:val="center"/>
        <w:tblInd w:w="0" w:type="dxa"/>
        <w:tblCellMar>
          <w:top w:w="0" w:type="dxa"/>
          <w:left w:w="0" w:type="dxa"/>
          <w:bottom w:w="28" w:type="dxa"/>
          <w:right w:w="0" w:type="dxa"/>
        </w:tblCellMar>
      </w:tblPr>
      <w:tblGrid>
        <w:gridCol w:w="1970"/>
        <w:gridCol w:w="60"/>
        <w:gridCol w:w="320"/>
        <w:gridCol w:w="3515"/>
      </w:tblGrid>
      <w:tr>
        <w:trPr/>
        <w:tc>
          <w:tcPr>
            <w:tcW w:w="197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351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Piotr Szulczewski</w:t>
            </w:r>
          </w:p>
        </w:tc>
      </w:tr>
      <w:tr>
        <w:trPr/>
        <w:tc>
          <w:tcPr>
            <w:tcW w:w="19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5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Piotr Szulczewski</w:t>
            </w:r>
          </w:p>
        </w:tc>
      </w:tr>
      <w:tr>
        <w:trPr/>
        <w:tc>
          <w:tcPr>
            <w:tcW w:w="19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Chief Executive Officer and Chairperson</w:t>
            </w:r>
          </w:p>
        </w:tc>
      </w:tr>
      <w:tr>
        <w:trPr/>
        <w:tc>
          <w:tcPr>
            <w:tcW w:w="197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320" w:type="dxa"/>
            <w:tcBorders/>
            <w:shd w:fill="FFFFFF" w:val="clear"/>
            <w:tcMar>
              <w:bottom w:w="0" w:type="dxa"/>
            </w:tcMar>
            <w:vAlign w:val="bottom"/>
          </w:tcPr>
          <w:p>
            <w:pPr>
              <w:pStyle w:val="TableContents"/>
              <w:spacing w:before="0" w:after="0"/>
              <w:ind w:left="0" w:right="0" w:hanging="0"/>
              <w:rPr/>
            </w:pPr>
            <w:r>
              <w:rPr/>
              <w:t> </w:t>
            </w:r>
          </w:p>
        </w:tc>
        <w:tc>
          <w:tcPr>
            <w:tcW w:w="3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(Principal Executive Officer)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22" w:name="wish-ex312_8.htm"/>
      <w:bookmarkStart w:id="23" w:name="kswishex312_8"/>
      <w:bookmarkEnd w:id="22"/>
      <w:bookmarkEnd w:id="23"/>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31.2</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 OF PRINCIPAL FINANCIAL OFFICER</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PURSUANT TO SECTION 302 OF THE SARBANES-OXLEY ACT OF 2002</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 </w:t>
      </w:r>
      <w:r>
        <w:rPr>
          <w:rFonts w:ascii="Arial" w:hAnsi="Arial"/>
          <w:b w:val="false"/>
          <w:i w:val="false"/>
          <w:caps w:val="false"/>
          <w:smallCaps w:val="false"/>
          <w:color w:val="000000"/>
          <w:sz w:val="20"/>
        </w:rPr>
        <w:t>Brett Just</w:t>
      </w:r>
      <w:r>
        <w:rPr>
          <w:rFonts w:ascii="Arial" w:hAnsi="Arial"/>
          <w:b w:val="false"/>
          <w:i w:val="false"/>
          <w:caps w:val="false"/>
          <w:smallCaps w:val="false"/>
          <w:sz w:val="20"/>
        </w:rPr>
        <w:t>, certify that:</w:t>
      </w:r>
    </w:p>
    <w:tbl>
      <w:tblPr>
        <w:tblW w:w="7900" w:type="dxa"/>
        <w:jc w:val="left"/>
        <w:tblInd w:w="0" w:type="dxa"/>
        <w:tblCellMar>
          <w:top w:w="0" w:type="dxa"/>
          <w:left w:w="0" w:type="dxa"/>
          <w:bottom w:w="0" w:type="dxa"/>
          <w:right w:w="0" w:type="dxa"/>
        </w:tblCellMar>
      </w:tblPr>
      <w:tblGrid>
        <w:gridCol w:w="200"/>
        <w:gridCol w:w="7700"/>
      </w:tblGrid>
      <w:tr>
        <w:trPr/>
        <w:tc>
          <w:tcPr>
            <w:tcW w:w="20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70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I have reviewed this Quarterly Report on Form 10-Q of ContextLogic Inc.;</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8"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6"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1"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60"/>
        <w:gridCol w:w="202"/>
        <w:gridCol w:w="9943"/>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2"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43"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95" w:type="dxa"/>
        <w:jc w:val="left"/>
        <w:tblInd w:w="0" w:type="dxa"/>
        <w:tblCellMar>
          <w:top w:w="0" w:type="dxa"/>
          <w:left w:w="0" w:type="dxa"/>
          <w:bottom w:w="0" w:type="dxa"/>
          <w:right w:w="0" w:type="dxa"/>
        </w:tblCellMar>
      </w:tblPr>
      <w:tblGrid>
        <w:gridCol w:w="60"/>
        <w:gridCol w:w="245"/>
        <w:gridCol w:w="8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4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89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[Omitted];</w:t>
            </w:r>
          </w:p>
        </w:tc>
      </w:tr>
    </w:tbl>
    <w:tbl>
      <w:tblPr>
        <w:tblW w:w="10205" w:type="dxa"/>
        <w:jc w:val="left"/>
        <w:tblInd w:w="0" w:type="dxa"/>
        <w:tblCellMar>
          <w:top w:w="0" w:type="dxa"/>
          <w:left w:w="0" w:type="dxa"/>
          <w:bottom w:w="0" w:type="dxa"/>
          <w:right w:w="0" w:type="dxa"/>
        </w:tblCellMar>
      </w:tblPr>
      <w:tblGrid>
        <w:gridCol w:w="60"/>
        <w:gridCol w:w="208"/>
        <w:gridCol w:w="993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8"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(c)</w:t>
            </w:r>
          </w:p>
        </w:tc>
        <w:tc>
          <w:tcPr>
            <w:tcW w:w="9937"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3"/>
        <w:gridCol w:w="9942"/>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3"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w:t>
            </w:r>
          </w:p>
        </w:tc>
        <w:tc>
          <w:tcPr>
            <w:tcW w:w="9942"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7"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1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3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4"/>
        <w:gridCol w:w="992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4"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9921"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5265" w:type="dxa"/>
        <w:jc w:val="center"/>
        <w:tblInd w:w="0" w:type="dxa"/>
        <w:tblCellMar>
          <w:top w:w="0" w:type="dxa"/>
          <w:left w:w="0" w:type="dxa"/>
          <w:bottom w:w="28" w:type="dxa"/>
          <w:right w:w="0" w:type="dxa"/>
        </w:tblCellMar>
      </w:tblPr>
      <w:tblGrid>
        <w:gridCol w:w="1970"/>
        <w:gridCol w:w="60"/>
        <w:gridCol w:w="320"/>
        <w:gridCol w:w="2915"/>
      </w:tblGrid>
      <w:tr>
        <w:trPr/>
        <w:tc>
          <w:tcPr>
            <w:tcW w:w="197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291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Brett Just</w:t>
            </w:r>
          </w:p>
        </w:tc>
      </w:tr>
      <w:tr>
        <w:trPr/>
        <w:tc>
          <w:tcPr>
            <w:tcW w:w="19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9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Brett Just</w:t>
            </w:r>
          </w:p>
        </w:tc>
      </w:tr>
      <w:tr>
        <w:trPr/>
        <w:tc>
          <w:tcPr>
            <w:tcW w:w="19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Interim Co-Chief Financial Officer</w:t>
            </w:r>
          </w:p>
        </w:tc>
      </w:tr>
      <w:tr>
        <w:trPr/>
        <w:tc>
          <w:tcPr>
            <w:tcW w:w="197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320" w:type="dxa"/>
            <w:tcBorders/>
            <w:shd w:fill="FFFFFF" w:val="clear"/>
            <w:tcMar>
              <w:bottom w:w="0" w:type="dxa"/>
            </w:tcMar>
            <w:vAlign w:val="bottom"/>
          </w:tcPr>
          <w:p>
            <w:pPr>
              <w:pStyle w:val="TableContents"/>
              <w:spacing w:before="0" w:after="0"/>
              <w:ind w:left="0" w:right="0" w:hanging="0"/>
              <w:rPr/>
            </w:pPr>
            <w:r>
              <w:rPr/>
              <w:t> </w:t>
            </w:r>
          </w:p>
        </w:tc>
        <w:tc>
          <w:tcPr>
            <w:tcW w:w="29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(Principal Financial Officer)</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caps w:val="false"/>
          <w:smallCaps w:val="false"/>
        </w:rPr>
      </w:pPr>
      <w:r>
        <w:rPr>
          <w:caps w:val="false"/>
          <w:smallCaps w:val="false"/>
        </w:rPr>
        <w:t> </w:t>
      </w:r>
    </w:p>
    <w:p>
      <w:pPr>
        <w:pStyle w:val="TextBody"/>
        <w:spacing w:before="240" w:after="0"/>
        <w:rPr/>
      </w:pPr>
      <w:r>
        <w:rPr/>
        <w:t> </w:t>
      </w:r>
      <w:r>
        <w:br w:type="page"/>
      </w:r>
    </w:p>
    <w:p>
      <w:pPr>
        <w:pStyle w:val="TextBody"/>
        <w:spacing w:before="0" w:after="0"/>
        <w:rPr/>
      </w:pPr>
      <w:bookmarkStart w:id="24" w:name="wish-ex313_267.htm"/>
      <w:bookmarkStart w:id="25" w:name="kswishex313_267"/>
      <w:bookmarkEnd w:id="24"/>
      <w:bookmarkEnd w:id="25"/>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31.3</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 OF PRINCIPAL FINANCIAL OFFICER</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PURSUANT TO SECTION 302 OF THE SARBANES-OXLEY ACT OF 2002</w:t>
      </w:r>
    </w:p>
    <w:p>
      <w:pPr>
        <w:pStyle w:val="TextBody"/>
        <w:spacing w:before="120" w:after="0"/>
        <w:rPr>
          <w:rFonts w:ascii="Arial" w:hAnsi="Arial"/>
          <w:b w:val="false"/>
          <w:i w:val="false"/>
          <w:caps w:val="false"/>
          <w:smallCaps w:val="false"/>
          <w:sz w:val="20"/>
        </w:rPr>
      </w:pPr>
      <w:r>
        <w:rPr>
          <w:rFonts w:ascii="Arial" w:hAnsi="Arial"/>
          <w:b w:val="false"/>
          <w:i w:val="false"/>
          <w:caps w:val="false"/>
          <w:smallCaps w:val="false"/>
          <w:sz w:val="20"/>
        </w:rPr>
        <w:t xml:space="preserve">I, </w:t>
      </w:r>
      <w:r>
        <w:rPr>
          <w:rFonts w:ascii="Arial" w:hAnsi="Arial"/>
          <w:b w:val="false"/>
          <w:i w:val="false"/>
          <w:caps w:val="false"/>
          <w:smallCaps w:val="false"/>
          <w:color w:val="000000"/>
          <w:sz w:val="20"/>
        </w:rPr>
        <w:t>Jennifer Oliver</w:t>
      </w:r>
      <w:r>
        <w:rPr>
          <w:rFonts w:ascii="Arial" w:hAnsi="Arial"/>
          <w:b w:val="false"/>
          <w:i w:val="false"/>
          <w:caps w:val="false"/>
          <w:smallCaps w:val="false"/>
          <w:sz w:val="20"/>
        </w:rPr>
        <w:t>, certify that:</w:t>
      </w:r>
    </w:p>
    <w:tbl>
      <w:tblPr>
        <w:tblW w:w="7900" w:type="dxa"/>
        <w:jc w:val="left"/>
        <w:tblInd w:w="0" w:type="dxa"/>
        <w:tblCellMar>
          <w:top w:w="0" w:type="dxa"/>
          <w:left w:w="0" w:type="dxa"/>
          <w:bottom w:w="0" w:type="dxa"/>
          <w:right w:w="0" w:type="dxa"/>
        </w:tblCellMar>
      </w:tblPr>
      <w:tblGrid>
        <w:gridCol w:w="200"/>
        <w:gridCol w:w="7700"/>
      </w:tblGrid>
      <w:tr>
        <w:trPr/>
        <w:tc>
          <w:tcPr>
            <w:tcW w:w="20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7700"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I have reviewed this Quarterly Report on Form 10-Q of ContextLogic Inc.;</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8"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6"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1"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60"/>
        <w:gridCol w:w="202"/>
        <w:gridCol w:w="9943"/>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2"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43"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95" w:type="dxa"/>
        <w:jc w:val="left"/>
        <w:tblInd w:w="0" w:type="dxa"/>
        <w:tblCellMar>
          <w:top w:w="0" w:type="dxa"/>
          <w:left w:w="0" w:type="dxa"/>
          <w:bottom w:w="0" w:type="dxa"/>
          <w:right w:w="0" w:type="dxa"/>
        </w:tblCellMar>
      </w:tblPr>
      <w:tblGrid>
        <w:gridCol w:w="60"/>
        <w:gridCol w:w="245"/>
        <w:gridCol w:w="89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4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89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[Omitted];</w:t>
            </w:r>
          </w:p>
        </w:tc>
      </w:tr>
    </w:tbl>
    <w:tbl>
      <w:tblPr>
        <w:tblW w:w="10205" w:type="dxa"/>
        <w:jc w:val="left"/>
        <w:tblInd w:w="0" w:type="dxa"/>
        <w:tblCellMar>
          <w:top w:w="0" w:type="dxa"/>
          <w:left w:w="0" w:type="dxa"/>
          <w:bottom w:w="0" w:type="dxa"/>
          <w:right w:w="0" w:type="dxa"/>
        </w:tblCellMar>
      </w:tblPr>
      <w:tblGrid>
        <w:gridCol w:w="60"/>
        <w:gridCol w:w="208"/>
        <w:gridCol w:w="993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8"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(c)</w:t>
            </w:r>
          </w:p>
        </w:tc>
        <w:tc>
          <w:tcPr>
            <w:tcW w:w="9937"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3"/>
        <w:gridCol w:w="9942"/>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3"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w:t>
            </w:r>
          </w:p>
        </w:tc>
        <w:tc>
          <w:tcPr>
            <w:tcW w:w="9942"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7" w:type="dxa"/>
            <w:tcBorders/>
            <w:shd w:fill="auto" w:val="clear"/>
          </w:tcPr>
          <w:p>
            <w:pPr>
              <w:pStyle w:val="TableContents"/>
              <w:spacing w:before="120" w:after="0"/>
              <w:jc w:val="left"/>
              <w:rPr>
                <w:rFonts w:ascii="Arial" w:hAnsi="Arial"/>
                <w:b w:val="false"/>
                <w:i w:val="false"/>
                <w:caps w:val="false"/>
                <w:smallCaps w:val="false"/>
                <w:color w:val="000000"/>
              </w:rPr>
            </w:pPr>
            <w:r>
              <w:rPr>
                <w:rFonts w:ascii="Arial" w:hAnsi="Arial"/>
                <w:b w:val="false"/>
                <w:i w:val="false"/>
                <w:caps w:val="false"/>
                <w:smallCaps w:val="false"/>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210"/>
        <w:gridCol w:w="993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10"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w:t>
            </w:r>
          </w:p>
        </w:tc>
        <w:tc>
          <w:tcPr>
            <w:tcW w:w="9935"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4"/>
        <w:gridCol w:w="992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4"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(b)</w:t>
            </w:r>
          </w:p>
        </w:tc>
        <w:tc>
          <w:tcPr>
            <w:tcW w:w="9921" w:type="dxa"/>
            <w:tcBorders/>
            <w:shd w:fill="auto" w:val="clear"/>
          </w:tcPr>
          <w:p>
            <w:pPr>
              <w:pStyle w:val="TableContents"/>
              <w:spacing w:before="120" w:after="0"/>
              <w:rPr>
                <w:rFonts w:ascii="Arial" w:hAnsi="Arial"/>
                <w:b w:val="false"/>
                <w:i w:val="false"/>
                <w:caps w:val="false"/>
                <w:smallCaps w:val="false"/>
                <w:sz w:val="20"/>
              </w:rPr>
            </w:pPr>
            <w:r>
              <w:rPr>
                <w:rFonts w:ascii="Arial" w:hAnsi="Arial"/>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5265" w:type="dxa"/>
        <w:jc w:val="center"/>
        <w:tblInd w:w="0" w:type="dxa"/>
        <w:tblCellMar>
          <w:top w:w="0" w:type="dxa"/>
          <w:left w:w="0" w:type="dxa"/>
          <w:bottom w:w="28" w:type="dxa"/>
          <w:right w:w="0" w:type="dxa"/>
        </w:tblCellMar>
      </w:tblPr>
      <w:tblGrid>
        <w:gridCol w:w="1970"/>
        <w:gridCol w:w="60"/>
        <w:gridCol w:w="320"/>
        <w:gridCol w:w="2915"/>
      </w:tblGrid>
      <w:tr>
        <w:trPr/>
        <w:tc>
          <w:tcPr>
            <w:tcW w:w="197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291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Jennifer Oliver</w:t>
            </w:r>
          </w:p>
        </w:tc>
      </w:tr>
      <w:tr>
        <w:trPr/>
        <w:tc>
          <w:tcPr>
            <w:tcW w:w="19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9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Jennifer Oliver</w:t>
            </w:r>
          </w:p>
        </w:tc>
      </w:tr>
      <w:tr>
        <w:trPr/>
        <w:tc>
          <w:tcPr>
            <w:tcW w:w="19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Interim Co-Chief Financial Officer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26" w:name="wish-ex321_7.htm"/>
      <w:bookmarkStart w:id="27" w:name="kswishex321_7"/>
      <w:bookmarkEnd w:id="26"/>
      <w:bookmarkEnd w:id="27"/>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32.1</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 OF PRINCIPAL EXECUTIVE OFFICER</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PURSUANT TO 18 U.S.C. SECTION 1350, AS ADOPTED PURSUANT TO</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SECTION 906 OF THE SARBANES-OXLEY ACT OF 2002</w:t>
      </w:r>
    </w:p>
    <w:p>
      <w:pPr>
        <w:pStyle w:val="TextBody"/>
        <w:spacing w:before="240" w:after="0"/>
        <w:rPr>
          <w:rFonts w:ascii="Arial" w:hAnsi="Arial"/>
          <w:b w:val="false"/>
          <w:i w:val="false"/>
          <w:caps w:val="false"/>
          <w:smallCaps w:val="false"/>
          <w:sz w:val="20"/>
        </w:rPr>
      </w:pPr>
      <w:r>
        <w:rPr>
          <w:rFonts w:ascii="Arial" w:hAnsi="Arial"/>
          <w:b w:val="false"/>
          <w:i w:val="false"/>
          <w:caps w:val="false"/>
          <w:smallCaps w:val="false"/>
          <w:sz w:val="20"/>
        </w:rPr>
        <w:t xml:space="preserve">In connection with the Quarterly Report of </w:t>
      </w:r>
      <w:r>
        <w:rPr>
          <w:rFonts w:ascii="Arial" w:hAnsi="Arial"/>
          <w:b w:val="false"/>
          <w:i w:val="false"/>
          <w:caps w:val="false"/>
          <w:smallCaps w:val="false"/>
          <w:color w:val="000000"/>
          <w:sz w:val="20"/>
        </w:rPr>
        <w:t>ContextLogic Inc. (the “Company”)</w:t>
      </w:r>
      <w:r>
        <w:rPr>
          <w:rFonts w:ascii="Arial" w:hAnsi="Arial"/>
          <w:b w:val="false"/>
          <w:i w:val="false"/>
          <w:caps w:val="false"/>
          <w:smallCaps w:val="false"/>
          <w:sz w:val="20"/>
        </w:rPr>
        <w:t xml:space="preserve"> on Form 10-Q for the period ended June 30, 2021 as filed with the Securities and Exchange Commission on the date hereof (the “Report”), I certify, pursuant to 18 U.S.C. § 1350, as adopted pursuant to § 906 of the Sarbanes-Oxley Act of 2002, that:</w:t>
      </w:r>
    </w:p>
    <w:tbl>
      <w:tblPr>
        <w:tblW w:w="10205" w:type="dxa"/>
        <w:jc w:val="left"/>
        <w:tblInd w:w="0" w:type="dxa"/>
        <w:tblCellMar>
          <w:top w:w="0" w:type="dxa"/>
          <w:left w:w="0" w:type="dxa"/>
          <w:bottom w:w="0" w:type="dxa"/>
          <w:right w:w="0" w:type="dxa"/>
        </w:tblCellMar>
      </w:tblPr>
      <w:tblGrid>
        <w:gridCol w:w="60"/>
        <w:gridCol w:w="236"/>
        <w:gridCol w:w="9909"/>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6"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(1)</w:t>
            </w:r>
          </w:p>
        </w:tc>
        <w:tc>
          <w:tcPr>
            <w:tcW w:w="9909"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Report fully complies with the requirements of section 13(a) or 15(d) of the Securities Exchange Act of 1934, as amended; and</w:t>
            </w:r>
          </w:p>
        </w:tc>
      </w:tr>
    </w:tbl>
    <w:tbl>
      <w:tblPr>
        <w:tblW w:w="10205" w:type="dxa"/>
        <w:jc w:val="left"/>
        <w:tblInd w:w="0" w:type="dxa"/>
        <w:tblCellMar>
          <w:top w:w="0" w:type="dxa"/>
          <w:left w:w="0" w:type="dxa"/>
          <w:bottom w:w="0" w:type="dxa"/>
          <w:right w:w="0" w:type="dxa"/>
        </w:tblCellMar>
      </w:tblPr>
      <w:tblGrid>
        <w:gridCol w:w="60"/>
        <w:gridCol w:w="222"/>
        <w:gridCol w:w="992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(2)</w:t>
            </w:r>
          </w:p>
        </w:tc>
        <w:tc>
          <w:tcPr>
            <w:tcW w:w="992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information contained in the Report fairly presents, in all material respects, the financial condition and result of operations of the Company for the period presented therein.</w:t>
            </w:r>
          </w:p>
        </w:tc>
      </w:tr>
    </w:tbl>
    <w:p>
      <w:pPr>
        <w:pStyle w:val="TextBody"/>
        <w:spacing w:before="0" w:after="0"/>
        <w:rPr/>
      </w:pPr>
      <w:r>
        <w:rPr/>
        <w:t> </w:t>
      </w:r>
    </w:p>
    <w:tbl>
      <w:tblPr>
        <w:tblW w:w="5865" w:type="dxa"/>
        <w:jc w:val="center"/>
        <w:tblInd w:w="0" w:type="dxa"/>
        <w:tblCellMar>
          <w:top w:w="0" w:type="dxa"/>
          <w:left w:w="0" w:type="dxa"/>
          <w:bottom w:w="28" w:type="dxa"/>
          <w:right w:w="0" w:type="dxa"/>
        </w:tblCellMar>
      </w:tblPr>
      <w:tblGrid>
        <w:gridCol w:w="1970"/>
        <w:gridCol w:w="60"/>
        <w:gridCol w:w="320"/>
        <w:gridCol w:w="3515"/>
      </w:tblGrid>
      <w:tr>
        <w:trPr/>
        <w:tc>
          <w:tcPr>
            <w:tcW w:w="197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351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Piotr Szulczewski</w:t>
            </w:r>
          </w:p>
        </w:tc>
      </w:tr>
      <w:tr>
        <w:trPr/>
        <w:tc>
          <w:tcPr>
            <w:tcW w:w="19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5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highlight w:val="white"/>
              </w:rPr>
            </w:pPr>
            <w:r>
              <w:rPr>
                <w:rFonts w:ascii="Arial" w:hAnsi="Arial"/>
                <w:b/>
                <w:i w:val="false"/>
                <w:caps w:val="false"/>
                <w:smallCaps w:val="false"/>
                <w:color w:val="000000"/>
                <w:sz w:val="20"/>
                <w:highlight w:val="white"/>
              </w:rPr>
              <w:t>Piotr Szulczewski</w:t>
            </w:r>
          </w:p>
        </w:tc>
      </w:tr>
      <w:tr>
        <w:trPr/>
        <w:tc>
          <w:tcPr>
            <w:tcW w:w="19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Chief Executive Officer and Chairperson</w:t>
            </w:r>
          </w:p>
        </w:tc>
      </w:tr>
      <w:tr>
        <w:trPr/>
        <w:tc>
          <w:tcPr>
            <w:tcW w:w="197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320" w:type="dxa"/>
            <w:tcBorders/>
            <w:shd w:fill="FFFFFF" w:val="clear"/>
            <w:tcMar>
              <w:bottom w:w="0" w:type="dxa"/>
            </w:tcMar>
            <w:vAlign w:val="bottom"/>
          </w:tcPr>
          <w:p>
            <w:pPr>
              <w:pStyle w:val="TableContents"/>
              <w:spacing w:before="0" w:after="0"/>
              <w:ind w:left="0" w:right="0" w:hanging="0"/>
              <w:rPr/>
            </w:pPr>
            <w:r>
              <w:rPr/>
              <w:t> </w:t>
            </w:r>
          </w:p>
        </w:tc>
        <w:tc>
          <w:tcPr>
            <w:tcW w:w="35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(Principal Executive Officer)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28" w:name="wish-ex322_9.htm"/>
      <w:bookmarkStart w:id="29" w:name="kswishex322_9"/>
      <w:bookmarkEnd w:id="28"/>
      <w:bookmarkEnd w:id="29"/>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32.2</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 OF PRINCIPAL FINANCIAL OFFICER</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PURSUANT TO 18 U.S.C. SECTION 1350, AS ADOPTED PURSUANT TO</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SECTION 906 OF THE SARBANES-OXLEY ACT OF 2002</w:t>
      </w:r>
    </w:p>
    <w:p>
      <w:pPr>
        <w:pStyle w:val="TextBody"/>
        <w:spacing w:before="240" w:after="0"/>
        <w:rPr>
          <w:rFonts w:ascii="Arial" w:hAnsi="Arial"/>
          <w:b w:val="false"/>
          <w:i w:val="false"/>
          <w:caps w:val="false"/>
          <w:smallCaps w:val="false"/>
          <w:sz w:val="20"/>
        </w:rPr>
      </w:pPr>
      <w:r>
        <w:rPr>
          <w:rFonts w:ascii="Arial" w:hAnsi="Arial"/>
          <w:b w:val="false"/>
          <w:i w:val="false"/>
          <w:caps w:val="false"/>
          <w:smallCaps w:val="false"/>
          <w:sz w:val="20"/>
        </w:rPr>
        <w:t xml:space="preserve">In connection with the Quarterly Report of </w:t>
      </w:r>
      <w:r>
        <w:rPr>
          <w:rFonts w:ascii="Arial" w:hAnsi="Arial"/>
          <w:b w:val="false"/>
          <w:i w:val="false"/>
          <w:caps w:val="false"/>
          <w:smallCaps w:val="false"/>
          <w:color w:val="000000"/>
          <w:sz w:val="20"/>
        </w:rPr>
        <w:t>ContextLogic Inc. (the “Company”)</w:t>
      </w:r>
      <w:r>
        <w:rPr>
          <w:rFonts w:ascii="Arial" w:hAnsi="Arial"/>
          <w:b w:val="false"/>
          <w:i w:val="false"/>
          <w:caps w:val="false"/>
          <w:smallCaps w:val="false"/>
          <w:sz w:val="20"/>
        </w:rPr>
        <w:t xml:space="preserve"> on Form 10-Q for the period ended June 30, 2021 as filed with the Securities and Exchange Commission on the date hereof (the “Report”), I certify, pursuant to 18 U.S.C. § 1350, as adopted pursuant to § 906 of the Sarbanes-Oxley Act of 2002, that:</w:t>
      </w:r>
    </w:p>
    <w:tbl>
      <w:tblPr>
        <w:tblW w:w="10205" w:type="dxa"/>
        <w:jc w:val="left"/>
        <w:tblInd w:w="0" w:type="dxa"/>
        <w:tblCellMar>
          <w:top w:w="0" w:type="dxa"/>
          <w:left w:w="0" w:type="dxa"/>
          <w:bottom w:w="0" w:type="dxa"/>
          <w:right w:w="0" w:type="dxa"/>
        </w:tblCellMar>
      </w:tblPr>
      <w:tblGrid>
        <w:gridCol w:w="60"/>
        <w:gridCol w:w="236"/>
        <w:gridCol w:w="9909"/>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6"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(1)</w:t>
            </w:r>
          </w:p>
        </w:tc>
        <w:tc>
          <w:tcPr>
            <w:tcW w:w="9909"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Report fully complies with the requirements of section 13(a) or 15(d) of the Securities Exchange Act of 1934, as amended; and</w:t>
            </w:r>
          </w:p>
        </w:tc>
      </w:tr>
    </w:tbl>
    <w:tbl>
      <w:tblPr>
        <w:tblW w:w="10205" w:type="dxa"/>
        <w:jc w:val="left"/>
        <w:tblInd w:w="0" w:type="dxa"/>
        <w:tblCellMar>
          <w:top w:w="0" w:type="dxa"/>
          <w:left w:w="0" w:type="dxa"/>
          <w:bottom w:w="0" w:type="dxa"/>
          <w:right w:w="0" w:type="dxa"/>
        </w:tblCellMar>
      </w:tblPr>
      <w:tblGrid>
        <w:gridCol w:w="60"/>
        <w:gridCol w:w="222"/>
        <w:gridCol w:w="992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(2)</w:t>
            </w:r>
          </w:p>
        </w:tc>
        <w:tc>
          <w:tcPr>
            <w:tcW w:w="992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information contained in the Report fairly presents, in all material respects, the financial condition and result of operations of the Company for the period presented therein.</w:t>
            </w:r>
          </w:p>
        </w:tc>
      </w:tr>
    </w:tbl>
    <w:p>
      <w:pPr>
        <w:pStyle w:val="TextBody"/>
        <w:spacing w:before="0" w:after="0"/>
        <w:rPr/>
      </w:pPr>
      <w:r>
        <w:rPr/>
        <w:t> </w:t>
      </w:r>
    </w:p>
    <w:tbl>
      <w:tblPr>
        <w:tblW w:w="5265" w:type="dxa"/>
        <w:jc w:val="center"/>
        <w:tblInd w:w="0" w:type="dxa"/>
        <w:tblCellMar>
          <w:top w:w="0" w:type="dxa"/>
          <w:left w:w="0" w:type="dxa"/>
          <w:bottom w:w="28" w:type="dxa"/>
          <w:right w:w="0" w:type="dxa"/>
        </w:tblCellMar>
      </w:tblPr>
      <w:tblGrid>
        <w:gridCol w:w="1970"/>
        <w:gridCol w:w="60"/>
        <w:gridCol w:w="320"/>
        <w:gridCol w:w="2915"/>
      </w:tblGrid>
      <w:tr>
        <w:trPr/>
        <w:tc>
          <w:tcPr>
            <w:tcW w:w="197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291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Brett Just</w:t>
            </w:r>
          </w:p>
        </w:tc>
      </w:tr>
      <w:tr>
        <w:trPr/>
        <w:tc>
          <w:tcPr>
            <w:tcW w:w="19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9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Brett Just</w:t>
            </w:r>
          </w:p>
        </w:tc>
      </w:tr>
      <w:tr>
        <w:trPr/>
        <w:tc>
          <w:tcPr>
            <w:tcW w:w="19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Interim Co-Chief Financial Officer</w:t>
            </w:r>
          </w:p>
        </w:tc>
      </w:tr>
      <w:tr>
        <w:trPr/>
        <w:tc>
          <w:tcPr>
            <w:tcW w:w="1970" w:type="dxa"/>
            <w:tcBorders/>
            <w:shd w:fill="FFFFFF" w:val="clear"/>
            <w:tcMar>
              <w:bottom w:w="0" w:type="dxa"/>
            </w:tcMar>
            <w:vAlign w:val="bottom"/>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rPr/>
            </w:pPr>
            <w:r>
              <w:rPr/>
              <w:t> </w:t>
            </w:r>
          </w:p>
        </w:tc>
        <w:tc>
          <w:tcPr>
            <w:tcW w:w="320" w:type="dxa"/>
            <w:tcBorders/>
            <w:shd w:fill="FFFFFF" w:val="clear"/>
            <w:tcMar>
              <w:bottom w:w="0" w:type="dxa"/>
            </w:tcMar>
            <w:vAlign w:val="bottom"/>
          </w:tcPr>
          <w:p>
            <w:pPr>
              <w:pStyle w:val="TableContents"/>
              <w:spacing w:before="0" w:after="0"/>
              <w:ind w:left="0" w:right="0" w:hanging="0"/>
              <w:rPr/>
            </w:pPr>
            <w:r>
              <w:rPr/>
              <w:t> </w:t>
            </w:r>
          </w:p>
        </w:tc>
        <w:tc>
          <w:tcPr>
            <w:tcW w:w="29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(Principal Financial Officer)</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rPr/>
      </w:pPr>
      <w:r>
        <w:rPr/>
        <w:t> </w:t>
      </w:r>
      <w:r>
        <w:br w:type="page"/>
      </w:r>
    </w:p>
    <w:p>
      <w:pPr>
        <w:pStyle w:val="TextBody"/>
        <w:spacing w:before="0" w:after="0"/>
        <w:rPr/>
      </w:pPr>
      <w:bookmarkStart w:id="30" w:name="wish-ex323_268.htm"/>
      <w:bookmarkStart w:id="31" w:name="kswishex323_268"/>
      <w:bookmarkEnd w:id="30"/>
      <w:bookmarkEnd w:id="31"/>
      <w:r>
        <w:rPr/>
        <w:t> </w:t>
      </w:r>
    </w:p>
    <w:p>
      <w:pPr>
        <w:pStyle w:val="TextBody"/>
        <w:shd w:fill="FFFFFF" w:val="clear"/>
        <w:spacing w:before="0" w:after="0"/>
        <w:jc w:val="right"/>
        <w:rPr>
          <w:rFonts w:ascii="Arial" w:hAnsi="Arial"/>
          <w:b/>
          <w:i w:val="false"/>
          <w:caps w:val="false"/>
          <w:smallCaps w:val="false"/>
          <w:color w:val="000000"/>
          <w:sz w:val="20"/>
        </w:rPr>
      </w:pPr>
      <w:r>
        <w:rPr>
          <w:rFonts w:ascii="Arial" w:hAnsi="Arial"/>
          <w:b/>
          <w:i w:val="false"/>
          <w:caps w:val="false"/>
          <w:smallCaps w:val="false"/>
          <w:color w:val="000000"/>
          <w:sz w:val="20"/>
        </w:rPr>
        <w:t>Exhibit 32.3</w:t>
      </w:r>
    </w:p>
    <w:p>
      <w:pPr>
        <w:pStyle w:val="TextBody"/>
        <w:shd w:fill="FFFFFF" w:val="clear"/>
        <w:spacing w:before="24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CERTIFICATION OF PRINCIPAL FINANCIAL OFFICER</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PURSUANT TO 18 U.S.C. SECTION 1350, AS ADOPTED PURSUANT TO</w:t>
      </w:r>
    </w:p>
    <w:p>
      <w:pPr>
        <w:pStyle w:val="TextBody"/>
        <w:shd w:fill="FFFFFF" w:val="clear"/>
        <w:spacing w:before="0" w:after="0"/>
        <w:jc w:val="center"/>
        <w:rPr>
          <w:rFonts w:ascii="Arial" w:hAnsi="Arial"/>
          <w:b/>
          <w:i w:val="false"/>
          <w:caps w:val="false"/>
          <w:smallCaps w:val="false"/>
          <w:color w:val="000000"/>
          <w:sz w:val="20"/>
        </w:rPr>
      </w:pPr>
      <w:r>
        <w:rPr>
          <w:rFonts w:ascii="Arial" w:hAnsi="Arial"/>
          <w:b/>
          <w:i w:val="false"/>
          <w:caps w:val="false"/>
          <w:smallCaps w:val="false"/>
          <w:color w:val="000000"/>
          <w:sz w:val="20"/>
        </w:rPr>
        <w:t>SECTION 906 OF THE SARBANES-OXLEY ACT OF 2002</w:t>
      </w:r>
    </w:p>
    <w:p>
      <w:pPr>
        <w:pStyle w:val="TextBody"/>
        <w:spacing w:before="240" w:after="0"/>
        <w:rPr>
          <w:rFonts w:ascii="Arial" w:hAnsi="Arial"/>
          <w:b w:val="false"/>
          <w:i w:val="false"/>
          <w:caps w:val="false"/>
          <w:smallCaps w:val="false"/>
          <w:sz w:val="20"/>
        </w:rPr>
      </w:pPr>
      <w:r>
        <w:rPr>
          <w:rFonts w:ascii="Arial" w:hAnsi="Arial"/>
          <w:b w:val="false"/>
          <w:i w:val="false"/>
          <w:caps w:val="false"/>
          <w:smallCaps w:val="false"/>
          <w:sz w:val="20"/>
        </w:rPr>
        <w:t xml:space="preserve">In connection with the Quarterly Report of </w:t>
      </w:r>
      <w:r>
        <w:rPr>
          <w:rFonts w:ascii="Arial" w:hAnsi="Arial"/>
          <w:b w:val="false"/>
          <w:i w:val="false"/>
          <w:caps w:val="false"/>
          <w:smallCaps w:val="false"/>
          <w:color w:val="000000"/>
          <w:sz w:val="20"/>
        </w:rPr>
        <w:t>ContextLogic Inc. (the “Company”)</w:t>
      </w:r>
      <w:r>
        <w:rPr>
          <w:rFonts w:ascii="Arial" w:hAnsi="Arial"/>
          <w:b w:val="false"/>
          <w:i w:val="false"/>
          <w:caps w:val="false"/>
          <w:smallCaps w:val="false"/>
          <w:sz w:val="20"/>
        </w:rPr>
        <w:t xml:space="preserve"> on Form 10-Q for the period ended June 30, 2021 as filed with the Securities and Exchange Commission on the date hereof (the “Report”), I certify, pursuant to 18 U.S.C. § 1350, as adopted pursuant to § 906 of the Sarbanes-Oxley Act of 2002, that:</w:t>
      </w:r>
    </w:p>
    <w:tbl>
      <w:tblPr>
        <w:tblW w:w="10205" w:type="dxa"/>
        <w:jc w:val="left"/>
        <w:tblInd w:w="0" w:type="dxa"/>
        <w:tblCellMar>
          <w:top w:w="0" w:type="dxa"/>
          <w:left w:w="0" w:type="dxa"/>
          <w:bottom w:w="0" w:type="dxa"/>
          <w:right w:w="0" w:type="dxa"/>
        </w:tblCellMar>
      </w:tblPr>
      <w:tblGrid>
        <w:gridCol w:w="60"/>
        <w:gridCol w:w="236"/>
        <w:gridCol w:w="9909"/>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6"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(1)</w:t>
            </w:r>
          </w:p>
        </w:tc>
        <w:tc>
          <w:tcPr>
            <w:tcW w:w="9909"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Report fully complies with the requirements of section 13(a) or 15(d) of the Securities Exchange Act of 1934, as amended; and</w:t>
            </w:r>
          </w:p>
        </w:tc>
      </w:tr>
    </w:tbl>
    <w:tbl>
      <w:tblPr>
        <w:tblW w:w="10205" w:type="dxa"/>
        <w:jc w:val="left"/>
        <w:tblInd w:w="0" w:type="dxa"/>
        <w:tblCellMar>
          <w:top w:w="0" w:type="dxa"/>
          <w:left w:w="0" w:type="dxa"/>
          <w:bottom w:w="0" w:type="dxa"/>
          <w:right w:w="0" w:type="dxa"/>
        </w:tblCellMar>
      </w:tblPr>
      <w:tblGrid>
        <w:gridCol w:w="60"/>
        <w:gridCol w:w="222"/>
        <w:gridCol w:w="9923"/>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22"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(2)</w:t>
            </w:r>
          </w:p>
        </w:tc>
        <w:tc>
          <w:tcPr>
            <w:tcW w:w="9923" w:type="dxa"/>
            <w:tcBorders/>
            <w:shd w:fill="auto" w:val="clear"/>
          </w:tcPr>
          <w:p>
            <w:pPr>
              <w:pStyle w:val="TableContents"/>
              <w:spacing w:before="240" w:after="0"/>
              <w:rPr>
                <w:rFonts w:ascii="Arial" w:hAnsi="Arial"/>
                <w:b w:val="false"/>
                <w:i w:val="false"/>
                <w:caps w:val="false"/>
                <w:smallCaps w:val="false"/>
                <w:sz w:val="20"/>
              </w:rPr>
            </w:pPr>
            <w:r>
              <w:rPr>
                <w:rFonts w:ascii="Arial" w:hAnsi="Arial"/>
                <w:b w:val="false"/>
                <w:i w:val="false"/>
                <w:caps w:val="false"/>
                <w:smallCaps w:val="false"/>
                <w:sz w:val="20"/>
              </w:rPr>
              <w:t>The information contained in the Report fairly presents, in all material respects, the financial condition and result of operations of the Company for the period presented therein.</w:t>
            </w:r>
          </w:p>
        </w:tc>
      </w:tr>
    </w:tbl>
    <w:p>
      <w:pPr>
        <w:pStyle w:val="TextBody"/>
        <w:spacing w:before="0" w:after="0"/>
        <w:rPr/>
      </w:pPr>
      <w:r>
        <w:rPr/>
        <w:t> </w:t>
      </w:r>
    </w:p>
    <w:tbl>
      <w:tblPr>
        <w:tblW w:w="5265" w:type="dxa"/>
        <w:jc w:val="center"/>
        <w:tblInd w:w="0" w:type="dxa"/>
        <w:tblCellMar>
          <w:top w:w="0" w:type="dxa"/>
          <w:left w:w="0" w:type="dxa"/>
          <w:bottom w:w="28" w:type="dxa"/>
          <w:right w:w="0" w:type="dxa"/>
        </w:tblCellMar>
      </w:tblPr>
      <w:tblGrid>
        <w:gridCol w:w="1970"/>
        <w:gridCol w:w="60"/>
        <w:gridCol w:w="320"/>
        <w:gridCol w:w="2915"/>
      </w:tblGrid>
      <w:tr>
        <w:trPr/>
        <w:tc>
          <w:tcPr>
            <w:tcW w:w="1970" w:type="dxa"/>
            <w:tcBorders>
              <w:bottom w:val="single" w:sz="6" w:space="0" w:color="000000"/>
            </w:tcBorders>
            <w:shd w:fill="FFFFFF" w:val="clear"/>
            <w:vAlign w:val="bottom"/>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By:</w:t>
            </w:r>
          </w:p>
        </w:tc>
        <w:tc>
          <w:tcPr>
            <w:tcW w:w="2915" w:type="dxa"/>
            <w:tcBorders>
              <w:bottom w:val="single" w:sz="6" w:space="0" w:color="000000"/>
            </w:tcBorders>
            <w:shd w:fill="FFFFFF" w:val="cle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/s/ Jennifer Oliver</w:t>
            </w:r>
          </w:p>
        </w:tc>
      </w:tr>
      <w:tr>
        <w:trPr/>
        <w:tc>
          <w:tcPr>
            <w:tcW w:w="19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9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Arial" w:hAnsi="Arial"/>
                <w:b/>
                <w:i w:val="false"/>
                <w:caps w:val="false"/>
                <w:smallCaps w:val="false"/>
                <w:color w:val="000000"/>
                <w:sz w:val="20"/>
              </w:rPr>
            </w:pPr>
            <w:r>
              <w:rPr>
                <w:rFonts w:ascii="Arial" w:hAnsi="Arial"/>
                <w:b/>
                <w:i w:val="false"/>
                <w:caps w:val="false"/>
                <w:smallCaps w:val="false"/>
                <w:color w:val="000000"/>
                <w:sz w:val="20"/>
              </w:rPr>
              <w:t>Jennifer Oliver</w:t>
            </w:r>
          </w:p>
        </w:tc>
      </w:tr>
      <w:tr>
        <w:trPr/>
        <w:tc>
          <w:tcPr>
            <w:tcW w:w="19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15" w:type="dxa"/>
            <w:tcBorders/>
            <w:shd w:fill="FFFFFF" w:val="clear"/>
            <w:tcMar>
              <w:bottom w:w="0" w:type="dxa"/>
            </w:tcMar>
            <w:vAlign w:val="bottom"/>
          </w:tcPr>
          <w:p>
            <w:pPr>
              <w:pStyle w:val="TableContents"/>
              <w:spacing w:before="0" w:after="0"/>
              <w:ind w:left="0" w:right="0" w:hanging="0"/>
              <w:jc w:val="center"/>
              <w:rPr>
                <w:rFonts w:ascii="Arial" w:hAnsi="Arial"/>
                <w:b w:val="false"/>
                <w:i w:val="false"/>
                <w:caps w:val="false"/>
                <w:smallCaps w:val="false"/>
                <w:color w:val="000000"/>
                <w:sz w:val="20"/>
                <w:highlight w:val="white"/>
              </w:rPr>
            </w:pPr>
            <w:r>
              <w:rPr>
                <w:rFonts w:ascii="Arial" w:hAnsi="Arial"/>
                <w:b w:val="false"/>
                <w:i w:val="false"/>
                <w:caps w:val="false"/>
                <w:smallCaps w:val="false"/>
                <w:color w:val="000000"/>
                <w:sz w:val="20"/>
                <w:highlight w:val="white"/>
              </w:rPr>
              <w:t>Interim Co-Chief Financial Officer</w:t>
            </w:r>
          </w:p>
        </w:tc>
      </w:tr>
    </w:tbl>
    <w:p>
      <w:pPr>
        <w:pStyle w:val="TextBody"/>
        <w:spacing w:before="0" w:after="0"/>
        <w:rPr/>
      </w:pPr>
      <w:r>
        <w:rPr/>
        <w:t> </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2250/000119312521159033/d124710d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17554</Words>
  <CharactersWithSpaces>112683</CharactersWithSpaces>
  <Paragraphs>7051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