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526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52628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Stewart Scott Matthew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2648 INTERNATIONAL BLVD STE 301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ContextLogic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LOGC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37"/>
        <w:spacing w:after="0"/>
        <w:rPr>
          <w:sz w:val="20"/>
          <w:szCs w:val="20"/>
          <w:color w:val="auto"/>
        </w:rPr>
      </w:pPr>
      <w:r>
        <w:rPr>
          <w:rFonts w:ascii="Times New Roman" w:cs="Times New Roman" w:eastAsia="Times New Roman" w:hAnsi="Times New Roman"/>
          <w:sz w:val="17"/>
          <w:szCs w:val="17"/>
          <w:color w:val="0000FF"/>
        </w:rPr>
        <w:t>CFO &amp; COO</w:t>
      </w:r>
    </w:p>
    <w:p>
      <w:pPr>
        <w:spacing w:after="0" w:line="313"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jc w:val="center"/>
              <w:ind w:right="4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OAKLAND</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94601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3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50,000</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50,000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represent a contingent right to receive one share of the Issuer's Common Stock, $0.0001 par value, for each RSU.</w:t>
      </w:r>
    </w:p>
    <w:p>
      <w:pPr>
        <w:spacing w:after="0" w:line="44" w:lineRule="exact"/>
        <w:rPr>
          <w:rFonts w:ascii="Times New Roman" w:cs="Times New Roman" w:eastAsia="Times New Roman" w:hAnsi="Times New Roman"/>
          <w:sz w:val="13"/>
          <w:szCs w:val="13"/>
          <w:color w:val="008000"/>
        </w:rPr>
      </w:pPr>
    </w:p>
    <w:p>
      <w:pPr>
        <w:ind w:left="40" w:right="2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the Reporting Person's continued service, the RSU's will vest in equal installments of 20% of the total RSUs subject to the award on each of the first through fifth anniversaries of the effective date. Vested RSUs will settle on or following the vesting date, but in any event, within 60 days following the vesting date (unless the Reporting Person and the Issuer have agreed in writing to a later settlement date pursuant to procedures the Issuer may prescribe at its discretion).</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Marianne Lewis</w:t>
            </w:r>
          </w:p>
        </w:tc>
        <w:tc>
          <w:tcPr>
            <w:tcW w:w="9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06/03/2026</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5415" TargetMode="External"/><Relationship Id="rId14" Type="http://schemas.openxmlformats.org/officeDocument/2006/relationships/hyperlink" Target="http://www.sec.gov/cgi-bin/browse-edgar?action=getcompany&amp;CIK=00020643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2026-06-03T12:06:00Z</dcterms:created>
  <dcterms:modified xsi:type="dcterms:W3CDTF">2026-06-03T12:06:00Z</dcterms:modified>
</cp:coreProperties>
</file>