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15" w:after="283"/>
        <w:jc w:val="center"/>
        <w:rPr>
          <w:rFonts w:ascii="Times New Roman" w:hAnsi="Times New Roman"/>
          <w:sz w:val="20"/>
        </w:rPr>
      </w:pPr>
      <w:bookmarkStart w:id="0" w:name="logc-20260305.htm"/>
      <w:bookmarkStart w:id="1" w:name="kslogc20260305"/>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46" w:type="dxa"/>
        <w:jc w:val="left"/>
        <w:tblInd w:w="0" w:type="dxa"/>
        <w:tblLayout w:type="fixed"/>
        <w:tblCellMar>
          <w:top w:w="28" w:type="dxa"/>
          <w:left w:w="28" w:type="dxa"/>
          <w:bottom w:w="28" w:type="dxa"/>
          <w:right w:w="28" w:type="dxa"/>
        </w:tblCellMar>
      </w:tblPr>
      <w:tblGrid>
        <w:gridCol w:w="5446"/>
      </w:tblGrid>
      <w:tr>
        <w:trPr/>
        <w:tc>
          <w:tcPr>
            <w:tcW w:w="5446" w:type="dxa"/>
            <w:tcBorders/>
            <w:vAlign w:val="center"/>
          </w:tcPr>
          <w:p>
            <w:pPr>
              <w:pStyle w:val="TableContents"/>
              <w:bidi w:val="0"/>
              <w:spacing w:before="0" w:after="283"/>
              <w:jc w:val="left"/>
              <w:rPr>
                <w:sz w:val="4"/>
                <w:szCs w:val="4"/>
              </w:rPr>
            </w:pPr>
            <w:r>
              <w:rPr>
                <w:sz w:val="4"/>
                <w:szCs w:val="4"/>
              </w:rPr>
            </w:r>
          </w:p>
        </w:tc>
      </w:tr>
      <w:tr>
        <w:trPr/>
        <w:tc>
          <w:tcPr>
            <w:tcW w:w="5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March 5, 2026</w:t>
            </w:r>
          </w:p>
        </w:tc>
      </w:tr>
    </w:tbl>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ContextLogic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6091" w:type="dxa"/>
        <w:jc w:val="left"/>
        <w:tblInd w:w="0" w:type="dxa"/>
        <w:tblLayout w:type="fixed"/>
        <w:tblCellMar>
          <w:top w:w="28" w:type="dxa"/>
          <w:left w:w="28" w:type="dxa"/>
          <w:bottom w:w="28" w:type="dxa"/>
          <w:right w:w="28" w:type="dxa"/>
        </w:tblCellMar>
      </w:tblPr>
      <w:tblGrid>
        <w:gridCol w:w="1051"/>
        <w:gridCol w:w="923"/>
        <w:gridCol w:w="935"/>
        <w:gridCol w:w="1846"/>
        <w:gridCol w:w="1336"/>
      </w:tblGrid>
      <w:tr>
        <w:trPr/>
        <w:tc>
          <w:tcPr>
            <w:tcW w:w="105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000-56773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27-2930953</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2648 International Blvd., Ste 301</w:t>
            </w:r>
          </w:p>
        </w:tc>
        <w:tc>
          <w:tcPr>
            <w:tcW w:w="318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Oakland,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965-8476</w:t>
            </w:r>
          </w:p>
        </w:tc>
      </w:tr>
    </w:tbl>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jc w:val="left"/>
        <w:rPr/>
      </w:pPr>
      <w:r>
        <w:rPr>
          <w:color w:val="000000"/>
        </w:rPr>
        <w:t>☐</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5, 2026, ContextLogic Holdings Inc. (the “Company”) issued a press release announcing the Company’s financial results for the fourth quarter and year ended December 31, 2025. A copy of the Company’s press release is attached hereto as Exhibit 99.1.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information set forth in Item 2.02 above and in Exhibit 99.1 to this Current Report on Form 8-K is incorporated herein by reference. The Company announces material information to the public about the Company and other matters through a variety of means, including filings with the Securities and Exchange Commission, press releases, public conference calls, and the investor relations section of its website (ir.contextlogic.com) in order to achieve broad, non-exclusionary distribution of information to the public and for complying with its disclosure obligations under Regulation FD.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information furnished pursuant to Item 2.02 and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jc w:val="left"/>
        <w:rPr/>
      </w:pPr>
      <w:r>
        <w:rPr/>
        <w:t> </w:t>
      </w:r>
    </w:p>
    <w:p>
      <w:pPr>
        <w:pStyle w:val="Heading2"/>
        <w:bidi w:val="0"/>
        <w:spacing w:before="18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tbl>
      <w:tblPr>
        <w:tblW w:w="7558" w:type="dxa"/>
        <w:jc w:val="left"/>
        <w:tblInd w:w="0" w:type="dxa"/>
        <w:tblLayout w:type="fixed"/>
        <w:tblCellMar>
          <w:top w:w="28" w:type="dxa"/>
          <w:left w:w="28" w:type="dxa"/>
          <w:bottom w:w="28" w:type="dxa"/>
          <w:right w:w="28" w:type="dxa"/>
        </w:tblCellMar>
      </w:tblPr>
      <w:tblGrid>
        <w:gridCol w:w="811"/>
        <w:gridCol w:w="146"/>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u w:val="single"/>
              </w:rPr>
            </w:pPr>
            <w:r>
              <w:rPr>
                <w:rFonts w:ascii="Times New Roman" w:hAnsi="Times New Roman"/>
                <w:b/>
                <w:color w:val="000000"/>
                <w:sz w:val="20"/>
                <w:u w:val="single"/>
              </w:rPr>
              <w:t>Exhibit</w:t>
            </w:r>
          </w:p>
          <w:p>
            <w:pPr>
              <w:pStyle w:val="TableContents"/>
              <w:bidi w:val="0"/>
              <w:spacing w:before="0" w:after="283"/>
              <w:jc w:val="both"/>
              <w:rPr>
                <w:rFonts w:ascii="Times New Roman" w:hAnsi="Times New Roman"/>
                <w:b/>
                <w:color w:val="000000"/>
                <w:sz w:val="20"/>
                <w:u w:val="single"/>
              </w:rPr>
            </w:pPr>
            <w:r>
              <w:rPr>
                <w:rFonts w:ascii="Times New Roman" w:hAnsi="Times New Roman"/>
                <w:b/>
                <w:color w:val="000000"/>
                <w:sz w:val="20"/>
                <w:u w:val="single"/>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hyperlink w:anchor="logc-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both"/>
              <w:rPr/>
            </w:pPr>
            <w:hyperlink w:anchor="logc-ex99_1.htm">
              <w:r>
                <w:rPr>
                  <w:rStyle w:val="InternetLink"/>
                  <w:rFonts w:ascii="Times New Roman" w:hAnsi="Times New Roman"/>
                  <w:color w:val="0000FF"/>
                  <w:sz w:val="20"/>
                  <w:u w:val="single"/>
                </w:rPr>
                <w:t>Press release issued by ContextLogic Holdings Inc. on March 5,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729" w:type="dxa"/>
        <w:jc w:val="left"/>
        <w:tblInd w:w="0" w:type="dxa"/>
        <w:tblLayout w:type="fixed"/>
        <w:tblCellMar>
          <w:top w:w="28" w:type="dxa"/>
          <w:left w:w="28" w:type="dxa"/>
          <w:bottom w:w="28" w:type="dxa"/>
          <w:right w:w="28" w:type="dxa"/>
        </w:tblCellMar>
      </w:tblPr>
      <w:tblGrid>
        <w:gridCol w:w="556"/>
        <w:gridCol w:w="1291"/>
        <w:gridCol w:w="451"/>
        <w:gridCol w:w="2431"/>
      </w:tblGrid>
      <w:tr>
        <w:trPr/>
        <w:tc>
          <w:tcPr>
            <w:tcW w:w="5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ContextLogic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43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Mark Ward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sz w:val="20"/>
              </w:rPr>
            </w:pPr>
            <w:r>
              <w:rPr>
                <w:rFonts w:ascii="Times New Roman" w:hAnsi="Times New Roman"/>
                <w:color w:val="000000"/>
                <w:sz w:val="20"/>
              </w:rPr>
              <w:t>Mark Ward</w:t>
              <w:br/>
              <w:t>President</w:t>
              <w:br/>
            </w: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logc-ex99_1.htm"/>
      <w:bookmarkStart w:id="3" w:name="kslogcex99_1"/>
      <w:bookmarkEnd w:id="2"/>
      <w:bookmarkEnd w:id="3"/>
      <w:r>
        <w:rPr/>
        <w:t> </w:t>
      </w:r>
      <w:r>
        <w:br w:type="page"/>
      </w:r>
    </w:p>
    <w:p>
      <w:pPr>
        <w:pStyle w:val="TextBody"/>
        <w:pBdr>
          <w:top w:val="double" w:sz="6" w:space="1" w:color="000000"/>
        </w:pBdr>
        <w:bidi w:val="0"/>
        <w:jc w:val="lef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center"/>
        <w:rPr>
          <w:rFonts w:ascii="Times New Roman" w:hAnsi="Times New Roman"/>
          <w:b/>
          <w:color w:val="000000"/>
          <w:sz w:val="22"/>
        </w:rPr>
      </w:pPr>
      <w:r>
        <w:rPr>
          <w:rFonts w:ascii="Times New Roman" w:hAnsi="Times New Roman"/>
          <w:b/>
          <w:color w:val="000000"/>
          <w:sz w:val="22"/>
        </w:rPr>
        <w:t>ContextLogic Holdings Inc. Reports Fourth-Quarter and Fiscal Year 2025 Financial Results</w:t>
      </w:r>
    </w:p>
    <w:p>
      <w:pPr>
        <w:pStyle w:val="TextBody"/>
        <w:bidi w:val="0"/>
        <w:jc w:val="both"/>
        <w:rPr>
          <w:rFonts w:ascii="Times New Roman" w:hAnsi="Times New Roman"/>
          <w:sz w:val="20"/>
        </w:rPr>
      </w:pPr>
      <w:r>
        <w:rPr>
          <w:rFonts w:ascii="Times New Roman" w:hAnsi="Times New Roman"/>
          <w:color w:val="000000"/>
          <w:sz w:val="22"/>
        </w:rPr>
        <w:t>OAKLAND, Calif., March 5, 2026 (</w:t>
      </w:r>
      <w:r>
        <w:rPr>
          <w:rFonts w:ascii="Times New Roman" w:hAnsi="Times New Roman"/>
          <w:color w:val="152934"/>
          <w:sz w:val="22"/>
        </w:rPr>
        <w:t>GLOBE NEWSWIRE</w:t>
      </w:r>
      <w:r>
        <w:rPr>
          <w:rFonts w:ascii="Times New Roman" w:hAnsi="Times New Roman"/>
          <w:color w:val="000000"/>
          <w:sz w:val="22"/>
        </w:rPr>
        <w:t>) -- ContextLogic Holdings Inc. (OTCQB: LOGC) (“ContextLogic,” the “Company,” “we” or “our”) today reported its financial results for the fourth quarter and fiscal year ended December 31, 2025.</w:t>
      </w:r>
      <w:r>
        <w:rPr>
          <w:rFonts w:ascii="Times New Roman" w:hAnsi="Times New Roman"/>
          <w:color w:val="000000"/>
          <w:sz w:val="20"/>
        </w:rPr>
        <w:t xml:space="preserve"> </w:t>
      </w:r>
    </w:p>
    <w:p>
      <w:pPr>
        <w:pStyle w:val="TextBody"/>
        <w:bidi w:val="0"/>
        <w:spacing w:before="180" w:after="283"/>
        <w:jc w:val="both"/>
        <w:rPr>
          <w:rFonts w:ascii="Times New Roman" w:hAnsi="Times New Roman"/>
          <w:b/>
          <w:color w:val="000000"/>
          <w:sz w:val="22"/>
        </w:rPr>
      </w:pPr>
      <w:r>
        <w:rPr>
          <w:rFonts w:ascii="Times New Roman" w:hAnsi="Times New Roman"/>
          <w:b/>
          <w:color w:val="000000"/>
          <w:sz w:val="22"/>
        </w:rPr>
        <w:t>Company Update</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Subsequent to the end of the fourth quarter 2025, the Company completed the acquisition of US Salt Parent Holdings, LLC and its subsidiaries (together, "US Salt"), marking a pivotal milestone in ContextLogic's evolution into a business ownership platform. The Company remains focused on identifying and pursuing additional acquisitions of businesses that are niche, competitively advantaged, and built for long-duration value creation.</w:t>
      </w:r>
    </w:p>
    <w:p>
      <w:pPr>
        <w:pStyle w:val="TextBody"/>
        <w:bidi w:val="0"/>
        <w:spacing w:before="180" w:after="283"/>
        <w:jc w:val="both"/>
        <w:rPr>
          <w:rFonts w:ascii="Times New Roman" w:hAnsi="Times New Roman"/>
          <w:b/>
          <w:color w:val="000000"/>
          <w:sz w:val="22"/>
        </w:rPr>
      </w:pPr>
      <w:r>
        <w:rPr>
          <w:rFonts w:ascii="Times New Roman" w:hAnsi="Times New Roman"/>
          <w:b/>
          <w:color w:val="000000"/>
          <w:sz w:val="22"/>
        </w:rPr>
        <w:t>Fourth-Quarter Fiscal 2025 Financial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On December 8, 2025, ContextLogic announced the planned $907.5 million acquisition of US Salt and subsequently completed the transaction on February 26,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Net loss was $13 million, compared to a net loss of $2 million in the fourth quarter of fiscal year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As of December 31, 2025, the Company had $77 million in cash and cash equivalents and $141 million in marketable securities. The Company had total liabilities of $7 million.</w:t>
      </w:r>
    </w:p>
    <w:p>
      <w:pPr>
        <w:pStyle w:val="TextBody"/>
        <w:bidi w:val="0"/>
        <w:spacing w:before="180" w:after="283"/>
        <w:jc w:val="both"/>
        <w:rPr>
          <w:rFonts w:ascii="Times New Roman" w:hAnsi="Times New Roman"/>
          <w:b/>
          <w:color w:val="000000"/>
          <w:sz w:val="22"/>
        </w:rPr>
      </w:pPr>
      <w:r>
        <w:rPr>
          <w:rFonts w:ascii="Times New Roman" w:hAnsi="Times New Roman"/>
          <w:b/>
          <w:color w:val="000000"/>
          <w:sz w:val="22"/>
        </w:rPr>
        <w:t>Recent Developments</w:t>
      </w:r>
    </w:p>
    <w:p>
      <w:pPr>
        <w:pStyle w:val="TextBody"/>
        <w:bidi w:val="0"/>
        <w:spacing w:before="180" w:after="283"/>
        <w:jc w:val="both"/>
        <w:rPr>
          <w:rFonts w:ascii="Times New Roman" w:hAnsi="Times New Roman"/>
          <w:sz w:val="20"/>
        </w:rPr>
      </w:pPr>
      <w:r>
        <w:rPr>
          <w:rFonts w:ascii="Times New Roman" w:hAnsi="Times New Roman"/>
          <w:color w:val="000000"/>
          <w:sz w:val="22"/>
        </w:rPr>
        <w:t>During the fourth quarter of 2025, the Company continued to operate efficiently while advancing its strategy of building a differentiated business ownership platform through the acquisition of niche, competitively advantaged, long-duration businesses.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2"/>
        </w:rPr>
        <w:t>As of December 31, 2025, the Company, on a consolidated basis, had approximately $218 million in cash, cash equivalents, and marketable securities. During the three months ended December 31, 2025, the Company incurred $15 million of general and administrative expenses, comprised of: (1) approximately $7 million for employee-related expenses, including $6 million of cash-bonus and stock-based compensation primarily related to the departure of the Company's former Chief Executive Officer; (2) approximately $7 million for the evaluation and pursuit of strategic transactions, including expenses directly related to the US Salt acquisition; and (3) approximately $1 million for legal and other professional services. Interest income totaled $2 million with the Company's marketable securities and cash and cash equivalents primarily invested in U.S. government instruments. The Company remains committed to maintaining a lean corporate structure in future quarters.</w:t>
      </w:r>
      <w:r>
        <w:rPr>
          <w:rFonts w:ascii="Times New Roman" w:hAnsi="Times New Roman"/>
          <w:color w:val="000000"/>
          <w:sz w:val="20"/>
        </w:rPr>
        <w:t xml:space="preserve"> </w:t>
      </w:r>
    </w:p>
    <w:p>
      <w:pPr>
        <w:pStyle w:val="TextBody"/>
        <w:bidi w:val="0"/>
        <w:spacing w:before="180" w:after="283"/>
        <w:jc w:val="both"/>
        <w:rPr/>
      </w:pPr>
      <w:r>
        <w:rPr>
          <w:color w:val="000000"/>
        </w:rPr>
        <w:t>“</w:t>
      </w:r>
      <w:r>
        <w:rPr>
          <w:rFonts w:ascii="Times New Roman" w:hAnsi="Times New Roman"/>
          <w:color w:val="000000"/>
          <w:sz w:val="22"/>
        </w:rPr>
        <w:t>The fourth quarter capped a transformative year for ContextLogic,” said Mark Ward, President. “We closed 2025 with a clear strategy, and shortly after year-end, we reached a significant milestone with the closing of our acquisition of US Salt — the first step in building ContextLogic into a differentiated business ownership platform. I am proud of the progress our team has made and confident in our ability to create lasting value for shareholders.”</w:t>
      </w:r>
      <w:r>
        <w:rPr>
          <w:rFonts w:ascii="Times New Roman" w:hAnsi="Times New Roman"/>
          <w:color w:val="000000"/>
          <w:sz w:val="20"/>
        </w:rPr>
        <w:t xml:space="preserve"> </w:t>
      </w:r>
    </w:p>
    <w:p>
      <w:pPr>
        <w:pStyle w:val="TextBody"/>
        <w:bidi w:val="0"/>
        <w:spacing w:before="180" w:after="283"/>
        <w:jc w:val="left"/>
        <w:rPr>
          <w:rFonts w:ascii="Times New Roman" w:hAnsi="Times New Roman"/>
          <w:b/>
          <w:color w:val="000000"/>
          <w:sz w:val="22"/>
        </w:rPr>
      </w:pPr>
      <w:r>
        <w:rPr>
          <w:rFonts w:ascii="Times New Roman" w:hAnsi="Times New Roman"/>
          <w:b/>
          <w:color w:val="000000"/>
          <w:sz w:val="22"/>
        </w:rPr>
        <w:t>About ContextLogic Holdings Inc.</w:t>
      </w:r>
    </w:p>
    <w:p>
      <w:pPr>
        <w:pStyle w:val="TextBody"/>
        <w:bidi w:val="0"/>
        <w:spacing w:before="180" w:after="283"/>
        <w:jc w:val="both"/>
        <w:rPr>
          <w:rFonts w:ascii="Times New Roman" w:hAnsi="Times New Roman"/>
          <w:sz w:val="20"/>
        </w:rPr>
      </w:pPr>
      <w:r>
        <w:rPr>
          <w:rFonts w:ascii="Times New Roman" w:hAnsi="Times New Roman"/>
          <w:color w:val="000000"/>
          <w:sz w:val="22"/>
        </w:rPr>
        <w:t>ContextLogic Holdings Inc. is a publicly traded business ownership platform established to own a collection of niche, competitively advantaged, long-duration businesses. Each business operates with meaningful autonomy under world-class management teams whose incentives are tightly aligned with those of its shareholders, supported by a governance structure that creates direct accountability between operators and owners. For more information about ContextLogic, please visit www.contextlogic.com.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180" w:after="283"/>
        <w:jc w:val="left"/>
        <w:rPr>
          <w:rFonts w:ascii="Times New Roman" w:hAnsi="Times New Roman"/>
          <w:sz w:val="20"/>
        </w:rPr>
      </w:pPr>
      <w:r>
        <w:rPr>
          <w:rFonts w:ascii="Times New Roman" w:hAnsi="Times New Roman"/>
          <w:color w:val="000000"/>
          <w:sz w:val="22"/>
        </w:rPr>
        <w:t>This news release contains forward-looking statements within the meaning of the Safe Harbor provisions of the Private Securities Litigation Reform Act of 1995. All statements other than statements of historical fact could be deemed forward-looking, including, but not limited to, statements regarding ContextLogic’s financial outlook, the strategic alternatives considered by our Board of Directors, including the decisions taken thereto and alternatives for the use of the cash or cash equivalents, the impact of the US Salt acquisition, possible or assumed future results of operations and expenses, management strategies and plans, competitive position, business environment, potential growth strategies, ContextLogic’s continued listing on the OTC Markets, and other quotes of management. In some cases, forward-looking statements can be identified by terms such as “anticipates,” “believes,” “could,” “estimates,” “expects,” “foresees,” “forecasts,” “guidance,” “intends” “goals,” “may,” “might,” “outlook,” “plans,” “potential,” “predicts,” “projects,” “seeks,” “should,” “targets,” “will,” “would” or similar expressions and the negatives of those terms. These forward-looking statements are subject to risks, uncertainties, and assumptions. If the risks materialize or assumptions prove incorrect, actual results could differ materially from the results implied by these forward-looking statements. Important factors, risks and uncertainties that could cause actual results to differ materially from those forward-looking statements include but are not limited to: statements regarding the US Salt acquisition, the strategic alternatives considered by the Company’s board of directors, including the decisions taken thereto; future financial performance; future liquidity and operating expenditures; financial condition and results of operations; enforceability of transfer restrictions and occurrence of an ownership change with the result that ContextLogic’s ability to use its net operating losses could be severely limited; future legislation resulting in ContextLogic being unable to realize the benefits of the tax attributes; ContextLogic’s ability to make use of the existing benefits of the tax attributes because ContextLogic may not generate taxable income; the IRS’s possible challenge of the amount of the tax attributes or claim that ContextLogic experienced an ownership change, which could reduce the amount of tax attributes that ContextLogic could use; risks related to any future acquisition of a business or assets; currently pending or future litigation; risks if we are deemed to be an investment company under the Investment Company Act of 1940; the effect of new accounting pronouncements; competitive changes in the marketplace and other characterizations of future events or circumstances; and the other important factors discussed in our most recent Annual Report on Form 10-K and any subsequent Quarterly Reports on Form 10-Q or Current Reports on Form 8-K.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Further information on these and additional risks that could affect ContextLogic’s results is included in its filings with the Securities and Exchange Commission (“SEC”), including the Annual Report on Form 10-K for the year ended December 31, 2025 and other reports that ContextLogic files with the SEC from time to time, which could cause actual results to vary from expectations. Any forward-looking statement made by ContextLogic in this news release speaks only as of the day on which ContextLogic makes it. ContextLogic assumes no obligation to, and does not currently intend to, update any such forward-looking statements after the date of this release.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ContextLogic Holdings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Balance Sheets</w:t>
      </w:r>
    </w:p>
    <w:p>
      <w:pPr>
        <w:pStyle w:val="TextBody"/>
        <w:bidi w:val="0"/>
        <w:jc w:val="center"/>
        <w:rPr>
          <w:rFonts w:ascii="Times New Roman" w:hAnsi="Times New Roman"/>
          <w:b/>
          <w:color w:val="000000"/>
          <w:sz w:val="22"/>
        </w:rPr>
      </w:pPr>
      <w:r>
        <w:rPr>
          <w:rFonts w:ascii="Times New Roman" w:hAnsi="Times New Roman"/>
          <w:b/>
          <w:color w:val="000000"/>
          <w:sz w:val="22"/>
        </w:rPr>
        <w:t>($ in millions)</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902"/>
        <w:gridCol w:w="146"/>
        <w:gridCol w:w="544"/>
        <w:gridCol w:w="1092"/>
        <w:gridCol w:w="146"/>
        <w:gridCol w:w="146"/>
        <w:gridCol w:w="544"/>
        <w:gridCol w:w="1092"/>
        <w:gridCol w:w="593"/>
      </w:tblGrid>
      <w:tr>
        <w:trPr/>
        <w:tc>
          <w:tcPr>
            <w:tcW w:w="5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5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5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Non-controlling Interest,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9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9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redeemable non-controlling interest,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ContextLogic Holdings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Operations</w:t>
      </w:r>
    </w:p>
    <w:p>
      <w:pPr>
        <w:pStyle w:val="TextBody"/>
        <w:bidi w:val="0"/>
        <w:jc w:val="center"/>
        <w:rPr>
          <w:rFonts w:ascii="Times New Roman" w:hAnsi="Times New Roman"/>
          <w:b/>
          <w:color w:val="000000"/>
          <w:sz w:val="22"/>
        </w:rPr>
      </w:pPr>
      <w:r>
        <w:rPr>
          <w:rFonts w:ascii="Times New Roman" w:hAnsi="Times New Roman"/>
          <w:b/>
          <w:color w:val="000000"/>
          <w:sz w:val="22"/>
        </w:rPr>
        <w:t>($ in millions, shares in thousands, except per share data)</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130"/>
        <w:gridCol w:w="211"/>
        <w:gridCol w:w="676"/>
        <w:gridCol w:w="166"/>
        <w:gridCol w:w="146"/>
        <w:gridCol w:w="211"/>
        <w:gridCol w:w="676"/>
        <w:gridCol w:w="166"/>
        <w:gridCol w:w="146"/>
        <w:gridCol w:w="211"/>
        <w:gridCol w:w="676"/>
        <w:gridCol w:w="166"/>
        <w:gridCol w:w="146"/>
        <w:gridCol w:w="211"/>
        <w:gridCol w:w="676"/>
        <w:gridCol w:w="591"/>
      </w:tblGrid>
      <w:tr>
        <w:trPr/>
        <w:tc>
          <w:tcPr>
            <w:tcW w:w="5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1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Asset Sale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attributable to redeemable non-controlling interest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redeemable non-controlling interest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common stockholders,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ContextLogic Holdings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Cash Flows</w:t>
      </w:r>
    </w:p>
    <w:p>
      <w:pPr>
        <w:pStyle w:val="TextBody"/>
        <w:bidi w:val="0"/>
        <w:jc w:val="center"/>
        <w:rPr>
          <w:rFonts w:ascii="Times New Roman" w:hAnsi="Times New Roman"/>
          <w:b/>
          <w:color w:val="000000"/>
          <w:sz w:val="22"/>
        </w:rPr>
      </w:pPr>
      <w:r>
        <w:rPr>
          <w:rFonts w:ascii="Times New Roman" w:hAnsi="Times New Roman"/>
          <w:b/>
          <w:color w:val="000000"/>
          <w:sz w:val="22"/>
        </w:rPr>
        <w:t>(in millions)</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952"/>
        <w:gridCol w:w="146"/>
        <w:gridCol w:w="211"/>
        <w:gridCol w:w="481"/>
        <w:gridCol w:w="166"/>
        <w:gridCol w:w="146"/>
        <w:gridCol w:w="211"/>
        <w:gridCol w:w="481"/>
        <w:gridCol w:w="411"/>
      </w:tblGrid>
      <w:tr>
        <w:trPr/>
        <w:tc>
          <w:tcPr>
            <w:tcW w:w="7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adjustment attributable to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accretion of discounts and premiums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Asset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other current and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Merchants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refund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and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disposed on Asset Sale, net of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redeemable convertible Preferred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taxes related to RSU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effects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to the consolidated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prepaid and other current assets in the consolidated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p>
      <w:pPr>
        <w:pStyle w:val="TextBody"/>
        <w:bidi w:val="0"/>
        <w:spacing w:before="180" w:after="283"/>
        <w:jc w:val="left"/>
        <w:rPr>
          <w:rFonts w:ascii="Times New Roman" w:hAnsi="Times New Roman"/>
          <w:b/>
          <w:color w:val="000000"/>
          <w:sz w:val="22"/>
        </w:rPr>
      </w:pPr>
      <w:r>
        <w:rPr>
          <w:rFonts w:ascii="Times New Roman" w:hAnsi="Times New Roman"/>
          <w:b/>
          <w:color w:val="000000"/>
          <w:sz w:val="22"/>
        </w:rPr>
        <w:t>Investor Relations:</w:t>
      </w:r>
    </w:p>
    <w:p>
      <w:pPr>
        <w:pStyle w:val="TextBody"/>
        <w:bidi w:val="0"/>
        <w:jc w:val="left"/>
        <w:rPr>
          <w:rFonts w:ascii="Times New Roman" w:hAnsi="Times New Roman"/>
          <w:color w:val="000000"/>
          <w:sz w:val="22"/>
        </w:rPr>
      </w:pPr>
      <w:r>
        <w:rPr>
          <w:rFonts w:ascii="Times New Roman" w:hAnsi="Times New Roman"/>
          <w:color w:val="000000"/>
          <w:sz w:val="22"/>
        </w:rPr>
        <w:t>Lucy Simon, CLHI</w:t>
      </w:r>
    </w:p>
    <w:p>
      <w:pPr>
        <w:pStyle w:val="TextBody"/>
        <w:bidi w:val="0"/>
        <w:jc w:val="left"/>
        <w:rPr>
          <w:rFonts w:ascii="Times New Roman" w:hAnsi="Times New Roman"/>
          <w:color w:val="000000"/>
          <w:sz w:val="22"/>
        </w:rPr>
      </w:pPr>
      <w:r>
        <w:rPr>
          <w:rFonts w:ascii="Times New Roman" w:hAnsi="Times New Roman"/>
          <w:color w:val="000000"/>
          <w:sz w:val="22"/>
        </w:rPr>
        <w:t>ir@contextlogic.com</w:t>
      </w:r>
    </w:p>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2306</Words>
  <Characters>13025</Characters>
  <CharactersWithSpaces>15553</CharactersWithSpaces>
  <Paragraphs>995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