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ind w:left="3460" w:right="1540" w:hanging="3452"/>
        <w:spacing w:after="0" w:line="344" w:lineRule="auto"/>
        <w:tabs>
          <w:tab w:leader="none" w:pos="47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26" w:lineRule="exact"/>
        <w:rPr>
          <w:sz w:val="24"/>
          <w:szCs w:val="24"/>
          <w:color w:val="auto"/>
        </w:rPr>
      </w:pPr>
    </w:p>
    <w:p>
      <w:pPr>
        <w:ind w:left="4100" w:right="1540" w:hanging="4092"/>
        <w:spacing w:after="0" w:line="373" w:lineRule="auto"/>
        <w:tabs>
          <w:tab w:leader="none" w:pos="47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Commission File Number: </w:t>
      </w:r>
      <w:r>
        <w:rPr>
          <w:rFonts w:ascii="Arial" w:cs="Arial" w:eastAsia="Arial" w:hAnsi="Arial"/>
          <w:sz w:val="16"/>
          <w:szCs w:val="16"/>
          <w:b w:val="1"/>
          <w:bCs w:val="1"/>
          <w:color w:val="auto"/>
        </w:rPr>
        <w:t>001-39775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43"/>
          <w:szCs w:val="43"/>
          <w:b w:val="1"/>
          <w:bCs w:val="1"/>
          <w:color w:val="auto"/>
        </w:rPr>
        <w:t>ContextLogic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tbl>
      <w:tblPr>
        <w:tblLayout w:type="fixed"/>
        <w:tblInd w:w="1480" w:type="dxa"/>
        <w:tblCellMar>
          <w:top w:w="0" w:type="dxa"/>
          <w:left w:w="0" w:type="dxa"/>
          <w:bottom w:w="0" w:type="dxa"/>
          <w:right w:w="0" w:type="dxa"/>
        </w:tblCellMar>
      </w:tblPr>
      <w:tr>
        <w:trPr>
          <w:trHeight w:val="194"/>
        </w:trPr>
        <w:tc>
          <w:tcPr>
            <w:tcW w:w="4520" w:type="dxa"/>
            <w:vAlign w:val="bottom"/>
          </w:tcPr>
          <w:p>
            <w:pPr>
              <w:jc w:val="center"/>
              <w:ind w:right="1764"/>
              <w:spacing w:after="0"/>
              <w:rPr>
                <w:sz w:val="20"/>
                <w:szCs w:val="20"/>
                <w:color w:val="auto"/>
              </w:rPr>
            </w:pPr>
            <w:r>
              <w:rPr>
                <w:rFonts w:ascii="Arial" w:cs="Arial" w:eastAsia="Arial" w:hAnsi="Arial"/>
                <w:sz w:val="16"/>
                <w:szCs w:val="16"/>
                <w:b w:val="1"/>
                <w:bCs w:val="1"/>
                <w:color w:val="auto"/>
              </w:rPr>
              <w:t>Delaware</w:t>
            </w:r>
          </w:p>
        </w:tc>
        <w:tc>
          <w:tcPr>
            <w:tcW w:w="3040" w:type="dxa"/>
            <w:vAlign w:val="bottom"/>
          </w:tcPr>
          <w:p>
            <w:pPr>
              <w:jc w:val="right"/>
              <w:ind w:right="104"/>
              <w:spacing w:after="0"/>
              <w:rPr>
                <w:sz w:val="20"/>
                <w:szCs w:val="20"/>
                <w:color w:val="auto"/>
              </w:rPr>
            </w:pPr>
            <w:r>
              <w:rPr>
                <w:rFonts w:ascii="Arial" w:cs="Arial" w:eastAsia="Arial" w:hAnsi="Arial"/>
                <w:sz w:val="16"/>
                <w:szCs w:val="16"/>
                <w:b w:val="1"/>
                <w:bCs w:val="1"/>
                <w:color w:val="auto"/>
              </w:rPr>
              <w:t>27-2930953</w:t>
            </w:r>
          </w:p>
        </w:tc>
      </w:tr>
      <w:tr>
        <w:trPr>
          <w:trHeight w:val="162"/>
        </w:trPr>
        <w:tc>
          <w:tcPr>
            <w:tcW w:w="4520" w:type="dxa"/>
            <w:vAlign w:val="bottom"/>
          </w:tcPr>
          <w:p>
            <w:pPr>
              <w:jc w:val="center"/>
              <w:ind w:right="1784"/>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520" w:type="dxa"/>
            <w:vAlign w:val="bottom"/>
          </w:tcPr>
          <w:p>
            <w:pPr>
              <w:jc w:val="center"/>
              <w:ind w:right="1784"/>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Identification No.)</w:t>
            </w:r>
          </w:p>
        </w:tc>
      </w:tr>
      <w:tr>
        <w:trPr>
          <w:trHeight w:val="196"/>
        </w:trPr>
        <w:tc>
          <w:tcPr>
            <w:tcW w:w="4520" w:type="dxa"/>
            <w:vAlign w:val="bottom"/>
          </w:tcPr>
          <w:p>
            <w:pPr>
              <w:jc w:val="center"/>
              <w:ind w:right="1784"/>
              <w:spacing w:after="0"/>
              <w:rPr>
                <w:sz w:val="20"/>
                <w:szCs w:val="20"/>
                <w:color w:val="auto"/>
              </w:rPr>
            </w:pPr>
            <w:r>
              <w:rPr>
                <w:rFonts w:ascii="Arial" w:cs="Arial" w:eastAsia="Arial" w:hAnsi="Arial"/>
                <w:sz w:val="16"/>
                <w:szCs w:val="16"/>
                <w:b w:val="1"/>
                <w:bCs w:val="1"/>
                <w:color w:val="auto"/>
              </w:rPr>
              <w:t>One Sansome Street 33rd Floor</w:t>
            </w:r>
          </w:p>
        </w:tc>
        <w:tc>
          <w:tcPr>
            <w:tcW w:w="3040" w:type="dxa"/>
            <w:vAlign w:val="bottom"/>
          </w:tcPr>
          <w:p>
            <w:pPr>
              <w:spacing w:after="0"/>
              <w:rPr>
                <w:sz w:val="17"/>
                <w:szCs w:val="17"/>
                <w:color w:val="auto"/>
              </w:rPr>
            </w:pPr>
          </w:p>
        </w:tc>
      </w:tr>
      <w:tr>
        <w:trPr>
          <w:trHeight w:val="194"/>
        </w:trPr>
        <w:tc>
          <w:tcPr>
            <w:tcW w:w="4520" w:type="dxa"/>
            <w:vAlign w:val="bottom"/>
          </w:tcPr>
          <w:p>
            <w:pPr>
              <w:jc w:val="center"/>
              <w:ind w:right="1764"/>
              <w:spacing w:after="0"/>
              <w:rPr>
                <w:sz w:val="20"/>
                <w:szCs w:val="20"/>
                <w:color w:val="auto"/>
              </w:rPr>
            </w:pPr>
            <w:r>
              <w:rPr>
                <w:rFonts w:ascii="Arial" w:cs="Arial" w:eastAsia="Arial" w:hAnsi="Arial"/>
                <w:sz w:val="16"/>
                <w:szCs w:val="16"/>
                <w:b w:val="1"/>
                <w:bCs w:val="1"/>
                <w:color w:val="auto"/>
              </w:rPr>
              <w:t>San Francisco, CA</w:t>
            </w:r>
          </w:p>
        </w:tc>
        <w:tc>
          <w:tcPr>
            <w:tcW w:w="3040" w:type="dxa"/>
            <w:vAlign w:val="bottom"/>
          </w:tcPr>
          <w:p>
            <w:pPr>
              <w:jc w:val="right"/>
              <w:ind w:right="304"/>
              <w:spacing w:after="0"/>
              <w:rPr>
                <w:sz w:val="20"/>
                <w:szCs w:val="20"/>
                <w:color w:val="auto"/>
              </w:rPr>
            </w:pPr>
            <w:r>
              <w:rPr>
                <w:rFonts w:ascii="Arial" w:cs="Arial" w:eastAsia="Arial" w:hAnsi="Arial"/>
                <w:sz w:val="16"/>
                <w:szCs w:val="16"/>
                <w:b w:val="1"/>
                <w:bCs w:val="1"/>
                <w:color w:val="auto"/>
              </w:rPr>
              <w:t>94104</w:t>
            </w:r>
          </w:p>
        </w:tc>
      </w:tr>
      <w:tr>
        <w:trPr>
          <w:trHeight w:val="190"/>
        </w:trPr>
        <w:tc>
          <w:tcPr>
            <w:tcW w:w="4520" w:type="dxa"/>
            <w:vAlign w:val="bottom"/>
          </w:tcPr>
          <w:p>
            <w:pPr>
              <w:jc w:val="center"/>
              <w:ind w:right="1764"/>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4"/>
              <w:spacing w:after="0"/>
              <w:rPr>
                <w:sz w:val="20"/>
                <w:szCs w:val="20"/>
                <w:color w:val="auto"/>
              </w:rPr>
            </w:pPr>
            <w:r>
              <w:rPr>
                <w:rFonts w:ascii="Arial" w:cs="Arial" w:eastAsia="Arial" w:hAnsi="Arial"/>
                <w:sz w:val="14"/>
                <w:szCs w:val="14"/>
                <w:b w:val="1"/>
                <w:bCs w:val="1"/>
                <w:color w:val="auto"/>
              </w:rPr>
              <w:t>(Zip Code)</w:t>
            </w: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(415) 432-7323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20" w:type="dxa"/>
            <w:vAlign w:val="bottom"/>
            <w:gridSpan w:val="3"/>
          </w:tcPr>
          <w:p>
            <w:pPr>
              <w:ind w:left="600"/>
              <w:spacing w:after="0"/>
              <w:rPr>
                <w:sz w:val="20"/>
                <w:szCs w:val="20"/>
                <w:color w:val="auto"/>
              </w:rPr>
            </w:pPr>
            <w:r>
              <w:rPr>
                <w:rFonts w:ascii="Arial" w:cs="Arial" w:eastAsia="Arial" w:hAnsi="Arial"/>
                <w:sz w:val="16"/>
                <w:szCs w:val="16"/>
                <w:color w:val="auto"/>
              </w:rPr>
              <w:t>Securities registered pursuant to Section 12(b) of the Act:</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r>
      <w:tr>
        <w:trPr>
          <w:trHeight w:val="276"/>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224"/>
              <w:spacing w:after="0"/>
              <w:rPr>
                <w:sz w:val="20"/>
                <w:szCs w:val="20"/>
                <w:color w:val="auto"/>
              </w:rPr>
            </w:pPr>
            <w:r>
              <w:rPr>
                <w:rFonts w:ascii="Arial" w:cs="Arial" w:eastAsia="Arial" w:hAnsi="Arial"/>
                <w:sz w:val="16"/>
                <w:szCs w:val="16"/>
                <w:b w:val="1"/>
                <w:bCs w:val="1"/>
                <w:color w:val="auto"/>
                <w:w w:val="99"/>
              </w:rPr>
              <w:t>Trading Symbol(s)</w:t>
            </w:r>
          </w:p>
        </w:tc>
        <w:tc>
          <w:tcPr>
            <w:tcW w:w="10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98"/>
        </w:trPr>
        <w:tc>
          <w:tcPr>
            <w:tcW w:w="4820" w:type="dxa"/>
            <w:vAlign w:val="bottom"/>
            <w:gridSpan w:val="3"/>
          </w:tcPr>
          <w:p>
            <w:pPr>
              <w:jc w:val="center"/>
              <w:ind w:right="420"/>
              <w:spacing w:after="0"/>
              <w:rPr>
                <w:sz w:val="20"/>
                <w:szCs w:val="20"/>
                <w:color w:val="auto"/>
              </w:rPr>
            </w:pPr>
            <w:r>
              <w:rPr>
                <w:rFonts w:ascii="Arial" w:cs="Arial" w:eastAsia="Arial" w:hAnsi="Arial"/>
                <w:sz w:val="14"/>
                <w:szCs w:val="14"/>
                <w:color w:val="auto"/>
              </w:rPr>
              <w:t>Class A Common Stock, $0.0001 par value</w:t>
            </w:r>
          </w:p>
        </w:tc>
        <w:tc>
          <w:tcPr>
            <w:tcW w:w="2040" w:type="dxa"/>
            <w:vAlign w:val="bottom"/>
            <w:gridSpan w:val="2"/>
          </w:tcPr>
          <w:p>
            <w:pPr>
              <w:jc w:val="center"/>
              <w:ind w:right="420"/>
              <w:spacing w:after="0"/>
              <w:rPr>
                <w:sz w:val="20"/>
                <w:szCs w:val="20"/>
                <w:color w:val="auto"/>
              </w:rPr>
            </w:pPr>
            <w:r>
              <w:rPr>
                <w:rFonts w:ascii="Arial" w:cs="Arial" w:eastAsia="Arial" w:hAnsi="Arial"/>
                <w:sz w:val="14"/>
                <w:szCs w:val="14"/>
                <w:color w:val="auto"/>
              </w:rPr>
              <w:t>WISH</w:t>
            </w:r>
          </w:p>
        </w:tc>
        <w:tc>
          <w:tcPr>
            <w:tcW w:w="4380" w:type="dxa"/>
            <w:vAlign w:val="bottom"/>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54" w:lineRule="exact"/>
        <w:rPr>
          <w:sz w:val="24"/>
          <w:szCs w:val="24"/>
          <w:color w:val="auto"/>
        </w:rPr>
      </w:pPr>
    </w:p>
    <w:p>
      <w:pPr>
        <w:jc w:val="both"/>
        <w:ind w:firstLine="599"/>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jc w:val="both"/>
        <w:ind w:firstLine="599"/>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184" w:lineRule="exact"/>
        <w:tabs>
          <w:tab w:leader="none" w:pos="8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jc w:val="both"/>
        <w:ind w:firstLine="599"/>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1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spacing w:after="0"/>
              <w:rPr>
                <w:sz w:val="22"/>
                <w:szCs w:val="22"/>
                <w:color w:val="auto"/>
              </w:rPr>
            </w:pPr>
          </w:p>
        </w:tc>
        <w:tc>
          <w:tcPr>
            <w:tcW w:w="320" w:type="dxa"/>
            <w:vAlign w:val="bottom"/>
          </w:tcPr>
          <w:p>
            <w:pPr>
              <w:spacing w:after="0"/>
              <w:rPr>
                <w:sz w:val="22"/>
                <w:szCs w:val="22"/>
                <w:color w:val="auto"/>
              </w:rPr>
            </w:pPr>
          </w:p>
        </w:tc>
      </w:tr>
    </w:tbl>
    <w:p>
      <w:pPr>
        <w:spacing w:after="0" w:line="71" w:lineRule="exact"/>
        <w:rPr>
          <w:sz w:val="24"/>
          <w:szCs w:val="24"/>
          <w:color w:val="auto"/>
        </w:rPr>
      </w:pPr>
    </w:p>
    <w:p>
      <w:pPr>
        <w:jc w:val="both"/>
        <w:ind w:right="20" w:firstLine="599"/>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ind w:left="600"/>
        <w:spacing w:after="0" w:line="184" w:lineRule="exact"/>
        <w:tabs>
          <w:tab w:leader="none" w:pos="8900" w:val="left"/>
          <w:tab w:leader="none" w:pos="9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8" w:lineRule="exact"/>
        <w:rPr>
          <w:sz w:val="24"/>
          <w:szCs w:val="24"/>
          <w:color w:val="auto"/>
        </w:rPr>
      </w:pPr>
    </w:p>
    <w:p>
      <w:pPr>
        <w:jc w:val="both"/>
        <w:ind w:firstLine="599"/>
        <w:spacing w:after="0" w:line="201"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2" w:lineRule="exact"/>
        <w:rPr>
          <w:sz w:val="24"/>
          <w:szCs w:val="24"/>
          <w:color w:val="auto"/>
        </w:rPr>
      </w:pPr>
    </w:p>
    <w:p>
      <w:pPr>
        <w:jc w:val="both"/>
        <w:ind w:firstLine="599"/>
        <w:spacing w:after="0" w:line="260" w:lineRule="auto"/>
        <w:rPr>
          <w:sz w:val="20"/>
          <w:szCs w:val="20"/>
          <w:color w:val="auto"/>
        </w:rPr>
      </w:pPr>
      <w:r>
        <w:rPr>
          <w:rFonts w:ascii="Arial" w:cs="Arial" w:eastAsia="Arial" w:hAnsi="Arial"/>
          <w:sz w:val="16"/>
          <w:szCs w:val="16"/>
          <w:color w:val="auto"/>
        </w:rPr>
        <w:t>As of October 31, 2021, the number of shares of the registrant’s Class A common stock outstanding was 577 million and the number of shares of the registrant’s Class B common stock outstanding was 66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60" w:type="dxa"/>
            <w:vAlign w:val="bottom"/>
            <w:tcBorders>
              <w:bottom w:val="single" w:sz="8" w:color="0000EE"/>
            </w:tcBorders>
            <w:gridSpan w:val="11"/>
          </w:tcPr>
          <w:p>
            <w:pPr>
              <w:spacing w:after="0" w:line="176" w:lineRule="exact"/>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Special Note Regarding Forward-Looking Statements</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24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FINANCIAL INFORMATION</w:t>
              </w:r>
            </w:hyperlink>
          </w:p>
        </w:tc>
        <w:tc>
          <w:tcPr>
            <w:tcW w:w="7060" w:type="dxa"/>
            <w:vAlign w:val="bottom"/>
            <w:gridSpan w:val="12"/>
          </w:tcPr>
          <w:p>
            <w:pPr>
              <w:spacing w:after="0"/>
              <w:rPr>
                <w:sz w:val="19"/>
                <w:szCs w:val="19"/>
                <w:color w:val="auto"/>
              </w:rPr>
            </w:pPr>
          </w:p>
        </w:tc>
        <w:tc>
          <w:tcPr>
            <w:tcW w:w="780" w:type="dxa"/>
            <w:vAlign w:val="bottom"/>
          </w:tcPr>
          <w:p>
            <w:pPr>
              <w:spacing w:after="0"/>
              <w:rPr>
                <w:sz w:val="19"/>
                <w:szCs w:val="19"/>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0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0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20" w:type="dxa"/>
            <w:vAlign w:val="bottom"/>
            <w:tcBorders>
              <w:bottom w:val="single" w:sz="8" w:color="0000EE"/>
            </w:tcBorders>
            <w:gridSpan w:val="15"/>
          </w:tcPr>
          <w:p>
            <w:pPr>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Comprehensive Loss</w:t>
              </w:r>
            </w:hyperlink>
          </w:p>
        </w:tc>
        <w:tc>
          <w:tcPr>
            <w:tcW w:w="43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10"/>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60" w:type="dxa"/>
            <w:vAlign w:val="bottom"/>
            <w:tcBorders>
              <w:bottom w:val="single" w:sz="8" w:color="0000EE"/>
            </w:tcBorders>
            <w:gridSpan w:val="14"/>
          </w:tcPr>
          <w:p>
            <w:pP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Stockholders’ Equity</w:t>
              </w:r>
            </w:hyperlink>
          </w:p>
        </w:tc>
        <w:tc>
          <w:tcPr>
            <w:tcW w:w="480" w:type="dxa"/>
            <w:vAlign w:val="bottom"/>
            <w:gridSpan w:val="2"/>
          </w:tcPr>
          <w:p>
            <w:pPr>
              <w:spacing w:after="0"/>
              <w:rPr>
                <w:sz w:val="18"/>
                <w:szCs w:val="18"/>
                <w:color w:val="auto"/>
              </w:rPr>
            </w:pPr>
          </w:p>
        </w:tc>
        <w:tc>
          <w:tcPr>
            <w:tcW w:w="17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40" w:type="dxa"/>
            <w:vAlign w:val="bottom"/>
            <w:tcBorders>
              <w:bottom w:val="single" w:sz="8" w:color="0000EE"/>
            </w:tcBorders>
            <w:gridSpan w:val="16"/>
          </w:tcPr>
          <w:p>
            <w:pPr>
              <w:spacing w:after="0" w:line="19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Notes to Unaudited Condensed Consolidated Financial Statements</w:t>
              </w:r>
            </w:hyperlink>
          </w:p>
        </w:tc>
        <w:tc>
          <w:tcPr>
            <w:tcW w:w="396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7"/>
          </w:tcPr>
          <w:p>
            <w:pPr>
              <w:spacing w:after="0" w:line="196"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Management’s Discussion and Analysis of Financial Condition and Results of Operations</w:t>
              </w:r>
            </w:hyperlink>
          </w:p>
        </w:tc>
        <w:tc>
          <w:tcPr>
            <w:tcW w:w="2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300" w:type="dxa"/>
            <w:vAlign w:val="bottom"/>
            <w:gridSpan w:val="1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460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EE"/>
            </w:tcBorders>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7320" w:type="dxa"/>
            <w:vAlign w:val="bottom"/>
            <w:gridSpan w:val="13"/>
          </w:tcPr>
          <w:p>
            <w:pPr>
              <w:spacing w:after="0"/>
              <w:rPr>
                <w:sz w:val="18"/>
                <w:szCs w:val="18"/>
                <w:color w:val="auto"/>
              </w:rPr>
            </w:pPr>
          </w:p>
        </w:tc>
        <w:tc>
          <w:tcPr>
            <w:tcW w:w="780" w:type="dxa"/>
            <w:vAlign w:val="bottom"/>
          </w:tcPr>
          <w:p>
            <w:pPr>
              <w:spacing w:after="0"/>
              <w:rPr>
                <w:sz w:val="18"/>
                <w:szCs w:val="18"/>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920" w:type="dxa"/>
            <w:vAlign w:val="bottom"/>
            <w:tcBorders>
              <w:top w:val="single" w:sz="8" w:color="0000EE"/>
            </w:tcBorders>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738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Risk Factors</w:t>
              </w:r>
            </w:hyperlink>
          </w:p>
        </w:tc>
        <w:tc>
          <w:tcPr>
            <w:tcW w:w="480" w:type="dxa"/>
            <w:vAlign w:val="bottom"/>
            <w:tcBorders>
              <w:top w:val="single" w:sz="8" w:color="0000EE"/>
            </w:tcBorders>
          </w:tcPr>
          <w:p>
            <w:pPr>
              <w:spacing w:after="0"/>
              <w:rPr>
                <w:sz w:val="17"/>
                <w:szCs w:val="17"/>
                <w:color w:val="auto"/>
              </w:rPr>
            </w:pPr>
          </w:p>
        </w:tc>
        <w:tc>
          <w:tcPr>
            <w:tcW w:w="782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48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44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160" w:type="dxa"/>
            <w:vAlign w:val="bottom"/>
            <w:gridSpan w:val="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01"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("Securities Act"), and Section 21E of the Securities Exchange Act of 1934, as amended ("Exchange Act"), which statements involve substantial risks and uncertainties. Forward-looking statements include all statements that are not historical facts. Examples of such statements include but are not limited to information concerning our possible or assumed future results of operations and expenses, new or planned features or services, management strategies and plans, competitive position, business environment and potential growth strategies and opportunities. In some cases, forward-looking statements can be identified by terms such as “anticipates,” “believes,” “could,” “estimates,” “expects,” “forecast,” “foresee,” “intends,” “likely,” “may,” “plans,” “potential,” “predicts,” “projects,” “seeks,” “should,” “will,” “would” or similar expressions and the negatives of those terms.</w:t>
      </w:r>
    </w:p>
    <w:p>
      <w:pPr>
        <w:spacing w:after="0" w:line="154"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risks include those described in Part II, Item 1A. “Risk Factors” in this Quarterly Report on Form 10-Q, as well as in our condensed consolidated financial statements, related notes, and the other information appearing elsewhere in this Quarterly Report on Form 10-Q and our other filings with the Securities and Exchange Commission. The inclusion of forward-looking information should not be regarded as a representation by us, our management or any other person that the future plans, estimates, or expectations contemplated by us will be achieved. Given these uncertainties, you should not place undue reliance on any forward-looking statements in this Quarterly Report on Form 10-Q.</w:t>
      </w:r>
    </w:p>
    <w:p>
      <w:pPr>
        <w:spacing w:after="0" w:line="154"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48"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51"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with the Securities and Exchange Commission as exhibits to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of September 30,</w:t>
            </w:r>
          </w:p>
        </w:tc>
        <w:tc>
          <w:tcPr>
            <w:tcW w:w="160" w:type="dxa"/>
            <w:vAlign w:val="bottom"/>
          </w:tcPr>
          <w:p>
            <w:pPr>
              <w:spacing w:after="0"/>
              <w:rPr>
                <w:sz w:val="15"/>
                <w:szCs w:val="15"/>
                <w:color w:val="auto"/>
              </w:rPr>
            </w:pPr>
          </w:p>
        </w:tc>
        <w:tc>
          <w:tcPr>
            <w:tcW w:w="1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 December 31,</w:t>
            </w:r>
          </w:p>
        </w:tc>
      </w:tr>
      <w:tr>
        <w:trPr>
          <w:trHeight w:val="175"/>
        </w:trPr>
        <w:tc>
          <w:tcPr>
            <w:tcW w:w="73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r>
      <w:tr>
        <w:trPr>
          <w:trHeight w:val="169"/>
        </w:trPr>
        <w:tc>
          <w:tcPr>
            <w:tcW w:w="73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6"/>
        </w:trPr>
        <w:tc>
          <w:tcPr>
            <w:tcW w:w="7360" w:type="dxa"/>
            <w:vAlign w:val="bottom"/>
          </w:tcPr>
          <w:p>
            <w:pPr>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1,965</w:t>
            </w:r>
          </w:p>
        </w:tc>
        <w:tc>
          <w:tcPr>
            <w:tcW w:w="120" w:type="dxa"/>
            <w:vAlign w:val="bottom"/>
            <w:shd w:val="clear" w:color="auto" w:fill="CFF0FC"/>
          </w:tcPr>
          <w:p>
            <w:pPr>
              <w:spacing w:after="0"/>
              <w:rPr>
                <w:sz w:val="15"/>
                <w:szCs w:val="15"/>
                <w:color w:val="auto"/>
              </w:rPr>
            </w:pPr>
          </w:p>
        </w:tc>
      </w:tr>
      <w:tr>
        <w:trPr>
          <w:trHeight w:val="176"/>
        </w:trPr>
        <w:tc>
          <w:tcPr>
            <w:tcW w:w="7360" w:type="dxa"/>
            <w:vAlign w:val="bottom"/>
          </w:tcPr>
          <w:p>
            <w:pPr>
              <w:ind w:left="260"/>
              <w:spacing w:after="0"/>
              <w:rPr>
                <w:sz w:val="20"/>
                <w:szCs w:val="20"/>
                <w:color w:val="auto"/>
              </w:rPr>
            </w:pPr>
            <w:r>
              <w:rPr>
                <w:rFonts w:ascii="Arial" w:cs="Arial" w:eastAsia="Arial" w:hAnsi="Arial"/>
                <w:sz w:val="14"/>
                <w:szCs w:val="14"/>
                <w:color w:val="auto"/>
              </w:rPr>
              <w:t>Marketable securities</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5"/>
                <w:szCs w:val="15"/>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Funds receivable</w:t>
            </w: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FF0FC"/>
          </w:tcPr>
          <w:p>
            <w:pPr>
              <w:spacing w:after="0"/>
              <w:rPr>
                <w:sz w:val="15"/>
                <w:szCs w:val="15"/>
                <w:color w:val="auto"/>
              </w:rPr>
            </w:pPr>
          </w:p>
        </w:tc>
      </w:tr>
      <w:tr>
        <w:trPr>
          <w:trHeight w:val="176"/>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FF0FC"/>
            </w:tcBorders>
          </w:tcPr>
          <w:p>
            <w:pPr>
              <w:spacing w:after="0"/>
              <w:rPr>
                <w:sz w:val="15"/>
                <w:szCs w:val="15"/>
                <w:color w:val="auto"/>
              </w:rPr>
            </w:pPr>
          </w:p>
        </w:tc>
      </w:tr>
      <w:tr>
        <w:trPr>
          <w:trHeight w:val="169"/>
        </w:trPr>
        <w:tc>
          <w:tcPr>
            <w:tcW w:w="73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1,315</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2,314</w:t>
            </w:r>
          </w:p>
        </w:tc>
        <w:tc>
          <w:tcPr>
            <w:tcW w:w="120" w:type="dxa"/>
            <w:vAlign w:val="bottom"/>
            <w:shd w:val="clear" w:color="auto" w:fill="CFF0FC"/>
          </w:tcPr>
          <w:p>
            <w:pPr>
              <w:spacing w:after="0"/>
              <w:rPr>
                <w:sz w:val="14"/>
                <w:szCs w:val="14"/>
                <w:color w:val="auto"/>
              </w:rPr>
            </w:pPr>
          </w:p>
        </w:tc>
      </w:tr>
      <w:tr>
        <w:trPr>
          <w:trHeight w:val="175"/>
        </w:trPr>
        <w:tc>
          <w:tcPr>
            <w:tcW w:w="73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r>
      <w:tr>
        <w:trPr>
          <w:trHeight w:val="176"/>
        </w:trPr>
        <w:tc>
          <w:tcPr>
            <w:tcW w:w="7360" w:type="dxa"/>
            <w:vAlign w:val="bottom"/>
            <w:shd w:val="clear" w:color="auto" w:fill="CFF0FC"/>
          </w:tcPr>
          <w:p>
            <w:pPr>
              <w:spacing w:after="0"/>
              <w:rPr>
                <w:sz w:val="20"/>
                <w:szCs w:val="20"/>
                <w:color w:val="auto"/>
              </w:rPr>
            </w:pPr>
            <w:r>
              <w:rPr>
                <w:rFonts w:ascii="Arial" w:cs="Arial" w:eastAsia="Arial" w:hAnsi="Arial"/>
                <w:sz w:val="14"/>
                <w:szCs w:val="14"/>
                <w:color w:val="auto"/>
              </w:rPr>
              <w:t>Right-of-use assets</w:t>
            </w: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FF0FC"/>
          </w:tcPr>
          <w:p>
            <w:pPr>
              <w:spacing w:after="0"/>
              <w:rPr>
                <w:sz w:val="15"/>
                <w:szCs w:val="15"/>
                <w:color w:val="auto"/>
              </w:rPr>
            </w:pPr>
          </w:p>
        </w:tc>
      </w:tr>
      <w:tr>
        <w:trPr>
          <w:trHeight w:val="176"/>
        </w:trPr>
        <w:tc>
          <w:tcPr>
            <w:tcW w:w="7360" w:type="dxa"/>
            <w:vAlign w:val="bottom"/>
          </w:tcPr>
          <w:p>
            <w:pPr>
              <w:spacing w:after="0"/>
              <w:rPr>
                <w:sz w:val="20"/>
                <w:szCs w:val="20"/>
                <w:color w:val="auto"/>
              </w:rPr>
            </w:pPr>
            <w:r>
              <w:rPr>
                <w:rFonts w:ascii="Arial" w:cs="Arial" w:eastAsia="Arial" w:hAnsi="Arial"/>
                <w:sz w:val="14"/>
                <w:szCs w:val="14"/>
                <w:color w:val="auto"/>
              </w:rPr>
              <w:t>Marketable securities</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r>
      <w:tr>
        <w:trPr>
          <w:trHeight w:val="175"/>
        </w:trPr>
        <w:tc>
          <w:tcPr>
            <w:tcW w:w="7360" w:type="dxa"/>
            <w:vAlign w:val="bottom"/>
            <w:shd w:val="clear" w:color="auto" w:fill="CFF0FC"/>
          </w:tcPr>
          <w:p>
            <w:pPr>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FF0FC"/>
          </w:tcPr>
          <w:p>
            <w:pPr>
              <w:spacing w:after="0"/>
              <w:rPr>
                <w:sz w:val="15"/>
                <w:szCs w:val="15"/>
                <w:color w:val="auto"/>
              </w:rPr>
            </w:pPr>
          </w:p>
        </w:tc>
      </w:tr>
      <w:tr>
        <w:trPr>
          <w:trHeight w:val="209"/>
        </w:trPr>
        <w:tc>
          <w:tcPr>
            <w:tcW w:w="73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2,397</w:t>
            </w:r>
          </w:p>
        </w:tc>
        <w:tc>
          <w:tcPr>
            <w:tcW w:w="120" w:type="dxa"/>
            <w:vAlign w:val="bottom"/>
            <w:tcBorders>
              <w:bottom w:val="single" w:sz="8" w:color="CFF0FC"/>
            </w:tcBorders>
          </w:tcPr>
          <w:p>
            <w:pPr>
              <w:spacing w:after="0"/>
              <w:rPr>
                <w:sz w:val="18"/>
                <w:szCs w:val="18"/>
                <w:color w:val="auto"/>
              </w:rPr>
            </w:pPr>
          </w:p>
        </w:tc>
      </w:tr>
      <w:tr>
        <w:trPr>
          <w:trHeight w:val="156"/>
        </w:trPr>
        <w:tc>
          <w:tcPr>
            <w:tcW w:w="7360" w:type="dxa"/>
            <w:vAlign w:val="bottom"/>
            <w:shd w:val="clear" w:color="auto" w:fill="CFF0FC"/>
          </w:tcPr>
          <w:p>
            <w:pPr>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6"/>
        </w:trPr>
        <w:tc>
          <w:tcPr>
            <w:tcW w:w="7360" w:type="dxa"/>
            <w:vAlign w:val="bottom"/>
          </w:tcPr>
          <w:p>
            <w:pPr>
              <w:spacing w:after="0"/>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FF0FC"/>
          </w:tcPr>
          <w:p>
            <w:pPr>
              <w:spacing w:after="0"/>
              <w:rPr>
                <w:sz w:val="15"/>
                <w:szCs w:val="15"/>
                <w:color w:val="auto"/>
              </w:rPr>
            </w:pPr>
          </w:p>
        </w:tc>
      </w:tr>
      <w:tr>
        <w:trPr>
          <w:trHeight w:val="176"/>
        </w:trPr>
        <w:tc>
          <w:tcPr>
            <w:tcW w:w="7360" w:type="dxa"/>
            <w:vAlign w:val="bottom"/>
          </w:tcPr>
          <w:p>
            <w:pPr>
              <w:ind w:left="260"/>
              <w:spacing w:after="0"/>
              <w:rPr>
                <w:sz w:val="20"/>
                <w:szCs w:val="20"/>
                <w:color w:val="auto"/>
              </w:rPr>
            </w:pPr>
            <w:r>
              <w:rPr>
                <w:rFonts w:ascii="Arial" w:cs="Arial" w:eastAsia="Arial" w:hAnsi="Arial"/>
                <w:sz w:val="14"/>
                <w:szCs w:val="14"/>
                <w:color w:val="auto"/>
              </w:rPr>
              <w:t>Merchants payable</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216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15"/>
                <w:szCs w:val="15"/>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Refunds liability</w:t>
            </w: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FF0FC"/>
          </w:tcPr>
          <w:p>
            <w:pPr>
              <w:spacing w:after="0"/>
              <w:rPr>
                <w:sz w:val="15"/>
                <w:szCs w:val="15"/>
                <w:color w:val="auto"/>
              </w:rPr>
            </w:pPr>
          </w:p>
        </w:tc>
      </w:tr>
      <w:tr>
        <w:trPr>
          <w:trHeight w:val="176"/>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Accrued liabilities</w:t>
            </w: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Borders>
              <w:bottom w:val="single" w:sz="8" w:color="CFF0FC"/>
            </w:tcBorders>
          </w:tcPr>
          <w:p>
            <w:pPr>
              <w:spacing w:after="0"/>
              <w:rPr>
                <w:sz w:val="15"/>
                <w:szCs w:val="15"/>
                <w:color w:val="auto"/>
              </w:rPr>
            </w:pPr>
          </w:p>
        </w:tc>
      </w:tr>
      <w:tr>
        <w:trPr>
          <w:trHeight w:val="169"/>
        </w:trPr>
        <w:tc>
          <w:tcPr>
            <w:tcW w:w="73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1,332</w:t>
            </w:r>
          </w:p>
        </w:tc>
        <w:tc>
          <w:tcPr>
            <w:tcW w:w="120" w:type="dxa"/>
            <w:vAlign w:val="bottom"/>
            <w:shd w:val="clear" w:color="auto" w:fill="CFF0FC"/>
          </w:tcPr>
          <w:p>
            <w:pPr>
              <w:spacing w:after="0"/>
              <w:rPr>
                <w:sz w:val="14"/>
                <w:szCs w:val="14"/>
                <w:color w:val="auto"/>
              </w:rPr>
            </w:pPr>
          </w:p>
        </w:tc>
      </w:tr>
      <w:tr>
        <w:trPr>
          <w:trHeight w:val="175"/>
        </w:trPr>
        <w:tc>
          <w:tcPr>
            <w:tcW w:w="73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Lease liabilities, non-current</w:t>
            </w: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FF0FC"/>
            </w:tcBorders>
          </w:tcPr>
          <w:p>
            <w:pPr>
              <w:spacing w:after="0"/>
              <w:rPr>
                <w:sz w:val="15"/>
                <w:szCs w:val="15"/>
                <w:color w:val="auto"/>
              </w:rPr>
            </w:pPr>
          </w:p>
        </w:tc>
      </w:tr>
      <w:tr>
        <w:trPr>
          <w:trHeight w:val="169"/>
        </w:trPr>
        <w:tc>
          <w:tcPr>
            <w:tcW w:w="7360" w:type="dxa"/>
            <w:vAlign w:val="bottom"/>
            <w:shd w:val="clear" w:color="auto" w:fill="CFF0FC"/>
          </w:tcPr>
          <w:p>
            <w:pPr>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536</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1,370</w:t>
            </w:r>
          </w:p>
        </w:tc>
        <w:tc>
          <w:tcPr>
            <w:tcW w:w="120" w:type="dxa"/>
            <w:vAlign w:val="bottom"/>
            <w:shd w:val="clear" w:color="auto" w:fill="CFF0FC"/>
          </w:tcPr>
          <w:p>
            <w:pPr>
              <w:spacing w:after="0"/>
              <w:rPr>
                <w:sz w:val="14"/>
                <w:szCs w:val="14"/>
                <w:color w:val="auto"/>
              </w:rPr>
            </w:pPr>
          </w:p>
        </w:tc>
      </w:tr>
      <w:tr>
        <w:trPr>
          <w:trHeight w:val="169"/>
        </w:trPr>
        <w:tc>
          <w:tcPr>
            <w:tcW w:w="7360" w:type="dxa"/>
            <w:vAlign w:val="bottom"/>
          </w:tcPr>
          <w:p>
            <w:pPr>
              <w:spacing w:after="0"/>
              <w:rPr>
                <w:sz w:val="20"/>
                <w:szCs w:val="20"/>
                <w:color w:val="auto"/>
              </w:rPr>
            </w:pPr>
            <w:r>
              <w:rPr>
                <w:rFonts w:ascii="Arial" w:cs="Arial" w:eastAsia="Arial" w:hAnsi="Arial"/>
                <w:sz w:val="14"/>
                <w:szCs w:val="14"/>
                <w:color w:val="auto"/>
              </w:rPr>
              <w:t>Commitments and contingencies (Note 7)</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360" w:type="dxa"/>
            <w:vAlign w:val="bottom"/>
            <w:shd w:val="clear" w:color="auto" w:fill="CFF0FC"/>
          </w:tcPr>
          <w:p>
            <w:pPr>
              <w:spacing w:after="0"/>
              <w:rPr>
                <w:sz w:val="20"/>
                <w:szCs w:val="20"/>
                <w:color w:val="auto"/>
              </w:rPr>
            </w:pPr>
            <w:r>
              <w:rPr>
                <w:rFonts w:ascii="Arial" w:cs="Arial" w:eastAsia="Arial" w:hAnsi="Arial"/>
                <w:sz w:val="14"/>
                <w:szCs w:val="14"/>
                <w:color w:val="auto"/>
              </w:rPr>
              <w:t>Stockholders’ equity:</w:t>
            </w: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0"/>
        </w:trPr>
        <w:tc>
          <w:tcPr>
            <w:tcW w:w="7360" w:type="dxa"/>
            <w:vAlign w:val="bottom"/>
          </w:tcPr>
          <w:p>
            <w:pPr>
              <w:ind w:left="260"/>
              <w:spacing w:after="0"/>
              <w:rPr>
                <w:sz w:val="20"/>
                <w:szCs w:val="20"/>
                <w:color w:val="auto"/>
              </w:rPr>
            </w:pPr>
            <w:r>
              <w:rPr>
                <w:rFonts w:ascii="Arial" w:cs="Arial" w:eastAsia="Arial" w:hAnsi="Arial"/>
                <w:sz w:val="14"/>
                <w:szCs w:val="14"/>
                <w:color w:val="auto"/>
              </w:rPr>
              <w:t>Preferred stock, $0.0001 par value: 100 shares authorized as of September 30, 2021 and December 31,</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7"/>
        </w:trPr>
        <w:tc>
          <w:tcPr>
            <w:tcW w:w="7360" w:type="dxa"/>
            <w:vAlign w:val="bottom"/>
          </w:tcPr>
          <w:p>
            <w:pPr>
              <w:ind w:left="260"/>
              <w:spacing w:after="0" w:line="157" w:lineRule="exact"/>
              <w:rPr>
                <w:sz w:val="20"/>
                <w:szCs w:val="20"/>
                <w:color w:val="auto"/>
              </w:rPr>
            </w:pPr>
            <w:r>
              <w:rPr>
                <w:rFonts w:ascii="Arial" w:cs="Arial" w:eastAsia="Arial" w:hAnsi="Arial"/>
                <w:sz w:val="14"/>
                <w:szCs w:val="14"/>
                <w:color w:val="auto"/>
              </w:rPr>
              <w:t>2020; No shares issued and outstanding as of September 30, 2021 and December 31, 2020</w:t>
            </w:r>
          </w:p>
        </w:tc>
        <w:tc>
          <w:tcPr>
            <w:tcW w:w="100" w:type="dxa"/>
            <w:vAlign w:val="bottom"/>
          </w:tcPr>
          <w:p>
            <w:pPr>
              <w:spacing w:after="0"/>
              <w:rPr>
                <w:sz w:val="13"/>
                <w:szCs w:val="13"/>
                <w:color w:val="auto"/>
              </w:rPr>
            </w:pPr>
          </w:p>
        </w:tc>
        <w:tc>
          <w:tcPr>
            <w:tcW w:w="186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7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r>
      <w:tr>
        <w:trPr>
          <w:trHeight w:val="180"/>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$0.0001 par value:3,500 (3,000 Class A, 500 Class B) shares authorized as of September</w:t>
            </w: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62"/>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30, 2021 and December 31, 2020; 635 (565 Class A, 70 Class B) and 587 (478 Class A, 109 Class B)</w:t>
            </w:r>
          </w:p>
        </w:tc>
        <w:tc>
          <w:tcPr>
            <w:tcW w:w="10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57"/>
        </w:trPr>
        <w:tc>
          <w:tcPr>
            <w:tcW w:w="736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shares issued and outstanding as of September 30, 2021 and December 31, 2020</w:t>
            </w:r>
          </w:p>
        </w:tc>
        <w:tc>
          <w:tcPr>
            <w:tcW w:w="100" w:type="dxa"/>
            <w:vAlign w:val="bottom"/>
            <w:shd w:val="clear" w:color="auto" w:fill="CFF0FC"/>
          </w:tcPr>
          <w:p>
            <w:pPr>
              <w:spacing w:after="0"/>
              <w:rPr>
                <w:sz w:val="13"/>
                <w:szCs w:val="13"/>
                <w:color w:val="auto"/>
              </w:rPr>
            </w:pPr>
          </w:p>
        </w:tc>
        <w:tc>
          <w:tcPr>
            <w:tcW w:w="1860" w:type="dxa"/>
            <w:vAlign w:val="bottom"/>
            <w:gridSpan w:val="2"/>
            <w:shd w:val="clear" w:color="auto" w:fill="CFF0FC"/>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76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r>
      <w:tr>
        <w:trPr>
          <w:trHeight w:val="175"/>
        </w:trPr>
        <w:tc>
          <w:tcPr>
            <w:tcW w:w="736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3,315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15"/>
                <w:szCs w:val="15"/>
                <w:color w:val="auto"/>
              </w:rPr>
            </w:pPr>
          </w:p>
        </w:tc>
      </w:tr>
      <w:tr>
        <w:trPr>
          <w:trHeight w:val="175"/>
        </w:trPr>
        <w:tc>
          <w:tcPr>
            <w:tcW w:w="73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income</w:t>
            </w: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5"/>
                <w:szCs w:val="15"/>
                <w:color w:val="auto"/>
              </w:rPr>
            </w:pPr>
          </w:p>
        </w:tc>
      </w:tr>
      <w:tr>
        <w:trPr>
          <w:trHeight w:val="175"/>
        </w:trPr>
        <w:tc>
          <w:tcPr>
            <w:tcW w:w="736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5"/>
                <w:szCs w:val="15"/>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4"/>
                <w:szCs w:val="14"/>
                <w:color w:val="auto"/>
              </w:rPr>
              <w:t>(2,487)</w:t>
            </w:r>
          </w:p>
        </w:tc>
        <w:tc>
          <w:tcPr>
            <w:tcW w:w="160" w:type="dxa"/>
            <w:vAlign w:val="bottom"/>
          </w:tcPr>
          <w:p>
            <w:pPr>
              <w:spacing w:after="0"/>
              <w:rPr>
                <w:sz w:val="15"/>
                <w:szCs w:val="15"/>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4"/>
                <w:szCs w:val="14"/>
                <w:color w:val="auto"/>
              </w:rPr>
              <w:t>(2,184)</w:t>
            </w:r>
          </w:p>
        </w:tc>
      </w:tr>
      <w:tr>
        <w:trPr>
          <w:trHeight w:val="169"/>
        </w:trPr>
        <w:tc>
          <w:tcPr>
            <w:tcW w:w="7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Total stockholders’ equity</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829</w:t>
            </w: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1,027</w:t>
            </w:r>
          </w:p>
        </w:tc>
        <w:tc>
          <w:tcPr>
            <w:tcW w:w="120" w:type="dxa"/>
            <w:vAlign w:val="bottom"/>
            <w:tcBorders>
              <w:top w:val="single" w:sz="8" w:color="CFF0FC"/>
            </w:tcBorders>
            <w:shd w:val="clear" w:color="auto" w:fill="CFF0FC"/>
          </w:tcPr>
          <w:p>
            <w:pPr>
              <w:spacing w:after="0"/>
              <w:rPr>
                <w:sz w:val="14"/>
                <w:szCs w:val="14"/>
                <w:color w:val="auto"/>
              </w:rPr>
            </w:pPr>
          </w:p>
        </w:tc>
      </w:tr>
      <w:tr>
        <w:trPr>
          <w:trHeight w:val="169"/>
        </w:trPr>
        <w:tc>
          <w:tcPr>
            <w:tcW w:w="736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1,365</w:t>
            </w:r>
          </w:p>
        </w:tc>
        <w:tc>
          <w:tcPr>
            <w:tcW w:w="26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2,397</w:t>
            </w:r>
          </w:p>
        </w:tc>
        <w:tc>
          <w:tcPr>
            <w:tcW w:w="120" w:type="dxa"/>
            <w:vAlign w:val="bottom"/>
          </w:tcPr>
          <w:p>
            <w:pPr>
              <w:spacing w:after="0"/>
              <w:rPr>
                <w:sz w:val="14"/>
                <w:szCs w:val="14"/>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4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4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Product development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8"/>
                <w:szCs w:val="18"/>
                <w:color w:val="auto"/>
              </w:rPr>
              <w:t>Remeasurement of redeemable convertible preferred stock warrant</w:t>
            </w:r>
          </w:p>
        </w:tc>
        <w:tc>
          <w:tcPr>
            <w:tcW w:w="2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2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60"/>
              <w:spacing w:after="0" w:line="203" w:lineRule="exact"/>
              <w:rPr>
                <w:sz w:val="20"/>
                <w:szCs w:val="20"/>
                <w:color w:val="auto"/>
              </w:rPr>
            </w:pPr>
            <w:r>
              <w:rPr>
                <w:rFonts w:ascii="Arial" w:cs="Arial" w:eastAsia="Arial" w:hAnsi="Arial"/>
                <w:sz w:val="18"/>
                <w:szCs w:val="18"/>
                <w:color w:val="auto"/>
              </w:rPr>
              <w:t>liability</w:t>
            </w: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(12)</w:t>
            </w:r>
          </w:p>
        </w:tc>
        <w:tc>
          <w:tcPr>
            <w:tcW w:w="2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(0.10)</w:t>
            </w:r>
          </w:p>
        </w:tc>
        <w:tc>
          <w:tcPr>
            <w:tcW w:w="2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(0.92)</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(0.49)</w:t>
            </w: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96"/>
        </w:trPr>
        <w:tc>
          <w:tcPr>
            <w:tcW w:w="58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in computing net loss per share, basic</w:t>
            </w: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and diluted</w:t>
            </w: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628</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108</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623</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107</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20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5820" w:type="dxa"/>
            <w:vAlign w:val="bottom"/>
          </w:tcPr>
          <w:p>
            <w:pPr>
              <w:spacing w:after="0"/>
              <w:rPr>
                <w:sz w:val="19"/>
                <w:szCs w:val="19"/>
                <w:color w:val="auto"/>
              </w:rPr>
            </w:pPr>
          </w:p>
        </w:tc>
        <w:tc>
          <w:tcPr>
            <w:tcW w:w="220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2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w:t>
            </w:r>
          </w:p>
        </w:tc>
        <w:tc>
          <w:tcPr>
            <w:tcW w:w="90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(303)</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(176)</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holding gains on derivatives</w:t>
            </w:r>
          </w:p>
        </w:tc>
        <w:tc>
          <w:tcPr>
            <w:tcW w:w="8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Comprehensive loss</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(99)</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(303)</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(176)</w:t>
            </w:r>
          </w:p>
        </w:tc>
      </w:tr>
      <w:tr>
        <w:trPr>
          <w:trHeight w:val="20"/>
        </w:trPr>
        <w:tc>
          <w:tcPr>
            <w:tcW w:w="5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16"/>
          </w:tcPr>
          <w:p>
            <w:pPr>
              <w:jc w:val="center"/>
              <w:ind w:right="840"/>
              <w:spacing w:after="0"/>
              <w:rPr>
                <w:sz w:val="20"/>
                <w:szCs w:val="20"/>
                <w:color w:val="auto"/>
              </w:rPr>
            </w:pPr>
            <w:r>
              <w:rPr>
                <w:rFonts w:ascii="Arial" w:cs="Arial" w:eastAsia="Arial" w:hAnsi="Arial"/>
                <w:sz w:val="18"/>
                <w:szCs w:val="18"/>
                <w:b w:val="1"/>
                <w:bCs w:val="1"/>
                <w:color w:val="auto"/>
                <w:w w:val="99"/>
              </w:rPr>
              <w:t>Three Months Ended September 30, 2021</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5"/>
          </w:tcPr>
          <w:p>
            <w:pPr>
              <w:jc w:val="right"/>
              <w:spacing w:after="0" w:line="187" w:lineRule="exact"/>
              <w:rPr>
                <w:sz w:val="20"/>
                <w:szCs w:val="20"/>
                <w:color w:val="auto"/>
              </w:rPr>
            </w:pPr>
            <w:r>
              <w:rPr>
                <w:rFonts w:ascii="Arial" w:cs="Arial" w:eastAsia="Arial" w:hAnsi="Arial"/>
                <w:sz w:val="18"/>
                <w:szCs w:val="18"/>
                <w:b w:val="1"/>
                <w:bCs w:val="1"/>
                <w:color w:val="auto"/>
                <w:w w:val="97"/>
              </w:rPr>
              <w:t>Additional</w:t>
            </w:r>
          </w:p>
        </w:tc>
        <w:tc>
          <w:tcPr>
            <w:tcW w:w="180" w:type="dxa"/>
            <w:vAlign w:val="bottom"/>
          </w:tcPr>
          <w:p>
            <w:pPr>
              <w:spacing w:after="0"/>
              <w:rPr>
                <w:sz w:val="16"/>
                <w:szCs w:val="16"/>
                <w:color w:val="auto"/>
              </w:rPr>
            </w:pPr>
          </w:p>
        </w:tc>
        <w:tc>
          <w:tcPr>
            <w:tcW w:w="1360" w:type="dxa"/>
            <w:vAlign w:val="bottom"/>
            <w:gridSpan w:val="4"/>
          </w:tcPr>
          <w:p>
            <w:pPr>
              <w:jc w:val="center"/>
              <w:spacing w:after="0" w:line="187" w:lineRule="exact"/>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30"/>
              <w:spacing w:after="0" w:line="187" w:lineRule="exact"/>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16"/>
                <w:szCs w:val="16"/>
                <w:color w:val="auto"/>
              </w:rPr>
            </w:pPr>
          </w:p>
        </w:tc>
      </w:tr>
      <w:tr>
        <w:trPr>
          <w:trHeight w:val="225"/>
        </w:trPr>
        <w:tc>
          <w:tcPr>
            <w:tcW w:w="3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Paid-in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Other</w:t>
            </w:r>
          </w:p>
        </w:tc>
        <w:tc>
          <w:tcPr>
            <w:tcW w:w="340" w:type="dxa"/>
            <w:vAlign w:val="bottom"/>
          </w:tcPr>
          <w:p>
            <w:pPr>
              <w:spacing w:after="0"/>
              <w:rPr>
                <w:sz w:val="19"/>
                <w:szCs w:val="19"/>
                <w:color w:val="auto"/>
              </w:rPr>
            </w:pPr>
          </w:p>
        </w:tc>
        <w:tc>
          <w:tcPr>
            <w:tcW w:w="1560" w:type="dxa"/>
            <w:vAlign w:val="bottom"/>
            <w:gridSpan w:val="5"/>
          </w:tcPr>
          <w:p>
            <w:pPr>
              <w:ind w:left="40"/>
              <w:spacing w:after="0"/>
              <w:rPr>
                <w:sz w:val="20"/>
                <w:szCs w:val="20"/>
                <w:color w:val="auto"/>
              </w:rPr>
            </w:pPr>
            <w:r>
              <w:rPr>
                <w:rFonts w:ascii="Arial" w:cs="Arial" w:eastAsia="Arial" w:hAnsi="Arial"/>
                <w:sz w:val="18"/>
                <w:szCs w:val="18"/>
                <w:b w:val="1"/>
                <w:bCs w:val="1"/>
                <w:color w:val="auto"/>
              </w:rPr>
              <w:t>Accumulated</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Stockholders’</w:t>
            </w:r>
          </w:p>
        </w:tc>
      </w:tr>
      <w:tr>
        <w:trPr>
          <w:trHeight w:val="187"/>
        </w:trPr>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4"/>
          </w:tcPr>
          <w:p>
            <w:pPr>
              <w:jc w:val="center"/>
              <w:spacing w:after="0" w:line="187" w:lineRule="exact"/>
              <w:rPr>
                <w:sz w:val="20"/>
                <w:szCs w:val="20"/>
                <w:color w:val="auto"/>
              </w:rPr>
            </w:pPr>
            <w:r>
              <w:rPr>
                <w:rFonts w:ascii="Arial" w:cs="Arial" w:eastAsia="Arial" w:hAnsi="Arial"/>
                <w:sz w:val="18"/>
                <w:szCs w:val="18"/>
                <w:b w:val="1"/>
                <w:bCs w:val="1"/>
                <w:color w:val="auto"/>
              </w:rPr>
              <w:t>Comprehensive</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5"/>
        </w:trPr>
        <w:tc>
          <w:tcPr>
            <w:tcW w:w="35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Capital</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8"/>
              </w:rPr>
              <w:t>Income</w:t>
            </w:r>
          </w:p>
        </w:tc>
        <w:tc>
          <w:tcPr>
            <w:tcW w:w="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Deficit</w:t>
            </w:r>
          </w:p>
        </w:tc>
        <w:tc>
          <w:tcPr>
            <w:tcW w:w="400" w:type="dxa"/>
            <w:vAlign w:val="bottom"/>
            <w:tcBorders>
              <w:bottom w:val="single" w:sz="8" w:color="CFF0FC"/>
            </w:tcBorders>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8"/>
              </w:rPr>
              <w:t>Equity</w:t>
            </w:r>
          </w:p>
        </w:tc>
        <w:tc>
          <w:tcPr>
            <w:tcW w:w="80" w:type="dxa"/>
            <w:vAlign w:val="bottom"/>
            <w:tcBorders>
              <w:bottom w:val="single" w:sz="8" w:color="CFF0FC"/>
            </w:tcBorders>
          </w:tcPr>
          <w:p>
            <w:pPr>
              <w:spacing w:after="0"/>
              <w:rPr>
                <w:sz w:val="19"/>
                <w:szCs w:val="19"/>
                <w:color w:val="auto"/>
              </w:rPr>
            </w:pPr>
          </w:p>
        </w:tc>
      </w:tr>
      <w:tr>
        <w:trPr>
          <w:trHeight w:val="20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Balances as of June 30, 2021</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7"/>
              </w:rPr>
              <w:t>3,285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(2,423)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80" w:type="dxa"/>
            <w:vAlign w:val="bottom"/>
            <w:shd w:val="clear" w:color="auto" w:fill="CFF0FC"/>
          </w:tcPr>
          <w:p>
            <w:pPr>
              <w:spacing w:after="0"/>
              <w:rPr>
                <w:sz w:val="18"/>
                <w:szCs w:val="18"/>
                <w:color w:val="auto"/>
              </w:rPr>
            </w:pPr>
          </w:p>
        </w:tc>
      </w:tr>
      <w:tr>
        <w:trPr>
          <w:trHeight w:val="215"/>
        </w:trPr>
        <w:tc>
          <w:tcPr>
            <w:tcW w:w="3580" w:type="dxa"/>
            <w:vAlign w:val="bottom"/>
          </w:tcPr>
          <w:p>
            <w:pPr>
              <w:ind w:left="260"/>
              <w:spacing w:after="0"/>
              <w:rPr>
                <w:sz w:val="20"/>
                <w:szCs w:val="20"/>
                <w:color w:val="auto"/>
              </w:rPr>
            </w:pPr>
            <w:r>
              <w:rPr>
                <w:rFonts w:ascii="Arial" w:cs="Arial" w:eastAsia="Arial" w:hAnsi="Arial"/>
                <w:sz w:val="18"/>
                <w:szCs w:val="18"/>
                <w:color w:val="auto"/>
              </w:rPr>
              <w:t>Issuance of common stock upon</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580" w:type="dxa"/>
            <w:vAlign w:val="bottom"/>
          </w:tcPr>
          <w:p>
            <w:pPr>
              <w:ind w:left="260"/>
              <w:spacing w:after="0" w:line="203" w:lineRule="exact"/>
              <w:rPr>
                <w:sz w:val="20"/>
                <w:szCs w:val="20"/>
                <w:color w:val="auto"/>
              </w:rPr>
            </w:pPr>
            <w:r>
              <w:rPr>
                <w:rFonts w:ascii="Arial" w:cs="Arial" w:eastAsia="Arial" w:hAnsi="Arial"/>
                <w:sz w:val="18"/>
                <w:szCs w:val="18"/>
                <w:color w:val="auto"/>
              </w:rPr>
              <w:t>exercise of options for cash</w:t>
            </w:r>
          </w:p>
        </w:tc>
        <w:tc>
          <w:tcPr>
            <w:tcW w:w="8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right"/>
              <w:ind w:right="40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15"/>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upon</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3580" w:type="dxa"/>
            <w:vAlign w:val="bottom"/>
            <w:shd w:val="clear" w:color="auto" w:fill="CFF0FC"/>
          </w:tcPr>
          <w:p>
            <w:pPr>
              <w:ind w:left="260"/>
              <w:spacing w:after="0" w:line="203" w:lineRule="exact"/>
              <w:rPr>
                <w:sz w:val="20"/>
                <w:szCs w:val="20"/>
                <w:color w:val="auto"/>
              </w:rPr>
            </w:pPr>
            <w:r>
              <w:rPr>
                <w:rFonts w:ascii="Arial" w:cs="Arial" w:eastAsia="Arial" w:hAnsi="Arial"/>
                <w:sz w:val="18"/>
                <w:szCs w:val="18"/>
                <w:color w:val="auto"/>
              </w:rPr>
              <w:t>settlement of restricted stock units</w:t>
            </w:r>
          </w:p>
        </w:tc>
        <w:tc>
          <w:tcPr>
            <w:tcW w:w="8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3</w:t>
            </w:r>
          </w:p>
        </w:tc>
        <w:tc>
          <w:tcPr>
            <w:tcW w:w="24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20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40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r>
      <w:tr>
        <w:trPr>
          <w:trHeight w:val="216"/>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net</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8"/>
                <w:szCs w:val="18"/>
                <w:color w:val="auto"/>
              </w:rPr>
            </w:pPr>
          </w:p>
        </w:tc>
      </w:tr>
      <w:tr>
        <w:trPr>
          <w:trHeight w:val="216"/>
        </w:trPr>
        <w:tc>
          <w:tcPr>
            <w:tcW w:w="35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r>
        <w:trPr>
          <w:trHeight w:val="20"/>
        </w:trPr>
        <w:tc>
          <w:tcPr>
            <w:tcW w:w="3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Balances as of September 30, 2021</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7"/>
              </w:rPr>
              <w:t>3,315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(2,487)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FF0FC"/>
          </w:tcPr>
          <w:p>
            <w:pPr>
              <w:spacing w:after="0"/>
              <w:rPr>
                <w:sz w:val="18"/>
                <w:szCs w:val="18"/>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r>
        <w:trPr>
          <w:trHeight w:val="426"/>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4"/>
          </w:tcPr>
          <w:p>
            <w:pPr>
              <w:ind w:left="20"/>
              <w:spacing w:after="0"/>
              <w:rPr>
                <w:sz w:val="20"/>
                <w:szCs w:val="20"/>
                <w:color w:val="auto"/>
              </w:rPr>
            </w:pPr>
            <w:r>
              <w:rPr>
                <w:rFonts w:ascii="Arial" w:cs="Arial" w:eastAsia="Arial" w:hAnsi="Arial"/>
                <w:sz w:val="18"/>
                <w:szCs w:val="18"/>
                <w:b w:val="1"/>
                <w:bCs w:val="1"/>
                <w:color w:val="auto"/>
              </w:rPr>
              <w:t>Nine Months Ended September 30, 2021</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5"/>
          </w:tcPr>
          <w:p>
            <w:pPr>
              <w:jc w:val="right"/>
              <w:ind w:right="160"/>
              <w:spacing w:after="0" w:line="187" w:lineRule="exact"/>
              <w:rPr>
                <w:sz w:val="20"/>
                <w:szCs w:val="20"/>
                <w:color w:val="auto"/>
              </w:rPr>
            </w:pPr>
            <w:r>
              <w:rPr>
                <w:rFonts w:ascii="Arial" w:cs="Arial" w:eastAsia="Arial" w:hAnsi="Arial"/>
                <w:sz w:val="18"/>
                <w:szCs w:val="18"/>
                <w:b w:val="1"/>
                <w:bCs w:val="1"/>
                <w:color w:val="auto"/>
                <w:w w:val="97"/>
              </w:rPr>
              <w:t>Additional</w:t>
            </w:r>
          </w:p>
        </w:tc>
        <w:tc>
          <w:tcPr>
            <w:tcW w:w="80" w:type="dxa"/>
            <w:vAlign w:val="bottom"/>
          </w:tcPr>
          <w:p>
            <w:pPr>
              <w:spacing w:after="0"/>
              <w:rPr>
                <w:sz w:val="16"/>
                <w:szCs w:val="16"/>
                <w:color w:val="auto"/>
              </w:rPr>
            </w:pPr>
          </w:p>
        </w:tc>
        <w:tc>
          <w:tcPr>
            <w:tcW w:w="1360" w:type="dxa"/>
            <w:vAlign w:val="bottom"/>
            <w:gridSpan w:val="2"/>
          </w:tcPr>
          <w:p>
            <w:pPr>
              <w:jc w:val="center"/>
              <w:spacing w:after="0" w:line="187" w:lineRule="exact"/>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30"/>
              <w:spacing w:after="0" w:line="187" w:lineRule="exact"/>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16"/>
                <w:szCs w:val="16"/>
                <w:color w:val="auto"/>
              </w:rPr>
            </w:pPr>
          </w:p>
        </w:tc>
      </w:tr>
      <w:tr>
        <w:trPr>
          <w:trHeight w:val="225"/>
        </w:trPr>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19"/>
                <w:szCs w:val="19"/>
                <w:color w:val="auto"/>
              </w:rPr>
            </w:pPr>
          </w:p>
        </w:tc>
        <w:tc>
          <w:tcPr>
            <w:tcW w:w="1020" w:type="dxa"/>
            <w:vAlign w:val="bottom"/>
          </w:tcPr>
          <w:p>
            <w:pPr>
              <w:jc w:val="center"/>
              <w:ind w:left="23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19"/>
                <w:szCs w:val="19"/>
                <w:color w:val="auto"/>
              </w:rPr>
            </w:pPr>
          </w:p>
        </w:tc>
        <w:tc>
          <w:tcPr>
            <w:tcW w:w="1560" w:type="dxa"/>
            <w:vAlign w:val="bottom"/>
            <w:gridSpan w:val="5"/>
          </w:tcPr>
          <w:p>
            <w:pPr>
              <w:ind w:left="200"/>
              <w:spacing w:after="0"/>
              <w:rPr>
                <w:sz w:val="20"/>
                <w:szCs w:val="20"/>
                <w:color w:val="auto"/>
              </w:rPr>
            </w:pPr>
            <w:r>
              <w:rPr>
                <w:rFonts w:ascii="Arial" w:cs="Arial" w:eastAsia="Arial" w:hAnsi="Arial"/>
                <w:sz w:val="18"/>
                <w:szCs w:val="18"/>
                <w:b w:val="1"/>
                <w:bCs w:val="1"/>
                <w:color w:val="auto"/>
              </w:rPr>
              <w:t>Accumulated</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Stockholders’</w:t>
            </w:r>
          </w:p>
        </w:tc>
      </w:tr>
      <w:tr>
        <w:trPr>
          <w:trHeight w:val="187"/>
        </w:trPr>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spacing w:after="0" w:line="187" w:lineRule="exact"/>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5"/>
        </w:trPr>
        <w:tc>
          <w:tcPr>
            <w:tcW w:w="35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9"/>
              </w:rPr>
              <w:t>Capital</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8"/>
              </w:rPr>
              <w:t>Income</w:t>
            </w: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Deficit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8"/>
              </w:rPr>
              <w:t>Equity</w:t>
            </w:r>
          </w:p>
        </w:tc>
        <w:tc>
          <w:tcPr>
            <w:tcW w:w="80" w:type="dxa"/>
            <w:vAlign w:val="bottom"/>
            <w:tcBorders>
              <w:bottom w:val="single" w:sz="8" w:color="CFF0FC"/>
            </w:tcBorders>
          </w:tcPr>
          <w:p>
            <w:pPr>
              <w:spacing w:after="0"/>
              <w:rPr>
                <w:sz w:val="19"/>
                <w:szCs w:val="19"/>
                <w:color w:val="auto"/>
              </w:rPr>
            </w:pPr>
          </w:p>
        </w:tc>
      </w:tr>
      <w:tr>
        <w:trPr>
          <w:trHeight w:val="21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Balances as of December 31, 2020</w:t>
            </w:r>
          </w:p>
        </w:tc>
        <w:tc>
          <w:tcPr>
            <w:tcW w:w="104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3,210</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left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(2,184)</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80" w:type="dxa"/>
            <w:vAlign w:val="bottom"/>
            <w:shd w:val="clear" w:color="auto" w:fill="CFF0FC"/>
          </w:tcPr>
          <w:p>
            <w:pPr>
              <w:spacing w:after="0"/>
              <w:rPr>
                <w:sz w:val="18"/>
                <w:szCs w:val="18"/>
                <w:color w:val="auto"/>
              </w:rPr>
            </w:pPr>
          </w:p>
        </w:tc>
      </w:tr>
      <w:tr>
        <w:trPr>
          <w:trHeight w:val="215"/>
        </w:trPr>
        <w:tc>
          <w:tcPr>
            <w:tcW w:w="3580" w:type="dxa"/>
            <w:vAlign w:val="bottom"/>
          </w:tcPr>
          <w:p>
            <w:pPr>
              <w:ind w:left="260"/>
              <w:spacing w:after="0"/>
              <w:rPr>
                <w:sz w:val="20"/>
                <w:szCs w:val="20"/>
                <w:color w:val="auto"/>
              </w:rPr>
            </w:pPr>
            <w:r>
              <w:rPr>
                <w:rFonts w:ascii="Arial" w:cs="Arial" w:eastAsia="Arial" w:hAnsi="Arial"/>
                <w:sz w:val="18"/>
                <w:szCs w:val="18"/>
                <w:color w:val="auto"/>
                <w:w w:val="99"/>
              </w:rPr>
              <w:t>Issuance of common stock upon exercise</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580" w:type="dxa"/>
            <w:vAlign w:val="bottom"/>
          </w:tcPr>
          <w:p>
            <w:pPr>
              <w:ind w:left="260"/>
              <w:spacing w:after="0" w:line="203" w:lineRule="exact"/>
              <w:rPr>
                <w:sz w:val="20"/>
                <w:szCs w:val="20"/>
                <w:color w:val="auto"/>
              </w:rPr>
            </w:pPr>
            <w:r>
              <w:rPr>
                <w:rFonts w:ascii="Arial" w:cs="Arial" w:eastAsia="Arial" w:hAnsi="Arial"/>
                <w:sz w:val="18"/>
                <w:szCs w:val="18"/>
                <w:color w:val="auto"/>
              </w:rPr>
              <w:t>of options for cash</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r>
      <w:tr>
        <w:trPr>
          <w:trHeight w:val="215"/>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upon</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3580" w:type="dxa"/>
            <w:vAlign w:val="bottom"/>
            <w:shd w:val="clear" w:color="auto" w:fill="CFF0FC"/>
          </w:tcPr>
          <w:p>
            <w:pPr>
              <w:ind w:left="260"/>
              <w:spacing w:after="0" w:line="203" w:lineRule="exact"/>
              <w:rPr>
                <w:sz w:val="20"/>
                <w:szCs w:val="20"/>
                <w:color w:val="auto"/>
              </w:rPr>
            </w:pPr>
            <w:r>
              <w:rPr>
                <w:rFonts w:ascii="Arial" w:cs="Arial" w:eastAsia="Arial" w:hAnsi="Arial"/>
                <w:sz w:val="18"/>
                <w:szCs w:val="18"/>
                <w:color w:val="auto"/>
              </w:rPr>
              <w:t>settlement of restricted stock units</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20" w:type="dxa"/>
            <w:vAlign w:val="bottom"/>
            <w:gridSpan w:val="3"/>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tcBorders>
              <w:right w:val="single" w:sz="8" w:color="CFF0FC"/>
            </w:tcBorders>
            <w:shd w:val="clear" w:color="auto" w:fill="CFF0FC"/>
          </w:tcPr>
          <w:p>
            <w:pPr>
              <w:spacing w:after="0"/>
              <w:rPr>
                <w:sz w:val="17"/>
                <w:szCs w:val="17"/>
                <w:color w:val="auto"/>
              </w:rPr>
            </w:pPr>
          </w:p>
        </w:tc>
        <w:tc>
          <w:tcPr>
            <w:tcW w:w="440" w:type="dxa"/>
            <w:vAlign w:val="bottom"/>
            <w:gridSpan w:val="3"/>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(5)</w:t>
            </w:r>
          </w:p>
        </w:tc>
      </w:tr>
      <w:tr>
        <w:trPr>
          <w:trHeight w:val="216"/>
        </w:trPr>
        <w:tc>
          <w:tcPr>
            <w:tcW w:w="3580" w:type="dxa"/>
            <w:vAlign w:val="bottom"/>
          </w:tcPr>
          <w:p>
            <w:pPr>
              <w:ind w:left="260"/>
              <w:spacing w:after="0"/>
              <w:rPr>
                <w:sz w:val="20"/>
                <w:szCs w:val="20"/>
                <w:color w:val="auto"/>
              </w:rPr>
            </w:pPr>
            <w:r>
              <w:rPr>
                <w:rFonts w:ascii="Arial" w:cs="Arial" w:eastAsia="Arial" w:hAnsi="Arial"/>
                <w:sz w:val="18"/>
                <w:szCs w:val="18"/>
                <w:color w:val="auto"/>
              </w:rPr>
              <w:t>Net exercises of common stock warrant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Issuance of common stock through ESPP</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8"/>
                <w:szCs w:val="18"/>
                <w:color w:val="auto"/>
              </w:rPr>
            </w:pPr>
          </w:p>
        </w:tc>
      </w:tr>
      <w:tr>
        <w:trPr>
          <w:trHeight w:val="216"/>
        </w:trPr>
        <w:tc>
          <w:tcPr>
            <w:tcW w:w="35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r>
      <w:tr>
        <w:trPr>
          <w:trHeight w:val="216"/>
        </w:trPr>
        <w:tc>
          <w:tcPr>
            <w:tcW w:w="3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and comprehensive loss</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(303)</w:t>
            </w:r>
          </w:p>
        </w:tc>
      </w:tr>
      <w:tr>
        <w:trPr>
          <w:trHeight w:val="20"/>
        </w:trPr>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580" w:type="dxa"/>
            <w:vAlign w:val="bottom"/>
          </w:tcPr>
          <w:p>
            <w:pPr>
              <w:spacing w:after="0"/>
              <w:rPr>
                <w:sz w:val="20"/>
                <w:szCs w:val="20"/>
                <w:color w:val="auto"/>
              </w:rPr>
            </w:pPr>
            <w:r>
              <w:rPr>
                <w:rFonts w:ascii="Arial" w:cs="Arial" w:eastAsia="Arial" w:hAnsi="Arial"/>
                <w:sz w:val="18"/>
                <w:szCs w:val="18"/>
                <w:color w:val="auto"/>
              </w:rPr>
              <w:t>Balances as of September 30, 2021</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3,315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(2,487)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829</w:t>
            </w:r>
          </w:p>
        </w:tc>
        <w:tc>
          <w:tcPr>
            <w:tcW w:w="8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gridSpan w:val="12"/>
          </w:tcPr>
          <w:p>
            <w:pPr>
              <w:jc w:val="right"/>
              <w:ind w:right="920"/>
              <w:spacing w:after="0"/>
              <w:rPr>
                <w:sz w:val="20"/>
                <w:szCs w:val="20"/>
                <w:color w:val="auto"/>
              </w:rPr>
            </w:pPr>
            <w:r>
              <w:rPr>
                <w:rFonts w:ascii="Arial" w:cs="Arial" w:eastAsia="Arial" w:hAnsi="Arial"/>
                <w:sz w:val="18"/>
                <w:szCs w:val="18"/>
                <w:b w:val="1"/>
                <w:bCs w:val="1"/>
                <w:color w:val="auto"/>
                <w:w w:val="99"/>
              </w:rPr>
              <w:t>Three Months Ended September 30, 2020</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3420" w:type="dxa"/>
            <w:vAlign w:val="bottom"/>
          </w:tcPr>
          <w:p>
            <w:pPr>
              <w:spacing w:after="0"/>
              <w:rPr>
                <w:sz w:val="16"/>
                <w:szCs w:val="16"/>
                <w:color w:val="auto"/>
              </w:rPr>
            </w:pPr>
          </w:p>
        </w:tc>
        <w:tc>
          <w:tcPr>
            <w:tcW w:w="2000" w:type="dxa"/>
            <w:vAlign w:val="bottom"/>
            <w:tcBorders>
              <w:right w:val="single" w:sz="8" w:color="auto"/>
            </w:tcBorders>
            <w:gridSpan w:val="5"/>
          </w:tcPr>
          <w:p>
            <w:pPr>
              <w:jc w:val="center"/>
              <w:ind w:right="220"/>
              <w:spacing w:after="0" w:line="187" w:lineRule="exact"/>
              <w:rPr>
                <w:sz w:val="20"/>
                <w:szCs w:val="20"/>
                <w:color w:val="auto"/>
              </w:rPr>
            </w:pPr>
            <w:r>
              <w:rPr>
                <w:rFonts w:ascii="Arial" w:cs="Arial" w:eastAsia="Arial" w:hAnsi="Arial"/>
                <w:sz w:val="18"/>
                <w:szCs w:val="18"/>
                <w:b w:val="1"/>
                <w:bCs w:val="1"/>
                <w:color w:val="auto"/>
                <w:w w:val="99"/>
              </w:rPr>
              <w:t>Redeemable</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3420" w:type="dxa"/>
            <w:vAlign w:val="bottom"/>
          </w:tcPr>
          <w:p>
            <w:pPr>
              <w:spacing w:after="0"/>
              <w:rPr>
                <w:sz w:val="17"/>
                <w:szCs w:val="17"/>
                <w:color w:val="auto"/>
              </w:rPr>
            </w:pPr>
          </w:p>
        </w:tc>
        <w:tc>
          <w:tcPr>
            <w:tcW w:w="2000" w:type="dxa"/>
            <w:vAlign w:val="bottom"/>
            <w:tcBorders>
              <w:right w:val="single" w:sz="8" w:color="auto"/>
            </w:tcBorders>
            <w:gridSpan w:val="5"/>
          </w:tcPr>
          <w:p>
            <w:pPr>
              <w:jc w:val="center"/>
              <w:ind w:right="240"/>
              <w:spacing w:after="0" w:line="202" w:lineRule="exact"/>
              <w:rPr>
                <w:sz w:val="20"/>
                <w:szCs w:val="20"/>
                <w:color w:val="auto"/>
              </w:rPr>
            </w:pPr>
            <w:r>
              <w:rPr>
                <w:rFonts w:ascii="Arial" w:cs="Arial" w:eastAsia="Arial" w:hAnsi="Arial"/>
                <w:sz w:val="18"/>
                <w:szCs w:val="18"/>
                <w:b w:val="1"/>
                <w:bCs w:val="1"/>
                <w:color w:val="auto"/>
              </w:rPr>
              <w:t>Convertible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4"/>
          </w:tcPr>
          <w:p>
            <w:pPr>
              <w:ind w:left="220"/>
              <w:spacing w:after="0" w:line="202" w:lineRule="exact"/>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7"/>
              </w:rPr>
              <w:t>Total</w:t>
            </w:r>
          </w:p>
        </w:tc>
      </w:tr>
      <w:tr>
        <w:trPr>
          <w:trHeight w:val="225"/>
        </w:trPr>
        <w:tc>
          <w:tcPr>
            <w:tcW w:w="3420" w:type="dxa"/>
            <w:vAlign w:val="bottom"/>
          </w:tcPr>
          <w:p>
            <w:pPr>
              <w:spacing w:after="0"/>
              <w:rPr>
                <w:sz w:val="19"/>
                <w:szCs w:val="19"/>
                <w:color w:val="auto"/>
              </w:rPr>
            </w:pPr>
          </w:p>
        </w:tc>
        <w:tc>
          <w:tcPr>
            <w:tcW w:w="2000" w:type="dxa"/>
            <w:vAlign w:val="bottom"/>
            <w:tcBorders>
              <w:right w:val="single" w:sz="8" w:color="auto"/>
            </w:tcBorders>
            <w:gridSpan w:val="5"/>
          </w:tcPr>
          <w:p>
            <w:pPr>
              <w:jc w:val="center"/>
              <w:ind w:right="220"/>
              <w:spacing w:after="0"/>
              <w:rPr>
                <w:sz w:val="20"/>
                <w:szCs w:val="20"/>
                <w:color w:val="auto"/>
              </w:rPr>
            </w:pPr>
            <w:r>
              <w:rPr>
                <w:rFonts w:ascii="Arial" w:cs="Arial" w:eastAsia="Arial" w:hAnsi="Arial"/>
                <w:sz w:val="18"/>
                <w:szCs w:val="18"/>
                <w:b w:val="1"/>
                <w:bCs w:val="1"/>
                <w:color w:val="auto"/>
                <w:w w:val="99"/>
              </w:rPr>
              <w:t>Preferred Stock</w:t>
            </w:r>
          </w:p>
        </w:tc>
        <w:tc>
          <w:tcPr>
            <w:tcW w:w="10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Paid-in</w:t>
            </w:r>
          </w:p>
        </w:tc>
        <w:tc>
          <w:tcPr>
            <w:tcW w:w="1440" w:type="dxa"/>
            <w:vAlign w:val="bottom"/>
            <w:gridSpan w:val="4"/>
          </w:tcPr>
          <w:p>
            <w:pPr>
              <w:ind w:left="80"/>
              <w:spacing w:after="0"/>
              <w:rPr>
                <w:sz w:val="20"/>
                <w:szCs w:val="20"/>
                <w:color w:val="auto"/>
              </w:rPr>
            </w:pPr>
            <w:r>
              <w:rPr>
                <w:rFonts w:ascii="Arial" w:cs="Arial" w:eastAsia="Arial" w:hAnsi="Arial"/>
                <w:sz w:val="18"/>
                <w:szCs w:val="18"/>
                <w:b w:val="1"/>
                <w:bCs w:val="1"/>
                <w:color w:val="auto"/>
              </w:rPr>
              <w:t>Accumulated</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Stockholders’</w:t>
            </w:r>
          </w:p>
        </w:tc>
      </w:tr>
      <w:tr>
        <w:trPr>
          <w:trHeight w:val="209"/>
        </w:trPr>
        <w:tc>
          <w:tcPr>
            <w:tcW w:w="3420" w:type="dxa"/>
            <w:vAlign w:val="bottom"/>
            <w:tcBorders>
              <w:bottom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bottom w:val="single" w:sz="8" w:color="CFF0FC"/>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CFF0FC"/>
              <w:right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bottom w:val="single" w:sz="8" w:color="CFF0FC"/>
            </w:tcBorders>
          </w:tcPr>
          <w:p>
            <w:pPr>
              <w:spacing w:after="0"/>
              <w:rPr>
                <w:sz w:val="18"/>
                <w:szCs w:val="18"/>
                <w:color w:val="auto"/>
              </w:rPr>
            </w:pPr>
          </w:p>
        </w:tc>
        <w:tc>
          <w:tcPr>
            <w:tcW w:w="8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Capital</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Deficit</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8"/>
              </w:rPr>
              <w:t>Deficit</w:t>
            </w:r>
          </w:p>
        </w:tc>
        <w:tc>
          <w:tcPr>
            <w:tcW w:w="80" w:type="dxa"/>
            <w:vAlign w:val="bottom"/>
            <w:tcBorders>
              <w:bottom w:val="single" w:sz="8" w:color="CFF0FC"/>
            </w:tcBorders>
          </w:tcPr>
          <w:p>
            <w:pPr>
              <w:spacing w:after="0"/>
              <w:rPr>
                <w:sz w:val="18"/>
                <w:szCs w:val="18"/>
                <w:color w:val="auto"/>
              </w:rPr>
            </w:pPr>
          </w:p>
        </w:tc>
      </w:tr>
      <w:tr>
        <w:trPr>
          <w:trHeight w:val="209"/>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Balances as of June 30, 2020</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(1,516)</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(1,516)</w:t>
            </w:r>
          </w:p>
        </w:tc>
      </w:tr>
      <w:tr>
        <w:trPr>
          <w:trHeight w:val="215"/>
        </w:trPr>
        <w:tc>
          <w:tcPr>
            <w:tcW w:w="3420" w:type="dxa"/>
            <w:vAlign w:val="bottom"/>
          </w:tcPr>
          <w:p>
            <w:pPr>
              <w:ind w:left="260"/>
              <w:spacing w:after="0"/>
              <w:rPr>
                <w:sz w:val="20"/>
                <w:szCs w:val="20"/>
                <w:color w:val="auto"/>
              </w:rPr>
            </w:pPr>
            <w:r>
              <w:rPr>
                <w:rFonts w:ascii="Arial" w:cs="Arial" w:eastAsia="Arial" w:hAnsi="Arial"/>
                <w:sz w:val="18"/>
                <w:szCs w:val="18"/>
                <w:color w:val="auto"/>
              </w:rPr>
              <w:t>Issuance of common stock upon</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420" w:type="dxa"/>
            <w:vAlign w:val="bottom"/>
          </w:tcPr>
          <w:p>
            <w:pPr>
              <w:ind w:left="260"/>
              <w:spacing w:after="0" w:line="203" w:lineRule="exact"/>
              <w:rPr>
                <w:sz w:val="20"/>
                <w:szCs w:val="20"/>
                <w:color w:val="auto"/>
              </w:rPr>
            </w:pPr>
            <w:r>
              <w:rPr>
                <w:rFonts w:ascii="Arial" w:cs="Arial" w:eastAsia="Arial" w:hAnsi="Arial"/>
                <w:sz w:val="18"/>
                <w:szCs w:val="18"/>
                <w:color w:val="auto"/>
              </w:rPr>
              <w:t>exercise of options for cash</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200" w:type="dxa"/>
            <w:vAlign w:val="bottom"/>
          </w:tcPr>
          <w:p>
            <w:pPr>
              <w:ind w:left="20"/>
              <w:spacing w:after="0" w:line="203"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r>
      <w:tr>
        <w:trPr>
          <w:trHeight w:val="216"/>
        </w:trPr>
        <w:tc>
          <w:tcPr>
            <w:tcW w:w="3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ind w:left="260"/>
              <w:spacing w:after="0"/>
              <w:rPr>
                <w:sz w:val="20"/>
                <w:szCs w:val="20"/>
                <w:color w:val="auto"/>
              </w:rPr>
            </w:pPr>
            <w:r>
              <w:rPr>
                <w:rFonts w:ascii="Arial" w:cs="Arial" w:eastAsia="Arial" w:hAnsi="Arial"/>
                <w:sz w:val="18"/>
                <w:szCs w:val="18"/>
                <w:color w:val="auto"/>
              </w:rPr>
              <w:t>Net loss and comprehensive loss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r>
      <w:tr>
        <w:trPr>
          <w:trHeight w:val="20"/>
        </w:trPr>
        <w:tc>
          <w:tcPr>
            <w:tcW w:w="34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Balances as of September 30, 2020</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(1,615)</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(1,605)</w:t>
            </w:r>
          </w:p>
        </w:tc>
      </w:tr>
      <w:tr>
        <w:trPr>
          <w:trHeight w:val="20"/>
        </w:trPr>
        <w:tc>
          <w:tcPr>
            <w:tcW w:w="34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r>
        <w:trPr>
          <w:trHeight w:val="453"/>
        </w:trPr>
        <w:tc>
          <w:tcPr>
            <w:tcW w:w="34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12"/>
          </w:tcPr>
          <w:p>
            <w:pPr>
              <w:ind w:left="60"/>
              <w:spacing w:after="0"/>
              <w:rPr>
                <w:sz w:val="20"/>
                <w:szCs w:val="20"/>
                <w:color w:val="auto"/>
              </w:rPr>
            </w:pPr>
            <w:r>
              <w:rPr>
                <w:rFonts w:ascii="Arial" w:cs="Arial" w:eastAsia="Arial" w:hAnsi="Arial"/>
                <w:sz w:val="18"/>
                <w:szCs w:val="18"/>
                <w:b w:val="1"/>
                <w:bCs w:val="1"/>
                <w:color w:val="auto"/>
              </w:rPr>
              <w:t>Nine Months Ended September 30, 2020</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3420" w:type="dxa"/>
            <w:vAlign w:val="bottom"/>
          </w:tcPr>
          <w:p>
            <w:pPr>
              <w:spacing w:after="0"/>
              <w:rPr>
                <w:sz w:val="16"/>
                <w:szCs w:val="16"/>
                <w:color w:val="auto"/>
              </w:rPr>
            </w:pPr>
          </w:p>
        </w:tc>
        <w:tc>
          <w:tcPr>
            <w:tcW w:w="2000" w:type="dxa"/>
            <w:vAlign w:val="bottom"/>
            <w:tcBorders>
              <w:right w:val="single" w:sz="8" w:color="auto"/>
            </w:tcBorders>
            <w:gridSpan w:val="5"/>
          </w:tcPr>
          <w:p>
            <w:pPr>
              <w:jc w:val="center"/>
              <w:ind w:right="220"/>
              <w:spacing w:after="0" w:line="187" w:lineRule="exact"/>
              <w:rPr>
                <w:sz w:val="20"/>
                <w:szCs w:val="20"/>
                <w:color w:val="auto"/>
              </w:rPr>
            </w:pPr>
            <w:r>
              <w:rPr>
                <w:rFonts w:ascii="Arial" w:cs="Arial" w:eastAsia="Arial" w:hAnsi="Arial"/>
                <w:sz w:val="18"/>
                <w:szCs w:val="18"/>
                <w:b w:val="1"/>
                <w:bCs w:val="1"/>
                <w:color w:val="auto"/>
                <w:w w:val="99"/>
              </w:rPr>
              <w:t>Redeemable</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3420" w:type="dxa"/>
            <w:vAlign w:val="bottom"/>
          </w:tcPr>
          <w:p>
            <w:pPr>
              <w:spacing w:after="0"/>
              <w:rPr>
                <w:sz w:val="17"/>
                <w:szCs w:val="17"/>
                <w:color w:val="auto"/>
              </w:rPr>
            </w:pPr>
          </w:p>
        </w:tc>
        <w:tc>
          <w:tcPr>
            <w:tcW w:w="2000" w:type="dxa"/>
            <w:vAlign w:val="bottom"/>
            <w:tcBorders>
              <w:right w:val="single" w:sz="8" w:color="auto"/>
            </w:tcBorders>
            <w:gridSpan w:val="5"/>
          </w:tcPr>
          <w:p>
            <w:pPr>
              <w:jc w:val="center"/>
              <w:ind w:right="240"/>
              <w:spacing w:after="0" w:line="202" w:lineRule="exact"/>
              <w:rPr>
                <w:sz w:val="20"/>
                <w:szCs w:val="20"/>
                <w:color w:val="auto"/>
              </w:rPr>
            </w:pPr>
            <w:r>
              <w:rPr>
                <w:rFonts w:ascii="Arial" w:cs="Arial" w:eastAsia="Arial" w:hAnsi="Arial"/>
                <w:sz w:val="18"/>
                <w:szCs w:val="18"/>
                <w:b w:val="1"/>
                <w:bCs w:val="1"/>
                <w:color w:val="auto"/>
              </w:rPr>
              <w:t>Convertible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4"/>
          </w:tcPr>
          <w:p>
            <w:pPr>
              <w:ind w:left="220"/>
              <w:spacing w:after="0" w:line="202" w:lineRule="exact"/>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7"/>
              </w:rPr>
              <w:t>Total</w:t>
            </w:r>
          </w:p>
        </w:tc>
      </w:tr>
      <w:tr>
        <w:trPr>
          <w:trHeight w:val="225"/>
        </w:trPr>
        <w:tc>
          <w:tcPr>
            <w:tcW w:w="3420" w:type="dxa"/>
            <w:vAlign w:val="bottom"/>
          </w:tcPr>
          <w:p>
            <w:pPr>
              <w:spacing w:after="0"/>
              <w:rPr>
                <w:sz w:val="19"/>
                <w:szCs w:val="19"/>
                <w:color w:val="auto"/>
              </w:rPr>
            </w:pPr>
          </w:p>
        </w:tc>
        <w:tc>
          <w:tcPr>
            <w:tcW w:w="2000" w:type="dxa"/>
            <w:vAlign w:val="bottom"/>
            <w:tcBorders>
              <w:right w:val="single" w:sz="8" w:color="auto"/>
            </w:tcBorders>
            <w:gridSpan w:val="5"/>
          </w:tcPr>
          <w:p>
            <w:pPr>
              <w:jc w:val="center"/>
              <w:ind w:right="220"/>
              <w:spacing w:after="0"/>
              <w:rPr>
                <w:sz w:val="20"/>
                <w:szCs w:val="20"/>
                <w:color w:val="auto"/>
              </w:rPr>
            </w:pPr>
            <w:r>
              <w:rPr>
                <w:rFonts w:ascii="Arial" w:cs="Arial" w:eastAsia="Arial" w:hAnsi="Arial"/>
                <w:sz w:val="18"/>
                <w:szCs w:val="18"/>
                <w:b w:val="1"/>
                <w:bCs w:val="1"/>
                <w:color w:val="auto"/>
                <w:w w:val="99"/>
              </w:rPr>
              <w:t>Preferred Stock</w:t>
            </w:r>
          </w:p>
        </w:tc>
        <w:tc>
          <w:tcPr>
            <w:tcW w:w="10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Paid-in</w:t>
            </w:r>
          </w:p>
        </w:tc>
        <w:tc>
          <w:tcPr>
            <w:tcW w:w="1440" w:type="dxa"/>
            <w:vAlign w:val="bottom"/>
            <w:gridSpan w:val="4"/>
          </w:tcPr>
          <w:p>
            <w:pPr>
              <w:ind w:left="80"/>
              <w:spacing w:after="0"/>
              <w:rPr>
                <w:sz w:val="20"/>
                <w:szCs w:val="20"/>
                <w:color w:val="auto"/>
              </w:rPr>
            </w:pPr>
            <w:r>
              <w:rPr>
                <w:rFonts w:ascii="Arial" w:cs="Arial" w:eastAsia="Arial" w:hAnsi="Arial"/>
                <w:sz w:val="18"/>
                <w:szCs w:val="18"/>
                <w:b w:val="1"/>
                <w:bCs w:val="1"/>
                <w:color w:val="auto"/>
              </w:rPr>
              <w:t>Accumulated</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Stockholders’</w:t>
            </w:r>
          </w:p>
        </w:tc>
      </w:tr>
      <w:tr>
        <w:trPr>
          <w:trHeight w:val="209"/>
        </w:trPr>
        <w:tc>
          <w:tcPr>
            <w:tcW w:w="3420" w:type="dxa"/>
            <w:vAlign w:val="bottom"/>
            <w:tcBorders>
              <w:bottom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bottom w:val="single" w:sz="8" w:color="CFF0FC"/>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CFF0FC"/>
              <w:right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bottom w:val="single" w:sz="8" w:color="CFF0FC"/>
            </w:tcBorders>
          </w:tcPr>
          <w:p>
            <w:pPr>
              <w:spacing w:after="0"/>
              <w:rPr>
                <w:sz w:val="18"/>
                <w:szCs w:val="18"/>
                <w:color w:val="auto"/>
              </w:rPr>
            </w:pPr>
          </w:p>
        </w:tc>
        <w:tc>
          <w:tcPr>
            <w:tcW w:w="8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Capital</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Deficit</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8"/>
              </w:rPr>
              <w:t>Deficit</w:t>
            </w:r>
          </w:p>
        </w:tc>
        <w:tc>
          <w:tcPr>
            <w:tcW w:w="80" w:type="dxa"/>
            <w:vAlign w:val="bottom"/>
            <w:tcBorders>
              <w:bottom w:val="single" w:sz="8" w:color="CFF0FC"/>
            </w:tcBorders>
          </w:tcPr>
          <w:p>
            <w:pPr>
              <w:spacing w:after="0"/>
              <w:rPr>
                <w:sz w:val="18"/>
                <w:szCs w:val="18"/>
                <w:color w:val="auto"/>
              </w:rPr>
            </w:pPr>
          </w:p>
        </w:tc>
      </w:tr>
      <w:tr>
        <w:trPr>
          <w:trHeight w:val="21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Balances as of December 31, 2019</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(1,439)</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(1,439)</w:t>
            </w:r>
          </w:p>
        </w:tc>
      </w:tr>
      <w:tr>
        <w:trPr>
          <w:trHeight w:val="215"/>
        </w:trPr>
        <w:tc>
          <w:tcPr>
            <w:tcW w:w="3420" w:type="dxa"/>
            <w:vAlign w:val="bottom"/>
          </w:tcPr>
          <w:p>
            <w:pPr>
              <w:ind w:left="260"/>
              <w:spacing w:after="0"/>
              <w:rPr>
                <w:sz w:val="20"/>
                <w:szCs w:val="20"/>
                <w:color w:val="auto"/>
              </w:rPr>
            </w:pPr>
            <w:r>
              <w:rPr>
                <w:rFonts w:ascii="Arial" w:cs="Arial" w:eastAsia="Arial" w:hAnsi="Arial"/>
                <w:sz w:val="18"/>
                <w:szCs w:val="18"/>
                <w:color w:val="auto"/>
              </w:rPr>
              <w:t>Issuance of common stock upon</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420" w:type="dxa"/>
            <w:vAlign w:val="bottom"/>
          </w:tcPr>
          <w:p>
            <w:pPr>
              <w:ind w:left="260"/>
              <w:spacing w:after="0" w:line="203" w:lineRule="exact"/>
              <w:rPr>
                <w:sz w:val="20"/>
                <w:szCs w:val="20"/>
                <w:color w:val="auto"/>
              </w:rPr>
            </w:pPr>
            <w:r>
              <w:rPr>
                <w:rFonts w:ascii="Arial" w:cs="Arial" w:eastAsia="Arial" w:hAnsi="Arial"/>
                <w:sz w:val="18"/>
                <w:szCs w:val="18"/>
                <w:color w:val="auto"/>
              </w:rPr>
              <w:t>exercise of options for cash</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ind w:left="20"/>
              <w:spacing w:after="0" w:line="203"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r>
      <w:tr>
        <w:trPr>
          <w:trHeight w:val="216"/>
        </w:trPr>
        <w:tc>
          <w:tcPr>
            <w:tcW w:w="3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ind w:left="260"/>
              <w:spacing w:after="0"/>
              <w:rPr>
                <w:sz w:val="20"/>
                <w:szCs w:val="20"/>
                <w:color w:val="auto"/>
              </w:rPr>
            </w:pPr>
            <w:r>
              <w:rPr>
                <w:rFonts w:ascii="Arial" w:cs="Arial" w:eastAsia="Arial" w:hAnsi="Arial"/>
                <w:sz w:val="18"/>
                <w:szCs w:val="18"/>
                <w:color w:val="auto"/>
              </w:rPr>
              <w:t>Repurchase of common stock</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3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and comprehensive loss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w:t>
            </w:r>
          </w:p>
        </w:tc>
      </w:tr>
      <w:tr>
        <w:trPr>
          <w:trHeight w:val="20"/>
        </w:trPr>
        <w:tc>
          <w:tcPr>
            <w:tcW w:w="3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420" w:type="dxa"/>
            <w:vAlign w:val="bottom"/>
          </w:tcPr>
          <w:p>
            <w:pPr>
              <w:spacing w:after="0"/>
              <w:rPr>
                <w:sz w:val="20"/>
                <w:szCs w:val="20"/>
                <w:color w:val="auto"/>
              </w:rPr>
            </w:pPr>
            <w:r>
              <w:rPr>
                <w:rFonts w:ascii="Arial" w:cs="Arial" w:eastAsia="Arial" w:hAnsi="Arial"/>
                <w:sz w:val="18"/>
                <w:szCs w:val="18"/>
                <w:color w:val="auto"/>
              </w:rPr>
              <w:t>Balances as of September 30, 2020</w:t>
            </w:r>
          </w:p>
        </w:tc>
        <w:tc>
          <w:tcPr>
            <w:tcW w:w="760" w:type="dxa"/>
            <w:vAlign w:val="bottom"/>
          </w:tcPr>
          <w:p>
            <w:pPr>
              <w:jc w:val="right"/>
              <w:spacing w:after="0"/>
              <w:rPr>
                <w:sz w:val="20"/>
                <w:szCs w:val="20"/>
                <w:color w:val="auto"/>
              </w:rPr>
            </w:pPr>
            <w:r>
              <w:rPr>
                <w:rFonts w:ascii="Arial" w:cs="Arial" w:eastAsia="Arial" w:hAnsi="Arial"/>
                <w:sz w:val="18"/>
                <w:szCs w:val="18"/>
                <w:color w:val="auto"/>
              </w:rPr>
              <w:t>422</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(1,615)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(1,605)</w:t>
            </w:r>
          </w:p>
        </w:tc>
      </w:tr>
      <w:tr>
        <w:trPr>
          <w:trHeight w:val="20"/>
        </w:trPr>
        <w:tc>
          <w:tcPr>
            <w:tcW w:w="3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25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rPr>
              <w:t>Nine Months Ended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8160" w:type="dxa"/>
            <w:vAlign w:val="bottom"/>
          </w:tcPr>
          <w:p>
            <w:pPr>
              <w:spacing w:after="0"/>
              <w:rPr>
                <w:sz w:val="19"/>
                <w:szCs w:val="19"/>
                <w:color w:val="auto"/>
              </w:rPr>
            </w:pPr>
          </w:p>
        </w:tc>
        <w:tc>
          <w:tcPr>
            <w:tcW w:w="254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8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r>
      <w:tr>
        <w:trPr>
          <w:trHeight w:val="215"/>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provided by (used in) operating</w:t>
            </w: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816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activities:</w:t>
            </w: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Noncash inventory write downs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r>
      <w:tr>
        <w:trPr>
          <w:trHeight w:val="21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r>
      <w:tr>
        <w:trPr>
          <w:trHeight w:val="216"/>
        </w:trPr>
        <w:tc>
          <w:tcPr>
            <w:tcW w:w="8160" w:type="dxa"/>
            <w:vAlign w:val="bottom"/>
          </w:tcPr>
          <w:p>
            <w:pPr>
              <w:ind w:left="260"/>
              <w:spacing w:after="0"/>
              <w:rPr>
                <w:sz w:val="20"/>
                <w:szCs w:val="20"/>
                <w:color w:val="auto"/>
              </w:rPr>
            </w:pPr>
            <w:r>
              <w:rPr>
                <w:rFonts w:ascii="Arial" w:cs="Arial" w:eastAsia="Arial" w:hAnsi="Arial"/>
                <w:sz w:val="18"/>
                <w:szCs w:val="18"/>
                <w:color w:val="auto"/>
              </w:rPr>
              <w:t>Noncash lease expense</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r>
      <w:tr>
        <w:trPr>
          <w:trHeight w:val="21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Remeasurement of redeemable convertible preferred stock warrant liability</w:t>
            </w:r>
          </w:p>
        </w:tc>
        <w:tc>
          <w:tcPr>
            <w:tcW w:w="8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r>
      <w:tr>
        <w:trPr>
          <w:trHeight w:val="229"/>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 receivable</w:t>
            </w: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8"/>
                <w:szCs w:val="18"/>
                <w:color w:val="auto"/>
              </w:rPr>
            </w:pPr>
          </w:p>
        </w:tc>
      </w:tr>
      <w:tr>
        <w:trPr>
          <w:trHeight w:val="216"/>
        </w:trPr>
        <w:tc>
          <w:tcPr>
            <w:tcW w:w="8160" w:type="dxa"/>
            <w:vAlign w:val="bottom"/>
          </w:tcPr>
          <w:p>
            <w:pPr>
              <w:ind w:left="260"/>
              <w:spacing w:after="0"/>
              <w:rPr>
                <w:sz w:val="20"/>
                <w:szCs w:val="20"/>
                <w:color w:val="auto"/>
              </w:rPr>
            </w:pPr>
            <w:r>
              <w:rPr>
                <w:rFonts w:ascii="Arial" w:cs="Arial" w:eastAsia="Arial" w:hAnsi="Arial"/>
                <w:sz w:val="18"/>
                <w:szCs w:val="18"/>
                <w:color w:val="auto"/>
              </w:rPr>
              <w:t>Prepaid expenses, other current and noncurrent assets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r>
      <w:tr>
        <w:trPr>
          <w:trHeight w:val="21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8"/>
                <w:szCs w:val="18"/>
                <w:color w:val="auto"/>
              </w:rPr>
            </w:pPr>
          </w:p>
        </w:tc>
      </w:tr>
      <w:tr>
        <w:trPr>
          <w:trHeight w:val="216"/>
        </w:trPr>
        <w:tc>
          <w:tcPr>
            <w:tcW w:w="8160" w:type="dxa"/>
            <w:vAlign w:val="bottom"/>
          </w:tcPr>
          <w:p>
            <w:pPr>
              <w:ind w:left="260"/>
              <w:spacing w:after="0"/>
              <w:rPr>
                <w:sz w:val="20"/>
                <w:szCs w:val="20"/>
                <w:color w:val="auto"/>
              </w:rPr>
            </w:pPr>
            <w:r>
              <w:rPr>
                <w:rFonts w:ascii="Arial" w:cs="Arial" w:eastAsia="Arial" w:hAnsi="Arial"/>
                <w:sz w:val="18"/>
                <w:szCs w:val="18"/>
                <w:color w:val="auto"/>
              </w:rPr>
              <w:t>Merchants payable</w:t>
            </w:r>
          </w:p>
        </w:tc>
        <w:tc>
          <w:tcPr>
            <w:tcW w:w="8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r>
      <w:tr>
        <w:trPr>
          <w:trHeight w:val="21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refund liabilities</w:t>
            </w:r>
          </w:p>
        </w:tc>
        <w:tc>
          <w:tcPr>
            <w:tcW w:w="8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8"/>
                <w:szCs w:val="18"/>
                <w:color w:val="auto"/>
              </w:rPr>
            </w:pPr>
          </w:p>
        </w:tc>
      </w:tr>
      <w:tr>
        <w:trPr>
          <w:trHeight w:val="216"/>
        </w:trPr>
        <w:tc>
          <w:tcPr>
            <w:tcW w:w="8160" w:type="dxa"/>
            <w:vAlign w:val="bottom"/>
          </w:tcPr>
          <w:p>
            <w:pPr>
              <w:ind w:left="260"/>
              <w:spacing w:after="0"/>
              <w:rPr>
                <w:sz w:val="20"/>
                <w:szCs w:val="20"/>
                <w:color w:val="auto"/>
              </w:rPr>
            </w:pPr>
            <w:r>
              <w:rPr>
                <w:rFonts w:ascii="Arial" w:cs="Arial" w:eastAsia="Arial" w:hAnsi="Arial"/>
                <w:sz w:val="18"/>
                <w:szCs w:val="18"/>
                <w:color w:val="auto"/>
              </w:rPr>
              <w:t>Lease liabilities</w:t>
            </w:r>
          </w:p>
        </w:tc>
        <w:tc>
          <w:tcPr>
            <w:tcW w:w="8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and noncurrent liabilities</w:t>
            </w:r>
          </w:p>
        </w:tc>
        <w:tc>
          <w:tcPr>
            <w:tcW w:w="8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8"/>
                <w:szCs w:val="18"/>
                <w:color w:val="auto"/>
              </w:rPr>
            </w:pPr>
          </w:p>
        </w:tc>
      </w:tr>
      <w:tr>
        <w:trPr>
          <w:trHeight w:val="20"/>
        </w:trPr>
        <w:tc>
          <w:tcPr>
            <w:tcW w:w="8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6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8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r>
      <w:tr>
        <w:trPr>
          <w:trHeight w:val="209"/>
        </w:trPr>
        <w:tc>
          <w:tcPr>
            <w:tcW w:w="8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816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8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marketable securities</w:t>
            </w:r>
          </w:p>
        </w:tc>
        <w:tc>
          <w:tcPr>
            <w:tcW w:w="8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(225)</w:t>
            </w:r>
          </w:p>
        </w:tc>
      </w:tr>
      <w:tr>
        <w:trPr>
          <w:trHeight w:val="229"/>
        </w:trPr>
        <w:tc>
          <w:tcPr>
            <w:tcW w:w="8160" w:type="dxa"/>
            <w:vAlign w:val="bottom"/>
          </w:tcPr>
          <w:p>
            <w:pPr>
              <w:ind w:left="260"/>
              <w:spacing w:after="0"/>
              <w:rPr>
                <w:sz w:val="20"/>
                <w:szCs w:val="20"/>
                <w:color w:val="auto"/>
              </w:rPr>
            </w:pPr>
            <w:r>
              <w:rPr>
                <w:rFonts w:ascii="Arial" w:cs="Arial" w:eastAsia="Arial" w:hAnsi="Arial"/>
                <w:sz w:val="18"/>
                <w:szCs w:val="18"/>
                <w:color w:val="auto"/>
              </w:rPr>
              <w:t>Sales of marketable securities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r>
      <w:tr>
        <w:trPr>
          <w:trHeight w:val="216"/>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marketable securities</w:t>
            </w:r>
          </w:p>
        </w:tc>
        <w:tc>
          <w:tcPr>
            <w:tcW w:w="8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FF0FC"/>
          </w:tcPr>
          <w:p>
            <w:pPr>
              <w:spacing w:after="0"/>
              <w:rPr>
                <w:sz w:val="18"/>
                <w:szCs w:val="18"/>
                <w:color w:val="auto"/>
              </w:rPr>
            </w:pPr>
          </w:p>
        </w:tc>
      </w:tr>
      <w:tr>
        <w:trPr>
          <w:trHeight w:val="210"/>
        </w:trPr>
        <w:tc>
          <w:tcPr>
            <w:tcW w:w="8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FF0FC"/>
            </w:tcBorders>
          </w:tcPr>
          <w:p>
            <w:pPr>
              <w:spacing w:after="0"/>
              <w:rPr>
                <w:sz w:val="18"/>
                <w:szCs w:val="18"/>
                <w:color w:val="auto"/>
              </w:rPr>
            </w:pPr>
          </w:p>
        </w:tc>
      </w:tr>
      <w:tr>
        <w:trPr>
          <w:trHeight w:val="210"/>
        </w:trPr>
        <w:tc>
          <w:tcPr>
            <w:tcW w:w="8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160" w:type="dxa"/>
            <w:vAlign w:val="bottom"/>
          </w:tcPr>
          <w:p>
            <w:pPr>
              <w:ind w:left="260"/>
              <w:spacing w:after="0"/>
              <w:rPr>
                <w:sz w:val="20"/>
                <w:szCs w:val="20"/>
                <w:color w:val="auto"/>
              </w:rPr>
            </w:pPr>
            <w:r>
              <w:rPr>
                <w:rFonts w:ascii="Arial" w:cs="Arial" w:eastAsia="Arial" w:hAnsi="Arial"/>
                <w:sz w:val="18"/>
                <w:szCs w:val="18"/>
                <w:color w:val="auto"/>
              </w:rPr>
              <w:t>Proceeds from sales of shares through employee equity incentive plans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30"/>
        </w:trPr>
        <w:tc>
          <w:tcPr>
            <w:tcW w:w="8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taxes related to RSU settlement</w:t>
            </w:r>
          </w:p>
        </w:tc>
        <w:tc>
          <w:tcPr>
            <w:tcW w:w="8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0"/>
        </w:trPr>
        <w:tc>
          <w:tcPr>
            <w:tcW w:w="81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23"/>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line="223" w:lineRule="exact"/>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line="223" w:lineRule="exact"/>
              <w:rPr>
                <w:sz w:val="20"/>
                <w:szCs w:val="20"/>
                <w:color w:val="auto"/>
              </w:rPr>
            </w:pPr>
            <w:r>
              <w:rPr>
                <w:rFonts w:ascii="Arial" w:cs="Arial" w:eastAsia="Arial" w:hAnsi="Arial"/>
                <w:sz w:val="20"/>
                <w:szCs w:val="20"/>
                <w:color w:val="auto"/>
              </w:rPr>
              <w:t>(1)</w:t>
            </w:r>
          </w:p>
        </w:tc>
      </w:tr>
      <w:tr>
        <w:trPr>
          <w:trHeight w:val="20"/>
        </w:trPr>
        <w:tc>
          <w:tcPr>
            <w:tcW w:w="8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6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8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r>
      <w:tr>
        <w:trPr>
          <w:trHeight w:val="216"/>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8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1,965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FF0FC"/>
          </w:tcPr>
          <w:p>
            <w:pPr>
              <w:spacing w:after="0"/>
              <w:rPr>
                <w:sz w:val="18"/>
                <w:szCs w:val="18"/>
                <w:color w:val="auto"/>
              </w:rPr>
            </w:pPr>
          </w:p>
        </w:tc>
      </w:tr>
      <w:tr>
        <w:trPr>
          <w:trHeight w:val="250"/>
        </w:trPr>
        <w:tc>
          <w:tcPr>
            <w:tcW w:w="816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1,079</w:t>
            </w:r>
          </w:p>
        </w:tc>
        <w:tc>
          <w:tcPr>
            <w:tcW w:w="160" w:type="dxa"/>
            <w:vAlign w:val="bottom"/>
          </w:tcPr>
          <w:p>
            <w:pPr>
              <w:spacing w:after="0"/>
              <w:rPr>
                <w:sz w:val="21"/>
                <w:szCs w:val="21"/>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r>
      <w:tr>
        <w:trPr>
          <w:trHeight w:val="174"/>
        </w:trPr>
        <w:tc>
          <w:tcPr>
            <w:tcW w:w="816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b w:val="1"/>
                <w:bCs w:val="1"/>
                <w:color w:val="auto"/>
              </w:rPr>
              <w:t>Reconciliation of cash, cash equivalents, and restricted cash to the consolidated balance</w:t>
            </w:r>
          </w:p>
        </w:tc>
        <w:tc>
          <w:tcPr>
            <w:tcW w:w="88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r>
      <w:tr>
        <w:trPr>
          <w:trHeight w:val="225"/>
        </w:trPr>
        <w:tc>
          <w:tcPr>
            <w:tcW w:w="8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sheets:</w:t>
            </w: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1,072</w:t>
            </w:r>
          </w:p>
        </w:tc>
        <w:tc>
          <w:tcPr>
            <w:tcW w:w="160" w:type="dxa"/>
            <w:vAlign w:val="bottom"/>
          </w:tcPr>
          <w:p>
            <w:pPr>
              <w:spacing w:after="0"/>
              <w:rPr>
                <w:sz w:val="18"/>
                <w:szCs w:val="18"/>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8"/>
                <w:szCs w:val="18"/>
                <w:color w:val="auto"/>
              </w:rPr>
            </w:pPr>
          </w:p>
        </w:tc>
      </w:tr>
      <w:tr>
        <w:trPr>
          <w:trHeight w:val="215"/>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included in prepaid and other current assets and other assets in the consolidated</w:t>
            </w: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81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balance sheets</w:t>
            </w:r>
          </w:p>
        </w:tc>
        <w:tc>
          <w:tcPr>
            <w:tcW w:w="88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7"/>
                <w:szCs w:val="17"/>
                <w:color w:val="auto"/>
              </w:rPr>
            </w:pPr>
          </w:p>
        </w:tc>
      </w:tr>
      <w:tr>
        <w:trPr>
          <w:trHeight w:val="250"/>
        </w:trPr>
        <w:tc>
          <w:tcPr>
            <w:tcW w:w="816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1,079</w:t>
            </w:r>
          </w:p>
        </w:tc>
        <w:tc>
          <w:tcPr>
            <w:tcW w:w="160" w:type="dxa"/>
            <w:vAlign w:val="bottom"/>
          </w:tcPr>
          <w:p>
            <w:pPr>
              <w:spacing w:after="0"/>
              <w:rPr>
                <w:sz w:val="21"/>
                <w:szCs w:val="21"/>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r>
      <w:tr>
        <w:trPr>
          <w:trHeight w:val="196"/>
        </w:trPr>
        <w:tc>
          <w:tcPr>
            <w:tcW w:w="81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Supplemental cash flow disclosures:</w:t>
            </w:r>
          </w:p>
        </w:tc>
        <w:tc>
          <w:tcPr>
            <w:tcW w:w="88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Cash paid for income taxes, net of refunds</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CONTEXTLOGIC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BASIS OF PRESENTATION AND SIGNIFICANT ACCOUNTING POLICIES</w:t>
      </w:r>
    </w:p>
    <w:p>
      <w:pPr>
        <w:spacing w:after="0" w:line="85"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ContextLogic Inc. and its consolidated subsidiaries (“Wish,” the “Company,” “we,” “us” and “its”) is an ecommerce company that provides a shopping experience that is mobile-first and discovery-based, which connects merchants’ products to users based on user preferences. The Company generates revenue from marketplace and logistics services provided to merchants.</w:t>
      </w:r>
    </w:p>
    <w:p>
      <w:pPr>
        <w:spacing w:after="0" w:line="149"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The Company was incorporated in the state of Delaware in June 2010 and is headquartered in San Francisco, California, with significant operations in Canada, China and the Netherlands.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34"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In December 2020, the Company completed its initial public offering (“IPO”) of Class A common stock, in which it sold 46 million shares. The shares were sold at an IPO price of $24.00 per share for net proceeds of approximately $1.1 billion, after deducting underwriting discounts and commissions of approximately $52 million. Additionally, the Company incurred approximately $6 million of offering costs, net of reimbursements. Following the IPO, the Company has two classes of authorized common stock: Class A common stock, which entitles holders to one vote per share, and Class B common stock, which entitles holders to 20 votes per share.</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80"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United States generally accepted accounting principles (“U.S. GAAP”) for interim financial information, and the instructions to Form 10-Q and Article 10 of Regulation S-X. The condensed consolidated financial statements include the accounts of the Company and its wholly owned subsidiaries. All intercompany balances and transactions have been eliminated in consolidation. The condensed consolidated financial statements are unaudited but include all adjustments of a normal recurring nature necessary for a fair presentation of our quarterly results. In the opinion of management, the condensed consolidated financial statements reflect all adjustments considered necessary for a fair presentation of the operating results of Wish and its subsidiaries, for the three and nine months ended September 30, 2021, and are not necessarily indicative of the results that may be expected for the year ending December 31, 2021. The consolidated balance sheet as of December 31, 2020 is derived from audited financial statements, however, it does not include all of the information and footnotes required by U.S. GAAP for complete financial statements. These condensed consolidated financial statements should be read in conjunction with the consolidated financial statements and related notes in our Annual Report on Form 10-K for the year ended December 31, 2020, which was filed with the Securities and Exchange Commission (“SEC”) on March 25, 2021.</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85"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and assumptions that affect the reported amounts of assets and liabilities, disclosures of contingent assets and liabilities at the date of the condensed consolidated financial statements, and the reported amounts of revenue and expenses during the reporting period. These estimates form the basis for judgments the Company makes about the carrying values of its assets and liabilities that are not readily available from other sources. These estimates include, but are not limited to, fair value of financial instruments, useful lives of long-lived assets, fair value of derivative instruments, assumptions used in calculating the fair value of the Company's equity awards, expected achievement of performance based vesting criteria related to performance stock units, incremental borrowing rate applied to lease accounting, contingent liabilities, redemption probabilities associated with Wish Cash, allowances for refunds and chargebacks and uncertain tax positions. Management bases estimates on historical experience and on various other assumptions that are believed to be reasonable, the results of which form the basis for making judgments about the carrying values of assets and liabilities. As of September 30, 2021, the effects of the ongoing COVID-19 pandemic on the Company’s business, results of operations, and financial condition continue to evolve. As a result, many of the Company’s estimates and assumptions required increased judgment and these estimates may change materially in future periods.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 w:name="page11"/>
    <w:bookmarkEnd w:id="10"/>
    <w:p>
      <w:pPr>
        <w:ind w:left="640"/>
        <w:spacing w:after="0"/>
        <w:rPr>
          <w:sz w:val="20"/>
          <w:szCs w:val="20"/>
          <w:color w:val="auto"/>
        </w:rPr>
      </w:pPr>
      <w:r>
        <w:rPr>
          <w:rFonts w:ascii="Arial" w:cs="Arial" w:eastAsia="Arial" w:hAnsi="Arial"/>
          <w:sz w:val="18"/>
          <w:szCs w:val="18"/>
          <w:b w:val="1"/>
          <w:bCs w:val="1"/>
          <w:i w:val="1"/>
          <w:iCs w:val="1"/>
          <w:color w:val="auto"/>
        </w:rPr>
        <w:t>Segments</w:t>
      </w:r>
    </w:p>
    <w:p>
      <w:pPr>
        <w:spacing w:after="0" w:line="99"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makes operating decisions, assesses financial performance and allocates resources based on condensed consolidated financial information. As such, the Company has determined that it operates in one reportable segment.</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67" w:lineRule="exact"/>
        <w:rPr>
          <w:sz w:val="20"/>
          <w:szCs w:val="20"/>
          <w:color w:val="auto"/>
        </w:rPr>
      </w:pPr>
    </w:p>
    <w:p>
      <w:pPr>
        <w:jc w:val="both"/>
        <w:ind w:firstLine="637"/>
        <w:spacing w:after="0" w:line="239"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Financial instruments that potentially subject the Company to concentrations of credit risk consist primarily of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funds receivable, marketable securities and derivative financial instruments. The Company’s cash and cash equivalents are held on deposit with creditworthy institutions. Although the Company’s deposits exceed federally insured limits, the Company has not experienced any losses in such accounts. The Company invests its excess cash in money market accounts, U.S. Treasury notes, U.S. Treasury bills, commercial paper and corporate bonds. The Company is exposed to credit risk in the event of a default by the financial institutions holding its cash, cash equivalents and marketable securities for the amounts reflected on the condensed consolidated balance sheets. The Company’s investment policy limits investments to certain types of debt securities issued by the U.S. government, its agencies and institutions with investment-grade credit ratings and places restrictions on maturities and concentration by type and issuer.</w:t>
      </w:r>
    </w:p>
    <w:p>
      <w:pPr>
        <w:spacing w:after="0" w:line="70"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Company maintains certain bank accounts in China. The Company manages the counterparty risk associated with these funds through diversification with major financial institutions and monitors the concentration of this credit risk on a monthly basis. The total cash balance in these accounts represented approximately 10% and 7% of the Company’s total cash and cash equivalents as of September 30, 2021 and December 31, 2020, respectively.</w:t>
      </w:r>
    </w:p>
    <w:p>
      <w:pPr>
        <w:spacing w:after="0" w:line="151"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Company's derivative financial instruments expose it to credit risk to the extent that the counterparties may be unable to meet the terms of the arrangement. The Company seeks to mitigate such risk by limiting its counterparties to, and by spreading the risk across, major financial institutions. In addition, the potential risk of loss with any one counterparty resulting from this type of credit risk is monitored on a monthly basis. The Company is not required to pledge, nor is it entitled to receive, collateral related to its foreign exchange derivative transactions.</w:t>
      </w:r>
    </w:p>
    <w:p>
      <w:pPr>
        <w:spacing w:after="0" w:line="148" w:lineRule="exact"/>
        <w:rPr>
          <w:sz w:val="20"/>
          <w:szCs w:val="20"/>
          <w:color w:val="auto"/>
        </w:rPr>
      </w:pPr>
    </w:p>
    <w:p>
      <w:pPr>
        <w:jc w:val="both"/>
        <w:ind w:right="20" w:firstLine="637"/>
        <w:spacing w:after="0"/>
        <w:rPr>
          <w:sz w:val="20"/>
          <w:szCs w:val="20"/>
          <w:color w:val="auto"/>
        </w:rPr>
      </w:pPr>
      <w:r>
        <w:rPr>
          <w:rFonts w:ascii="Arial" w:cs="Arial" w:eastAsia="Arial" w:hAnsi="Arial"/>
          <w:sz w:val="18"/>
          <w:szCs w:val="18"/>
          <w:color w:val="auto"/>
        </w:rPr>
        <w:t>The Company is exposed to credit risk in the event of a default by its Payment Service Providers (“PSPs”). The Company does not generate revenue from PSPs. Significant changes in the Company’s relationship with its PSPs could adversely affect users’ ability to process transactions on the Company’s marketplaces, thereby impacting the Company’s operating results.</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PSPs each represented 10% or more of the Company’s funds receivable balance: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September 30,</w:t>
            </w: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December 31,</w:t>
            </w:r>
          </w:p>
        </w:tc>
      </w:tr>
      <w:tr>
        <w:trPr>
          <w:trHeight w:val="225"/>
        </w:trPr>
        <w:tc>
          <w:tcPr>
            <w:tcW w:w="760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PSP 1</w:t>
            </w: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67%</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PSP 2</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bl>
    <w:p>
      <w:pPr>
        <w:spacing w:after="0" w:line="211"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i w:val="1"/>
          <w:iCs w:val="1"/>
          <w:color w:val="auto"/>
        </w:rPr>
        <w:t xml:space="preserve">Services Risk </w:t>
      </w:r>
      <w:r>
        <w:rPr>
          <w:rFonts w:ascii="Arial" w:cs="Arial" w:eastAsia="Arial" w:hAnsi="Arial"/>
          <w:sz w:val="18"/>
          <w:szCs w:val="18"/>
          <w:color w:val="auto"/>
        </w:rPr>
        <w:t>— The Company serves all its users using third-party data center and hosting providers. The Company has disaster</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protocols at the third-party service providers. Even with these procedures for disaster recovery in place, access to the Company’s service could be significantly interrupted, resulting in an adverse effect on its operating results and financial position. No significant interruptions of service were known to have occurred during the three and nine months ended September 30, 2021 and 2020.</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80"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There have been no changes to the Company’s significant accounting policies described in its Annual Report on Form 10-K for the year ended December 31, 2020, filed with the SEC on March 25, 2021, that have had a material impact on its condensed consolidated financial statements.</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80"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The Company has reviewed recent accounting pronouncements and concluded they are either not applicable to the business or no material impact is expected on the condensed consolidated financial statements as a result of future adoption.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DISAGGREGATION OF REVENUE</w:t>
      </w:r>
    </w:p>
    <w:p>
      <w:pPr>
        <w:spacing w:after="0" w:line="180"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 Company generates revenue from marketplace and logistics services provided to merchants. Revenue is recognized as the Company transfers control of promised goods or services to its customers in an amount that reflects the consideration the Company expects to be entitled to in exchange for those goods or services. The Company considers both the merchant and the user to be customers. The Company evaluates whether it is appropriate to recognize revenue on a gross or net basis based upon its evaluation of whether the Company obtains control of the specified goods or services by considering if it is primarily responsible for fulfillment of the promise, has inventory risk, has latitude in establishing pricing and selecting suppliers, among other factors. Based on these factors, marketplace revenue is generally recognized on a net basis and logistics revenue is generally recognized on a gross basis. Revenue excludes any amounts collected on behalf of third parties, including indirect taxes.</w:t>
      </w:r>
    </w:p>
    <w:p>
      <w:pPr>
        <w:spacing w:after="0" w:line="154"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Marketplace revenue includes commission fees collected in connection with user purchases of the merchants’ products. The commission fees vary depending on factors such as user location, demand, product type, product location, and dynamic pricing. The Company recognizes revenue when a user’s order is processed and the related order information has been made available to the merchant. Commission fees are recognized net of estimated refunds and chargebacks. Marketplace revenue also includes ProductBoost revenue for displaying a merchant’s selected products in preferential locations within the Company’s marketplace. The Company recognizes revenue when the merchants’ selected products are displayed. The Company refers to its Core marketplace revenue as marketplace revenue excluding ProductBoost revenue.</w:t>
      </w:r>
    </w:p>
    <w:p>
      <w:pPr>
        <w:spacing w:after="0" w:line="149"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Company’s logistics offering for merchants is designed for direct end-to-end single order shipment from a merchant’s location to the user. Logistics services include transportation and delivery of the merchant’s products to the user. Merchants are required to prepay for logistics services on a per order basis. The Company recognizes revenue over time as the merchant simultaneously receives and consumes the logistics services benefit as the services are performed. The Company uses an output method of progress based on days in transit as it best depicts the Company’s progress toward complete satisfaction of the performance obligation.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disaggregated revenue for the applicable periods: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84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5"/>
          </w:tcPr>
          <w:p>
            <w:pPr>
              <w:ind w:left="36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44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4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8"/>
                <w:szCs w:val="18"/>
                <w:color w:val="auto"/>
              </w:rPr>
            </w:pPr>
          </w:p>
        </w:tc>
      </w:tr>
      <w:tr>
        <w:trPr>
          <w:trHeight w:val="209"/>
        </w:trPr>
        <w:tc>
          <w:tcPr>
            <w:tcW w:w="4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Core marketplace revenue</w:t>
            </w:r>
          </w:p>
        </w:tc>
        <w:tc>
          <w:tcPr>
            <w:tcW w:w="98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420" w:type="dxa"/>
            <w:vAlign w:val="bottom"/>
            <w:gridSpan w:val="2"/>
            <w:shd w:val="clear" w:color="auto" w:fill="CFF0FC"/>
          </w:tcPr>
          <w:p>
            <w:pPr>
              <w:jc w:val="right"/>
              <w:ind w:right="9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ProductBoost revenue</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4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FF0FC"/>
            </w:tcBorders>
          </w:tcPr>
          <w:p>
            <w:pPr>
              <w:spacing w:after="0"/>
              <w:rPr>
                <w:sz w:val="18"/>
                <w:szCs w:val="18"/>
                <w:color w:val="auto"/>
              </w:rPr>
            </w:pPr>
          </w:p>
        </w:tc>
      </w:tr>
      <w:tr>
        <w:trPr>
          <w:trHeight w:val="21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Marketplace revenue</w:t>
            </w:r>
          </w:p>
        </w:tc>
        <w:tc>
          <w:tcPr>
            <w:tcW w:w="9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Logistics revenue</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4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4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4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FF0FC"/>
            </w:tcBorders>
          </w:tcPr>
          <w:p>
            <w:pPr>
              <w:spacing w:after="0"/>
              <w:rPr>
                <w:sz w:val="18"/>
                <w:szCs w:val="18"/>
                <w:color w:val="auto"/>
              </w:rPr>
            </w:pPr>
          </w:p>
        </w:tc>
      </w:tr>
      <w:tr>
        <w:trPr>
          <w:trHeight w:val="21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420" w:type="dxa"/>
            <w:vAlign w:val="bottom"/>
            <w:gridSpan w:val="2"/>
            <w:shd w:val="clear" w:color="auto" w:fill="CFF0FC"/>
          </w:tcPr>
          <w:p>
            <w:pPr>
              <w:jc w:val="right"/>
              <w:ind w:right="9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FF0FC"/>
          </w:tcPr>
          <w:p>
            <w:pPr>
              <w:spacing w:after="0"/>
              <w:rPr>
                <w:sz w:val="18"/>
                <w:szCs w:val="18"/>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Refer to Note 11 – Geographical Information for the disaggregated revenue by geographical location.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FINANCIAL INSTRUMENTS AND FAIR VALUE MEASUREMENT</w:t>
      </w:r>
    </w:p>
    <w:p>
      <w:pPr>
        <w:spacing w:after="0" w:line="180"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Company’s financial instruments consist of cash equivalents, marketable securities, funds receivable, derivative instruments, accounts payable, accrued liabilities and merchants payable. Cash equivalents’ carrying value approximates fair value at the balance sheet dates, due to the short period of time to maturity. Marketable securities and derivative instruments are recognized at fair value. Funds receivable, accounts payable, accrued liabilities and merchants payable carrying values approximate fair value due to the short time to the expected receipt or payment date.</w:t>
      </w:r>
    </w:p>
    <w:p>
      <w:pPr>
        <w:spacing w:after="0" w:line="148"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Assets and liabilities recognized at fair value on a recurring basis in the condensed consolidated balance sheets consisting of cash equivalents, marketable securities and derivative instruments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ind w:right="20"/>
        <w:spacing w:after="0" w:line="246" w:lineRule="auto"/>
        <w:rPr>
          <w:sz w:val="20"/>
          <w:szCs w:val="20"/>
          <w:color w:val="auto"/>
        </w:rPr>
      </w:pPr>
      <w:r>
        <w:rPr>
          <w:rFonts w:ascii="Arial" w:cs="Arial" w:eastAsia="Arial" w:hAnsi="Arial"/>
          <w:sz w:val="18"/>
          <w:szCs w:val="18"/>
          <w:color w:val="auto"/>
        </w:rPr>
        <w:t>measurement date. The fair value hierarchy contains three levels of inputs that may be used to measure fair value, in accordance with ASC 820, as follows:</w:t>
      </w:r>
    </w:p>
    <w:p>
      <w:pPr>
        <w:spacing w:after="0" w:line="143" w:lineRule="exact"/>
        <w:rPr>
          <w:sz w:val="20"/>
          <w:szCs w:val="20"/>
          <w:color w:val="auto"/>
        </w:rPr>
      </w:pPr>
    </w:p>
    <w:p>
      <w:pPr>
        <w:ind w:left="1400" w:hanging="748"/>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inputs, which include quoted prices in active markets for identical assets or liabilities;</w:t>
      </w:r>
    </w:p>
    <w:p>
      <w:pPr>
        <w:spacing w:after="0" w:line="157" w:lineRule="exact"/>
        <w:rPr>
          <w:rFonts w:ascii="Arial" w:cs="Arial" w:eastAsia="Arial" w:hAnsi="Arial"/>
          <w:sz w:val="18"/>
          <w:szCs w:val="18"/>
          <w:color w:val="auto"/>
        </w:rPr>
      </w:pPr>
    </w:p>
    <w:p>
      <w:pPr>
        <w:jc w:val="both"/>
        <w:ind w:firstLine="652"/>
        <w:spacing w:after="0" w:line="237" w:lineRule="auto"/>
        <w:tabs>
          <w:tab w:leader="none" w:pos="1427"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inputs, which include observable inputs other than Level 1 inputs, such as quoted prices for similar assets or liabilities, quoted prices for identical or similar assets or liabilities in markets that are not active, or other inputs that are observable or can be corroborated by observable market data for substantially the full term of the asset or liability. When sufficient quoted pricing for identical securities is not available, the Company uses market pricing and other observable market inputs for similar securities obtained from various third-party data providers. These inputs either represent quoted prices for similar assets in active markets or have been derived from observable market data; and</w:t>
      </w:r>
    </w:p>
    <w:p>
      <w:pPr>
        <w:spacing w:after="0" w:line="150" w:lineRule="exact"/>
        <w:rPr>
          <w:rFonts w:ascii="Arial" w:cs="Arial" w:eastAsia="Arial" w:hAnsi="Arial"/>
          <w:sz w:val="18"/>
          <w:szCs w:val="18"/>
          <w:color w:val="auto"/>
        </w:rPr>
      </w:pPr>
    </w:p>
    <w:p>
      <w:pPr>
        <w:jc w:val="both"/>
        <w:ind w:firstLine="652"/>
        <w:spacing w:after="0" w:line="238" w:lineRule="auto"/>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inputs, which include unobservable inputs that are supported by little or no market activity and that are significant to the fair value of the underlying asset or liability. Level 3 assets and liabilities include those whose fair value measurements are determined using pricing models, discounted cash flow methodologies, or similar valuation techniques, as well as significant management judgment or estimation.</w:t>
      </w:r>
    </w:p>
    <w:p>
      <w:pPr>
        <w:spacing w:after="0" w:line="151"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The Company reviews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nine months ended September 30, 2021 or 2020.</w:t>
      </w:r>
    </w:p>
    <w:p>
      <w:pPr>
        <w:spacing w:after="0" w:line="148" w:lineRule="exact"/>
        <w:rPr>
          <w:sz w:val="20"/>
          <w:szCs w:val="20"/>
          <w:color w:val="auto"/>
        </w:rPr>
      </w:pPr>
    </w:p>
    <w:p>
      <w:pPr>
        <w:jc w:val="both"/>
        <w:ind w:firstLine="637"/>
        <w:spacing w:after="0" w:line="243" w:lineRule="auto"/>
        <w:rPr>
          <w:sz w:val="20"/>
          <w:szCs w:val="20"/>
          <w:color w:val="auto"/>
        </w:rPr>
      </w:pPr>
      <w:r>
        <w:rPr>
          <w:rFonts w:ascii="Arial" w:cs="Arial" w:eastAsia="Arial" w:hAnsi="Arial"/>
          <w:sz w:val="18"/>
          <w:szCs w:val="18"/>
          <w:color w:val="auto"/>
        </w:rPr>
        <w:t>Financial assets and liabilities subject to fair value measurements on a recurring basis and the level of inputs used in such measurements are as follows:</w:t>
      </w: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September 30, 2021</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tcPr>
          <w:p>
            <w:pPr>
              <w:jc w:val="right"/>
              <w:ind w:right="79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7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Cash equivalents:</w:t>
            </w:r>
          </w:p>
        </w:tc>
        <w:tc>
          <w:tcPr>
            <w:tcW w:w="1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252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7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bills</w:t>
            </w:r>
          </w:p>
        </w:tc>
        <w:tc>
          <w:tcPr>
            <w:tcW w:w="252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7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Non-U.S. government</w:t>
            </w:r>
          </w:p>
        </w:tc>
        <w:tc>
          <w:tcPr>
            <w:tcW w:w="172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260"/>
              <w:spacing w:after="0"/>
              <w:rPr>
                <w:sz w:val="20"/>
                <w:szCs w:val="20"/>
                <w:color w:val="auto"/>
              </w:rPr>
            </w:pPr>
            <w:r>
              <w:rPr>
                <w:rFonts w:ascii="Arial" w:cs="Arial" w:eastAsia="Arial" w:hAnsi="Arial"/>
                <w:sz w:val="18"/>
                <w:szCs w:val="18"/>
                <w:color w:val="auto"/>
              </w:rPr>
              <w:t>Total marketable securities</w:t>
            </w:r>
          </w:p>
        </w:tc>
        <w:tc>
          <w:tcPr>
            <w:tcW w:w="25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150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and other current assets:</w:t>
            </w:r>
          </w:p>
        </w:tc>
        <w:tc>
          <w:tcPr>
            <w:tcW w:w="17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60"/>
              <w:spacing w:after="0"/>
              <w:rPr>
                <w:sz w:val="20"/>
                <w:szCs w:val="20"/>
                <w:color w:val="auto"/>
              </w:rPr>
            </w:pPr>
            <w:r>
              <w:rPr>
                <w:rFonts w:ascii="Arial" w:cs="Arial" w:eastAsia="Arial" w:hAnsi="Arial"/>
                <w:sz w:val="18"/>
                <w:szCs w:val="18"/>
                <w:color w:val="auto"/>
              </w:rPr>
              <w:t>Derivative assets</w:t>
            </w:r>
          </w:p>
        </w:tc>
        <w:tc>
          <w:tcPr>
            <w:tcW w:w="25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financial assets</w:t>
            </w:r>
          </w:p>
        </w:tc>
        <w:tc>
          <w:tcPr>
            <w:tcW w:w="252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220</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17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17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60"/>
              <w:spacing w:after="0"/>
              <w:rPr>
                <w:sz w:val="20"/>
                <w:szCs w:val="20"/>
                <w:color w:val="auto"/>
              </w:rPr>
            </w:pPr>
            <w:r>
              <w:rPr>
                <w:rFonts w:ascii="Arial" w:cs="Arial" w:eastAsia="Arial" w:hAnsi="Arial"/>
                <w:sz w:val="18"/>
                <w:szCs w:val="18"/>
                <w:color w:val="auto"/>
              </w:rPr>
              <w:t>Derivative liabilities</w:t>
            </w:r>
          </w:p>
        </w:tc>
        <w:tc>
          <w:tcPr>
            <w:tcW w:w="25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financial liabilities</w:t>
            </w:r>
          </w:p>
        </w:tc>
        <w:tc>
          <w:tcPr>
            <w:tcW w:w="252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10</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1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0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5"/>
        </w:trPr>
        <w:tc>
          <w:tcPr>
            <w:tcW w:w="58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b w:val="1"/>
                <w:bCs w:val="1"/>
                <w:color w:val="auto"/>
                <w:w w:val="99"/>
              </w:rPr>
              <w:t>December 31, 2020</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8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10"/>
        </w:trPr>
        <w:tc>
          <w:tcPr>
            <w:tcW w:w="5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equivalents: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U.S. Treasury bills</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8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500"/>
              <w:spacing w:after="0"/>
              <w:rPr>
                <w:sz w:val="20"/>
                <w:szCs w:val="20"/>
                <w:color w:val="auto"/>
              </w:rPr>
            </w:pPr>
            <w:r>
              <w:rPr>
                <w:rFonts w:ascii="Arial" w:cs="Arial" w:eastAsia="Arial" w:hAnsi="Arial"/>
                <w:sz w:val="18"/>
                <w:szCs w:val="18"/>
                <w:color w:val="auto"/>
              </w:rPr>
              <w:t>Total cash equivalents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8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U.S. Treasury bills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Corporate bonds</w:t>
            </w: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8"/>
                <w:szCs w:val="18"/>
                <w:color w:val="auto"/>
              </w:rPr>
            </w:pPr>
          </w:p>
        </w:tc>
      </w:tr>
      <w:tr>
        <w:trPr>
          <w:trHeight w:val="20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marketable securities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Prepaid and other current assets:</w:t>
            </w: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 assets</w:t>
            </w: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49"/>
        </w:trPr>
        <w:tc>
          <w:tcPr>
            <w:tcW w:w="5820" w:type="dxa"/>
            <w:vAlign w:val="bottom"/>
          </w:tcPr>
          <w:p>
            <w:pPr>
              <w:ind w:left="260"/>
              <w:spacing w:after="0"/>
              <w:rPr>
                <w:sz w:val="20"/>
                <w:szCs w:val="20"/>
                <w:color w:val="auto"/>
              </w:rPr>
            </w:pPr>
            <w:r>
              <w:rPr>
                <w:rFonts w:ascii="Arial" w:cs="Arial" w:eastAsia="Arial" w:hAnsi="Arial"/>
                <w:sz w:val="18"/>
                <w:szCs w:val="18"/>
                <w:color w:val="auto"/>
              </w:rPr>
              <w:t>Total financial assets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245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197"/>
        </w:trPr>
        <w:tc>
          <w:tcPr>
            <w:tcW w:w="58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8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Accrued liabilities: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 liabilities</w:t>
            </w: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0"/>
        </w:trPr>
        <w:tc>
          <w:tcPr>
            <w:tcW w:w="5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Company classifies cash equivalents and marketable securities within Level 1 or Level 2 because the Company uses quoted market prices or alternative pricing sources and models utilizing market observable inputs to determine their fair value. The derivative asset and liability related to the Company’s foreign currency derivative contracts are classified within Level 2 of the fair value hierarchy as the valuation inputs are based on quoted prices and market observable data of similar instruments in active markets, including currency spot and forward rates.</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contractual maturities of the Company’s marketable securities: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5"/>
          </w:tcPr>
          <w:p>
            <w:pPr>
              <w:ind w:left="5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2540" w:type="dxa"/>
            <w:vAlign w:val="bottom"/>
            <w:gridSpan w:val="5"/>
          </w:tcPr>
          <w:p>
            <w:pPr>
              <w:ind w:left="58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5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0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0"/>
              <w:spacing w:after="0" w:line="187"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73"/>
              <w:spacing w:after="0" w:line="187" w:lineRule="exact"/>
              <w:rPr>
                <w:sz w:val="20"/>
                <w:szCs w:val="20"/>
                <w:color w:val="auto"/>
              </w:rPr>
            </w:pPr>
            <w:r>
              <w:rPr>
                <w:rFonts w:ascii="Arial" w:cs="Arial" w:eastAsia="Arial" w:hAnsi="Arial"/>
                <w:sz w:val="18"/>
                <w:szCs w:val="18"/>
                <w:b w:val="1"/>
                <w:bCs w:val="1"/>
                <w:color w:val="auto"/>
                <w:w w:val="99"/>
              </w:rPr>
              <w:t>Estimated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50"/>
              <w:spacing w:after="0" w:line="187"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70"/>
              <w:spacing w:after="0" w:line="187" w:lineRule="exact"/>
              <w:rPr>
                <w:sz w:val="20"/>
                <w:szCs w:val="20"/>
                <w:color w:val="auto"/>
              </w:rPr>
            </w:pPr>
            <w:r>
              <w:rPr>
                <w:rFonts w:ascii="Arial" w:cs="Arial" w:eastAsia="Arial" w:hAnsi="Arial"/>
                <w:sz w:val="18"/>
                <w:szCs w:val="18"/>
                <w:b w:val="1"/>
                <w:bCs w:val="1"/>
                <w:color w:val="auto"/>
                <w:w w:val="99"/>
              </w:rPr>
              <w:t>Estimated</w:t>
            </w:r>
          </w:p>
        </w:tc>
        <w:tc>
          <w:tcPr>
            <w:tcW w:w="100" w:type="dxa"/>
            <w:vAlign w:val="bottom"/>
          </w:tcPr>
          <w:p>
            <w:pPr>
              <w:spacing w:after="0"/>
              <w:rPr>
                <w:sz w:val="16"/>
                <w:szCs w:val="16"/>
                <w:color w:val="auto"/>
              </w:rPr>
            </w:pPr>
          </w:p>
        </w:tc>
      </w:tr>
      <w:tr>
        <w:trPr>
          <w:trHeight w:val="225"/>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Fair Value</w:t>
            </w:r>
          </w:p>
        </w:tc>
      </w:tr>
      <w:tr>
        <w:trPr>
          <w:trHeight w:val="210"/>
        </w:trPr>
        <w:tc>
          <w:tcPr>
            <w:tcW w:w="5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4"/>
          </w:tcPr>
          <w:p>
            <w:pPr>
              <w:jc w:val="right"/>
              <w:ind w:right="79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8"/>
                <w:szCs w:val="18"/>
                <w:color w:val="auto"/>
              </w:rPr>
            </w:pPr>
          </w:p>
        </w:tc>
      </w:tr>
      <w:tr>
        <w:trPr>
          <w:trHeight w:val="20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marketable securities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18"/>
                <w:szCs w:val="18"/>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All of the Company’s available-for-sale marketable securities are subject to a periodic evaluation for a credit loss allowance and impairment review. The Company did not identify any of its available-for-sale marketable securities requiring an allowance for credit loss or as other-than-temporarily impaired in any of the periods presented. Additionally, the unrealized net gain and net loss on available-for-sale marketable securities as of September 30, 2021 and December 31, 2020 were immaterial.</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9"/>
        </w:trPr>
        <w:tc>
          <w:tcPr>
            <w:tcW w:w="7700" w:type="dxa"/>
            <w:vAlign w:val="bottom"/>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00" w:type="dxa"/>
            <w:vAlign w:val="bottom"/>
          </w:tcPr>
          <w:p>
            <w:pPr>
              <w:spacing w:after="0"/>
              <w:rPr>
                <w:sz w:val="20"/>
                <w:szCs w:val="20"/>
                <w:color w:val="auto"/>
              </w:rPr>
            </w:pPr>
            <w:r>
              <w:rPr>
                <w:rFonts w:ascii="Arial" w:cs="Arial" w:eastAsia="Arial" w:hAnsi="Arial"/>
                <w:sz w:val="18"/>
                <w:szCs w:val="18"/>
                <w:i w:val="1"/>
                <w:iCs w:val="1"/>
                <w:color w:val="auto"/>
              </w:rPr>
              <w:t>Accrued Liabilities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00" w:type="dxa"/>
            <w:vAlign w:val="bottom"/>
          </w:tcPr>
          <w:p>
            <w:pPr>
              <w:ind w:left="640"/>
              <w:spacing w:after="0"/>
              <w:rPr>
                <w:sz w:val="20"/>
                <w:szCs w:val="20"/>
                <w:color w:val="auto"/>
              </w:rPr>
            </w:pPr>
            <w:r>
              <w:rPr>
                <w:rFonts w:ascii="Arial" w:cs="Arial" w:eastAsia="Arial" w:hAnsi="Arial"/>
                <w:sz w:val="18"/>
                <w:szCs w:val="18"/>
                <w:color w:val="auto"/>
              </w:rPr>
              <w:t>Accrued liabilities consist of the following:</w:t>
            </w:r>
          </w:p>
        </w:tc>
        <w:tc>
          <w:tcPr>
            <w:tcW w:w="140" w:type="dxa"/>
            <w:vAlign w:val="bottom"/>
          </w:tcPr>
          <w:p>
            <w:pPr>
              <w:spacing w:after="0"/>
              <w:rPr>
                <w:sz w:val="23"/>
                <w:szCs w:val="23"/>
                <w:color w:val="auto"/>
              </w:rPr>
            </w:pPr>
          </w:p>
        </w:tc>
        <w:tc>
          <w:tcPr>
            <w:tcW w:w="1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3"/>
                <w:szCs w:val="23"/>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7"/>
        </w:trPr>
        <w:tc>
          <w:tcPr>
            <w:tcW w:w="7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5"/>
          </w:tcPr>
          <w:p>
            <w:pPr>
              <w:ind w:left="11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Vendor services</w:t>
            </w:r>
            <w:r>
              <w:rPr>
                <w:rFonts w:ascii="Arial" w:cs="Arial" w:eastAsia="Arial" w:hAnsi="Arial"/>
                <w:sz w:val="15"/>
                <w:szCs w:val="15"/>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Deferred revenue</w:t>
            </w:r>
            <w:r>
              <w:rPr>
                <w:rFonts w:ascii="Arial" w:cs="Arial" w:eastAsia="Arial" w:hAnsi="Arial"/>
                <w:sz w:val="15"/>
                <w:szCs w:val="15"/>
                <w:color w:val="auto"/>
              </w:rPr>
              <w:t>(2)</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Wish Cash liability</w:t>
            </w:r>
            <w:r>
              <w:rPr>
                <w:rFonts w:ascii="Arial" w:cs="Arial" w:eastAsia="Arial" w:hAnsi="Arial"/>
                <w:sz w:val="15"/>
                <w:szCs w:val="15"/>
                <w:color w:val="auto"/>
              </w:rPr>
              <w:t>(3)</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Sales and indirect taxes payable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8"/>
                <w:szCs w:val="18"/>
                <w:color w:val="auto"/>
              </w:rPr>
              <w:t>Total accrued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left="1120" w:hanging="370"/>
        <w:spacing w:after="0" w:line="246"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Vendor services decreased by $77 million or 64% primarily due to the Company’s decision to significantly reduce digital advertising expenditures as well as lower logistics related costs arising from lower shipping volumes during the third quarter of 2021 compared to the fourth quarter of 2020.</w:t>
      </w:r>
    </w:p>
    <w:p>
      <w:pPr>
        <w:spacing w:after="0" w:line="1" w:lineRule="exact"/>
        <w:rPr>
          <w:rFonts w:ascii="Arial" w:cs="Arial" w:eastAsia="Arial" w:hAnsi="Arial"/>
          <w:sz w:val="16"/>
          <w:szCs w:val="16"/>
          <w:color w:val="auto"/>
        </w:rPr>
      </w:pPr>
    </w:p>
    <w:p>
      <w:pPr>
        <w:ind w:left="1120" w:hanging="370"/>
        <w:spacing w:after="0" w:line="246"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Deferred revenue decreased by $24 million or 65% primarily due to lower logistics volumes during the third quarter of 2021 compared to the fourth quarter of 2020.</w:t>
      </w:r>
    </w:p>
    <w:p>
      <w:pPr>
        <w:jc w:val="both"/>
        <w:ind w:left="1120" w:hanging="370"/>
        <w:spacing w:after="0" w:line="249"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While the Company will continue to honor all Wish Cash presented for payment, it may determine the likelihood of redemption to be remote for certain Wish Cash liability balances due to, among other things, long periods of inactivity. In these circumstances, to the extent the Company determines there is no requirement for remitting Wish Cash balances to government agencies under unclaimed property laws, the portion of Wish Cash liability balances not expected to be redeemed are recognized in Core marketplace revenue. The Company recognized approximately $5 million and $26 million of Wish Cash liability breakage in Core marketplace revenue during the three and nine months ended September 30, 2021,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180"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 Company conducts business in certain foreign currencies throughout its worldwide operations, and various entities hold monetary assets or liabilities, earn revenues, or incur costs in currencies other than the entity’s functional currency. As a result, the Company is exposed to foreign exchange gains or losses which impact the Company’s operating results. The Company bills its users in their local currencies, primarily in U.S. dollars and Euros, and the Company makes payments to merchants for products sold on the Company’s platforms in various currencies through third party payment service providers, which creates exposure to currency rate fluctuations. The Company hedges these exposures to reduce the risk that its earnings and cash flows will be adversely affected by changes in exchange rates. As part of the Company’s foreign currency risk mitigation strategy, the Company enters into foreign exchange derivative contracts with up to twelve months in duration to hedge exposures for variability in U.S.-dollar equivalent of non-U.S.-dollar denominated cash flows associated with its forecasted revenue related transactions.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derivatives transactions are not collateralized and do not include collateralization agreements with counterparties.</w:t>
      </w:r>
    </w:p>
    <w:p>
      <w:pPr>
        <w:spacing w:after="0"/>
        <w:rPr>
          <w:sz w:val="20"/>
          <w:szCs w:val="20"/>
          <w:color w:val="auto"/>
        </w:rPr>
      </w:pPr>
      <w:r>
        <w:rPr>
          <w:rFonts w:ascii="Arial" w:cs="Arial" w:eastAsia="Arial" w:hAnsi="Arial"/>
          <w:sz w:val="18"/>
          <w:szCs w:val="18"/>
          <w:color w:val="auto"/>
        </w:rPr>
        <w:t>The Company does not use derivative financial instruments for speculative or trading purposes.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 of Derivative Activity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gross notional amounts for outstanding derivatives (recognized at fair value) as of the end of period consist of the following:</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ind w:left="2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37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5"/>
          </w:tcPr>
          <w:p>
            <w:pPr>
              <w:ind w:left="1100"/>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Cash flow hedges</w:t>
            </w:r>
          </w:p>
        </w:tc>
        <w:tc>
          <w:tcPr>
            <w:tcW w:w="4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ind w:left="1120"/>
              <w:spacing w:after="0"/>
              <w:rPr>
                <w:sz w:val="20"/>
                <w:szCs w:val="20"/>
                <w:color w:val="auto"/>
              </w:rPr>
            </w:pPr>
            <w:r>
              <w:rPr>
                <w:rFonts w:ascii="Arial" w:cs="Arial" w:eastAsia="Arial" w:hAnsi="Arial"/>
                <w:sz w:val="18"/>
                <w:szCs w:val="18"/>
                <w:color w:val="auto"/>
                <w:w w:val="93"/>
              </w:rPr>
              <w:t>200</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Non-designated hedges</w:t>
            </w:r>
          </w:p>
        </w:tc>
        <w:tc>
          <w:tcPr>
            <w:tcW w:w="39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93"/>
              </w:rPr>
              <w:t>240</w:t>
            </w: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ind w:left="1120"/>
              <w:spacing w:after="0"/>
              <w:rPr>
                <w:sz w:val="20"/>
                <w:szCs w:val="20"/>
                <w:color w:val="auto"/>
              </w:rPr>
            </w:pPr>
            <w:r>
              <w:rPr>
                <w:rFonts w:ascii="Arial" w:cs="Arial" w:eastAsia="Arial" w:hAnsi="Arial"/>
                <w:sz w:val="18"/>
                <w:szCs w:val="18"/>
                <w:color w:val="auto"/>
                <w:w w:val="93"/>
              </w:rPr>
              <w:t>440</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tcPr>
          <w:p>
            <w:pPr>
              <w:spacing w:after="0" w:line="20" w:lineRule="exact"/>
              <w:rPr>
                <w:sz w:val="1"/>
                <w:szCs w:val="1"/>
                <w:color w:val="auto"/>
              </w:rPr>
            </w:pPr>
          </w:p>
        </w:tc>
        <w:tc>
          <w:tcPr>
            <w:tcW w:w="3980" w:type="dxa"/>
            <w:vAlign w:val="bottom"/>
            <w:tcBorders>
              <w:top w:val="single" w:sz="8" w:color="CFF0FC"/>
              <w:bottom w:val="single" w:sz="8" w:color="CFF0FC"/>
            </w:tcBorders>
            <w:vMerge w:val="restart"/>
          </w:tcPr>
          <w:p>
            <w:pPr>
              <w:jc w:val="right"/>
              <w:ind w:right="189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7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5"/>
        </w:trPr>
        <w:tc>
          <w:tcPr>
            <w:tcW w:w="5000" w:type="dxa"/>
            <w:vAlign w:val="bottom"/>
          </w:tcPr>
          <w:p>
            <w:pPr>
              <w:spacing w:after="0"/>
              <w:rPr>
                <w:sz w:val="20"/>
                <w:szCs w:val="20"/>
                <w:color w:val="auto"/>
              </w:rPr>
            </w:pPr>
            <w:r>
              <w:rPr>
                <w:rFonts w:ascii="Arial" w:cs="Arial" w:eastAsia="Arial" w:hAnsi="Arial"/>
                <w:sz w:val="18"/>
                <w:szCs w:val="18"/>
                <w:i w:val="1"/>
                <w:iCs w:val="1"/>
                <w:color w:val="auto"/>
              </w:rPr>
              <w:t>Fair Value of Derivative Financial Instruments</w:t>
            </w:r>
          </w:p>
        </w:tc>
        <w:tc>
          <w:tcPr>
            <w:tcW w:w="1060" w:type="dxa"/>
            <w:vAlign w:val="bottom"/>
          </w:tcPr>
          <w:p>
            <w:pPr>
              <w:spacing w:after="0"/>
              <w:rPr>
                <w:sz w:val="20"/>
                <w:szCs w:val="20"/>
                <w:color w:val="auto"/>
              </w:rPr>
            </w:pPr>
          </w:p>
        </w:tc>
        <w:tc>
          <w:tcPr>
            <w:tcW w:w="208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rPr>
              <w:t>September 30, 2021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3"/>
            <w:vMerge w:val="restart"/>
          </w:tcPr>
          <w:p>
            <w:pPr>
              <w:ind w:left="280"/>
              <w:spacing w:after="0"/>
              <w:rPr>
                <w:sz w:val="20"/>
                <w:szCs w:val="20"/>
                <w:color w:val="auto"/>
              </w:rPr>
            </w:pPr>
            <w:r>
              <w:rPr>
                <w:rFonts w:ascii="Arial" w:cs="Arial" w:eastAsia="Arial" w:hAnsi="Arial"/>
                <w:sz w:val="18"/>
                <w:szCs w:val="18"/>
                <w:b w:val="1"/>
                <w:bCs w:val="1"/>
                <w:color w:val="auto"/>
              </w:rPr>
              <w:t>December 31, 2020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80" w:type="dxa"/>
            <w:vAlign w:val="bottom"/>
            <w:tcBorders>
              <w:bottom w:val="single" w:sz="8" w:color="auto"/>
            </w:tcBorders>
            <w:gridSpan w:val="4"/>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5"/>
                <w:szCs w:val="15"/>
                <w:b w:val="1"/>
                <w:bCs w:val="1"/>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w:t>
            </w:r>
            <w:r>
              <w:rPr>
                <w:rFonts w:ascii="Arial" w:cs="Arial" w:eastAsia="Arial" w:hAnsi="Arial"/>
                <w:sz w:val="15"/>
                <w:szCs w:val="15"/>
                <w:b w:val="1"/>
                <w:bCs w:val="1"/>
                <w:color w:val="auto"/>
              </w:rPr>
              <w:t>(2)</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5"/>
                <w:szCs w:val="15"/>
                <w:b w:val="1"/>
                <w:bCs w:val="1"/>
                <w:color w:val="auto"/>
              </w:rPr>
              <w:t>(1)</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Derivative designated as hedging instruments</w:t>
            </w:r>
          </w:p>
        </w:tc>
        <w:tc>
          <w:tcPr>
            <w:tcW w:w="10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60"/>
              <w:spacing w:after="0"/>
              <w:rPr>
                <w:sz w:val="20"/>
                <w:szCs w:val="20"/>
                <w:color w:val="auto"/>
              </w:rPr>
            </w:pPr>
            <w:r>
              <w:rPr>
                <w:rFonts w:ascii="Arial" w:cs="Arial" w:eastAsia="Arial" w:hAnsi="Arial"/>
                <w:sz w:val="18"/>
                <w:szCs w:val="18"/>
                <w:color w:val="auto"/>
              </w:rPr>
              <w:t>Cash flow hedges</w:t>
            </w:r>
          </w:p>
        </w:tc>
        <w:tc>
          <w:tcPr>
            <w:tcW w:w="198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 not designated as hedging instruments</w:t>
            </w:r>
          </w:p>
        </w:tc>
        <w:tc>
          <w:tcPr>
            <w:tcW w:w="10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60"/>
              <w:spacing w:after="0"/>
              <w:rPr>
                <w:sz w:val="20"/>
                <w:szCs w:val="20"/>
                <w:color w:val="auto"/>
              </w:rPr>
            </w:pPr>
            <w:r>
              <w:rPr>
                <w:rFonts w:ascii="Arial" w:cs="Arial" w:eastAsia="Arial" w:hAnsi="Arial"/>
                <w:sz w:val="18"/>
                <w:szCs w:val="18"/>
                <w:color w:val="auto"/>
              </w:rPr>
              <w:t>Foreign currency forward contracts</w:t>
            </w:r>
          </w:p>
        </w:tc>
        <w:tc>
          <w:tcPr>
            <w:tcW w:w="106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Total derivatives</w:t>
            </w:r>
          </w:p>
        </w:tc>
        <w:tc>
          <w:tcPr>
            <w:tcW w:w="10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6</w:t>
            </w:r>
          </w:p>
        </w:tc>
        <w:tc>
          <w:tcPr>
            <w:tcW w:w="1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1120" w:hanging="370"/>
        <w:spacing w:after="0"/>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Derivative assets are included in prepaid and other current assets in the condensed consolidated balance sheets.</w:t>
      </w:r>
    </w:p>
    <w:p>
      <w:pPr>
        <w:spacing w:after="0" w:line="72" w:lineRule="exact"/>
        <w:rPr>
          <w:rFonts w:ascii="Arial" w:cs="Arial" w:eastAsia="Arial" w:hAnsi="Arial"/>
          <w:sz w:val="16"/>
          <w:szCs w:val="16"/>
          <w:color w:val="auto"/>
        </w:rPr>
      </w:pPr>
    </w:p>
    <w:p>
      <w:pPr>
        <w:ind w:left="1120" w:hanging="370"/>
        <w:spacing w:after="0"/>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Derivative liabilities are included in accrued liabilities in the condensed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in Cash Flow Hedging Relationships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262626"/>
        </w:rPr>
        <w:t>The changes in accumulated other comprehensive income resulting from cash flow hedging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09"/>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gridSpan w:val="5"/>
          </w:tcPr>
          <w:p>
            <w:pPr>
              <w:jc w:val="right"/>
              <w:ind w:right="1480"/>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tcPr>
          <w:p>
            <w:pPr>
              <w:ind w:left="26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r>
      <w:tr>
        <w:trPr>
          <w:trHeight w:val="215"/>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recognized in Core marketplace revenue and reclassified out of</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6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(7)</w:t>
            </w:r>
          </w:p>
        </w:tc>
      </w:tr>
      <w:tr>
        <w:trPr>
          <w:trHeight w:val="209"/>
        </w:trPr>
        <w:tc>
          <w:tcPr>
            <w:tcW w:w="7620" w:type="dxa"/>
            <w:vAlign w:val="bottom"/>
          </w:tcPr>
          <w:p>
            <w:pPr>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262626"/>
        </w:rPr>
        <w:t>The Company recognizes changes in fair value of the cash flow hedges of foreign currency denominated merchants payable in accumulated other comprehensive loss in its condensed consolidated balance sheets until the forecasted transaction occurs. When the forecasted transaction affects earnings, the Company reclassifies the related gain or loss on the cash flow hedge to Core marketplace revenue. All amounts in other comprehensive income at period end are expected to be reclassified to earnings within 12 months. In the event the underlying forecasted transaction does not occur, or it becomes probable that it will not occur, the Company reclassifies the gain or loss on the related cash flow hedge from accumulated other comprehensive loss to Core marketplace revenue. For the three and nine months ended September 30, 2021, there were no net gains or losses recognized in Core marketplace revenue relating to hedges of forecasted transactions that did not occur. The Company did not have a hedging program during the three and nine months ended September 30, 2020.</w:t>
      </w:r>
    </w:p>
    <w:p>
      <w:pPr>
        <w:spacing w:after="0" w:line="329"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The Company classifies cash flows related to its cash flow hedges as operating activities in its condensed consolidated statements of cash flows.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262626"/>
        </w:rPr>
        <w:t>Derivatives Not Designated as Hedging Instruments</w:t>
      </w:r>
    </w:p>
    <w:p>
      <w:pPr>
        <w:spacing w:after="0" w:line="176"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net gains on the change in fair value of the Company’s foreign exchange forward contracts not designated as hedging instruments recognized in other income (expense), net in the condensed consolidated statements of operations were approximately $2 million and $13 million for the three and nine months ended September 30, 2021, respectively, and were approximately $1 million for each of the three and nine months ended September 30, 2020.</w:t>
      </w:r>
    </w:p>
    <w:p>
      <w:pPr>
        <w:spacing w:after="0" w:line="151" w:lineRule="exact"/>
        <w:rPr>
          <w:sz w:val="20"/>
          <w:szCs w:val="20"/>
          <w:color w:val="auto"/>
        </w:rPr>
      </w:pPr>
    </w:p>
    <w:p>
      <w:pPr>
        <w:jc w:val="both"/>
        <w:ind w:right="20" w:firstLine="637"/>
        <w:spacing w:after="0" w:line="246" w:lineRule="auto"/>
        <w:rPr>
          <w:sz w:val="20"/>
          <w:szCs w:val="20"/>
          <w:color w:val="auto"/>
        </w:rPr>
      </w:pPr>
      <w:r>
        <w:rPr>
          <w:rFonts w:ascii="Arial" w:cs="Arial" w:eastAsia="Arial" w:hAnsi="Arial"/>
          <w:sz w:val="18"/>
          <w:szCs w:val="18"/>
          <w:color w:val="auto"/>
        </w:rPr>
        <w:t>The Company classifies cash flows related to its non-designated hedging instruments as operating activities in its condensed consolidated statements of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OPERATING LEASES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its facilities and data center co-locations under operating leases with various expiration dates through 2025.</w:t>
      </w:r>
    </w:p>
    <w:p>
      <w:pPr>
        <w:spacing w:after="0" w:line="158"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Total operating lease cost was $3 million and $ 10 million for the three and nine months ended September 30, 2021, respectively, and $3 million and $9 million for the three and nine months ended September 30, 2020, respectively. Short-term lease costs, variable lease costs and sublease income were not material.</w:t>
      </w:r>
    </w:p>
    <w:p>
      <w:pPr>
        <w:spacing w:after="0" w:line="149" w:lineRule="exact"/>
        <w:rPr>
          <w:sz w:val="20"/>
          <w:szCs w:val="20"/>
          <w:color w:val="auto"/>
        </w:rPr>
      </w:pPr>
    </w:p>
    <w:p>
      <w:pPr>
        <w:jc w:val="both"/>
        <w:ind w:firstLine="644"/>
        <w:spacing w:after="0" w:line="264" w:lineRule="auto"/>
        <w:rPr>
          <w:sz w:val="20"/>
          <w:szCs w:val="20"/>
          <w:color w:val="auto"/>
        </w:rPr>
      </w:pPr>
      <w:r>
        <w:rPr>
          <w:rFonts w:ascii="Arial" w:cs="Arial" w:eastAsia="Arial" w:hAnsi="Arial"/>
          <w:sz w:val="18"/>
          <w:szCs w:val="18"/>
          <w:color w:val="auto"/>
        </w:rPr>
        <w:t>As of September 30, 2021 and December 31, 2020, the Company’s condensed consolidated balance sheets included right-of-use (ROU) assets in the amount of $ 20 million and $43 million, respectively, and lease liabilities in the amount of $8 million and $14 million in accrued liabilities and $18 million and $38 million in lease liabilities, non-current, respectively.</w:t>
      </w:r>
    </w:p>
    <w:p>
      <w:pPr>
        <w:spacing w:after="0" w:line="127"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During the three months ended September 30, 2021, the Company adopted a hoteling model when it reopened its headquarters in San Francisco, California and as a result, it terminated certain office space. The Company also terminated an office space in Los Angeles, California. As a result of these terminations, the Company derecognized the related ROU assets and lease liabilities. The Company recognized impairment and termination related charges of approximately $6 million and included it as part of general and administrative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expenses in its condensed consolidated statement of operations for the nine months ended September 30, 2021.</w:t>
      </w:r>
    </w:p>
    <w:p>
      <w:pPr>
        <w:spacing w:after="0" w:line="171"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As of September 30, 2021 and December 31, 2020, the weighted-average remaining lease term was 3.3 years and 3.9 years, respectively, and the weighted-average discount rate used to determine the net present value of the lease liabilities was 6%.</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Supplemental cash flow information for the Company’s operating leases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224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837"/>
        </w:trPr>
        <w:tc>
          <w:tcPr>
            <w:tcW w:w="7600" w:type="dxa"/>
            <w:vAlign w:val="bottom"/>
            <w:gridSpan w:val="2"/>
          </w:tcPr>
          <w:p>
            <w:pPr>
              <w:ind w:left="640"/>
              <w:spacing w:after="0"/>
              <w:rPr>
                <w:sz w:val="20"/>
                <w:szCs w:val="20"/>
                <w:color w:val="auto"/>
              </w:rPr>
            </w:pPr>
            <w:r>
              <w:rPr>
                <w:rFonts w:ascii="Arial" w:cs="Arial" w:eastAsia="Arial" w:hAnsi="Arial"/>
                <w:sz w:val="18"/>
                <w:szCs w:val="18"/>
                <w:color w:val="auto"/>
              </w:rPr>
              <w:t>The maturities of the Company’s operating lease liabilities are as follows: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3"/>
            <w:vMerge w:val="restart"/>
          </w:tcPr>
          <w:p>
            <w:pPr>
              <w:jc w:val="center"/>
              <w:ind w:right="4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7"/>
        </w:trPr>
        <w:tc>
          <w:tcPr>
            <w:tcW w:w="224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
        </w:trPr>
        <w:tc>
          <w:tcPr>
            <w:tcW w:w="2240" w:type="dxa"/>
            <w:vAlign w:val="bottom"/>
            <w:shd w:val="clear" w:color="auto" w:fill="000000"/>
          </w:tcPr>
          <w:p>
            <w:pPr>
              <w:spacing w:after="0"/>
              <w:rPr>
                <w:sz w:val="2"/>
                <w:szCs w:val="2"/>
                <w:color w:val="auto"/>
              </w:rPr>
            </w:pPr>
          </w:p>
        </w:tc>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2021 (remaining three months)</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60"/>
              <w:spacing w:after="0"/>
              <w:rPr>
                <w:sz w:val="20"/>
                <w:szCs w:val="20"/>
                <w:color w:val="auto"/>
              </w:rPr>
            </w:pPr>
            <w:r>
              <w:rPr>
                <w:rFonts w:ascii="Arial" w:cs="Arial" w:eastAsia="Arial" w:hAnsi="Arial"/>
                <w:sz w:val="18"/>
                <w:szCs w:val="18"/>
                <w:color w:val="auto"/>
              </w:rPr>
              <w:t>2022</w:t>
            </w: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2023</w:t>
            </w:r>
          </w:p>
        </w:tc>
        <w:tc>
          <w:tcPr>
            <w:tcW w:w="5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260"/>
              <w:spacing w:after="0"/>
              <w:rPr>
                <w:sz w:val="20"/>
                <w:szCs w:val="20"/>
                <w:color w:val="auto"/>
              </w:rPr>
            </w:pPr>
            <w:r>
              <w:rPr>
                <w:rFonts w:ascii="Arial" w:cs="Arial" w:eastAsia="Arial" w:hAnsi="Arial"/>
                <w:sz w:val="18"/>
                <w:szCs w:val="18"/>
                <w:color w:val="auto"/>
              </w:rPr>
              <w:t>2024</w:t>
            </w: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2025</w:t>
            </w:r>
          </w:p>
        </w:tc>
        <w:tc>
          <w:tcPr>
            <w:tcW w:w="5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gridSpan w:val="2"/>
          </w:tcPr>
          <w:p>
            <w:pPr>
              <w:ind w:left="500"/>
              <w:spacing w:after="0"/>
              <w:rPr>
                <w:sz w:val="20"/>
                <w:szCs w:val="20"/>
                <w:color w:val="auto"/>
              </w:rPr>
            </w:pPr>
            <w:r>
              <w:rPr>
                <w:rFonts w:ascii="Arial" w:cs="Arial" w:eastAsia="Arial" w:hAnsi="Arial"/>
                <w:sz w:val="18"/>
                <w:szCs w:val="18"/>
                <w:color w:val="auto"/>
              </w:rPr>
              <w:t>Total lease payments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Less: imputed interest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0" w:type="dxa"/>
            <w:vAlign w:val="bottom"/>
            <w:gridSpan w:val="2"/>
          </w:tcPr>
          <w:p>
            <w:pPr>
              <w:ind w:left="50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ind w:left="55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3"/>
        </w:trPr>
        <w:tc>
          <w:tcPr>
            <w:tcW w:w="76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40" w:type="dxa"/>
            <w:vAlign w:val="bottom"/>
            <w:tcBorders>
              <w:bottom w:val="single" w:sz="8" w:color="9A9A9A"/>
            </w:tcBorders>
          </w:tcPr>
          <w:p>
            <w:pPr>
              <w:spacing w:after="0"/>
              <w:rPr>
                <w:sz w:val="8"/>
                <w:szCs w:val="8"/>
                <w:color w:val="auto"/>
              </w:rPr>
            </w:pPr>
          </w:p>
        </w:tc>
        <w:tc>
          <w:tcPr>
            <w:tcW w:w="53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80"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In November 2020, the Company entered into a five-year $280 million senior secured revolving credit facility (the “Revolving Credit Facility”). The Revolving Credit Facility contains an accordion option which, if exercised and provided the Company is able to secure additional lender commitments and satisfy certain other conditions, would allow the Company to increase its aggregate commitments by up to $100 million. Interest on any borrowings under the Revolving Credit Facility accrues at either adjusted LIBOR plus 1.50% or at an alternative base rate plus 0.50%, at the Company’s election, and the Company is required to pay a commitment fee that accrues at 0.25% per annum on the unused portion of the aggregate commitments under the Revolving Credit Facility. The Company is required to pay a fee that accrues at 1.50% per annum on the average daily amount available to be drawn under any letters of credit outstanding under the Revolving Credit Facility.</w:t>
      </w:r>
    </w:p>
    <w:p>
      <w:pPr>
        <w:spacing w:after="0" w:line="154"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covenants that restrict the Company’s ability (and the ability of certain of the Company’s subsidiaries) to incur indebtedness, grant liens, make certain fundamental changes and asset sales, make distributions to stockholders, make investments or engage in transactions with affiliates. It also contains a minimum liquidity financial covenant of $350 million, which includes unrestricted cash and any available borrowing capacity under the Revolving Credit Facility. The obligations under the Revolving Credit Facility are secured by liens on substantially all of the Company’s domestic assets and are guaranteed by any material domestic subsidiaries, subject to customary exceptions. A standby letter of credit in the amount of approximately $10 million has been issued under the Revolving Credit Facility in conjunction with the lease of the Company’s headquarters in San Francisco, California. As of September 30, 2021, the Company had not made any borrowings under the Revolving Credit Facility and it was in compliance with the related covenants.</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93"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Effective September 1, 2019, the Company entered into an amendment to a colocation and cloud services arrangement committing the Company to make payments of $120 million for services over 3 years. As of September 30, 2021, the remaining commitment under this amended agreement was approximately $16 million and is payable within the next year.</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Contingencies and Proceedings</w:t>
      </w:r>
    </w:p>
    <w:p>
      <w:pPr>
        <w:spacing w:after="0" w:line="180"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Beginning in May 2021, four putative class action lawsuits were filed in the U.S. District Court for the Northern District of California against the Company, its directors, certain of its officers and the underwriters named in its IPO registration statement alleging violations of securities laws based on statements made in its registration statement on Form S-1 filed with the SEC in connection with its IPO and seeking monetary damages. One of these cases has since been dismissed by the plaintiff. The Company believes these lawsuits are without merit and it intends to vigorously defend them. Based on the preliminary nature of the proceedings in these cases, the outcome of these matters remains uncertain. Given that the Company is in the early stages of the litigation process, it is unable to estimate the range of potential loss, if any.</w:t>
      </w:r>
    </w:p>
    <w:p>
      <w:pPr>
        <w:spacing w:after="0" w:line="149"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In August 2021, a shareholder derivative action purportedly brought on behalf of the Company, Patel v. Szulczewski, Case No. 3:21-cv-06281-TSH, was filed in the U.S. District Court for the Northern District of California alleging that the Company’s directors and officers made or caused the Company to make false and/or misleading statements about the Company’s business operations and financial prospects in various public filings. Plaintiff asserts claims for breach of fiduciary duties, unjust enrichment, abuse of control, gross mismanagement, waste of corporate assets, violations of Section 14(a) of the Securities Exchange Act of 1934, and for contribution under Sections 10(b) and 21D of the Exchange Act and is seeking monetary damages. Given that the Company is in the early stages of the litigation process, it is unable to estimate the range of potential loss, if any, but the litigation could subject the Company to substantial costs, divert resources and the attention of management from the Company’s business, and harm the Company’s business and financial results.</w:t>
      </w:r>
    </w:p>
    <w:p>
      <w:pPr>
        <w:spacing w:after="0" w:line="154"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As of September 30, 2021 and December 31, 2020, in the opinion of management, there were no other legal contingency matters that arose in the ordinary course of business, either individually or in aggregate, that would have a material adverse effect on the financial position, results of operations, or cash flows of the Company.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8. EQUITY AWARD ACTIVITY AND STOCK-BASED COMPENSATION</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Award Activity</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activity under the equity plans and related information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Options Outstanding</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RSUs Outstanding</w:t>
            </w:r>
          </w:p>
        </w:tc>
      </w:tr>
      <w:tr>
        <w:trPr>
          <w:trHeight w:val="178"/>
        </w:trPr>
        <w:tc>
          <w:tcPr>
            <w:tcW w:w="448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4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Average</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Weighted-</w:t>
            </w: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Remaining</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Average</w:t>
            </w: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Contractual</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480" w:type="dxa"/>
            <w:vAlign w:val="bottom"/>
          </w:tcPr>
          <w:p>
            <w:pPr>
              <w:spacing w:after="0"/>
              <w:rPr>
                <w:sz w:val="16"/>
                <w:szCs w:val="16"/>
                <w:color w:val="auto"/>
              </w:rPr>
            </w:pPr>
          </w:p>
        </w:tc>
        <w:tc>
          <w:tcPr>
            <w:tcW w:w="1180" w:type="dxa"/>
            <w:vAlign w:val="bottom"/>
          </w:tcPr>
          <w:p>
            <w:pPr>
              <w:jc w:val="center"/>
              <w:ind w:left="222"/>
              <w:spacing w:after="0"/>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Exercise</w:t>
            </w: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Term (In</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Number of</w:t>
            </w:r>
          </w:p>
        </w:tc>
      </w:tr>
      <w:tr>
        <w:trPr>
          <w:trHeight w:val="207"/>
        </w:trPr>
        <w:tc>
          <w:tcPr>
            <w:tcW w:w="4480" w:type="dxa"/>
            <w:vAlign w:val="bottom"/>
          </w:tcPr>
          <w:p>
            <w:pPr>
              <w:spacing w:after="0"/>
              <w:rPr>
                <w:sz w:val="18"/>
                <w:szCs w:val="18"/>
                <w:color w:val="auto"/>
              </w:rPr>
            </w:pPr>
          </w:p>
        </w:tc>
        <w:tc>
          <w:tcPr>
            <w:tcW w:w="118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b w:val="1"/>
                <w:bCs w:val="1"/>
                <w:color w:val="auto"/>
                <w:w w:val="99"/>
              </w:rPr>
              <w:t>Options</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Price</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Years)</w:t>
            </w:r>
          </w:p>
        </w:tc>
        <w:tc>
          <w:tcPr>
            <w:tcW w:w="24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RSUs</w:t>
            </w:r>
          </w:p>
        </w:tc>
        <w:tc>
          <w:tcPr>
            <w:tcW w:w="100" w:type="dxa"/>
            <w:vAlign w:val="bottom"/>
          </w:tcPr>
          <w:p>
            <w:pPr>
              <w:spacing w:after="0"/>
              <w:rPr>
                <w:sz w:val="18"/>
                <w:szCs w:val="18"/>
                <w:color w:val="auto"/>
              </w:rPr>
            </w:pPr>
          </w:p>
        </w:tc>
      </w:tr>
      <w:tr>
        <w:trPr>
          <w:trHeight w:val="196"/>
        </w:trPr>
        <w:tc>
          <w:tcPr>
            <w:tcW w:w="4480" w:type="dxa"/>
            <w:vAlign w:val="bottom"/>
          </w:tcPr>
          <w:p>
            <w:pPr>
              <w:spacing w:after="0"/>
              <w:rPr>
                <w:sz w:val="17"/>
                <w:szCs w:val="17"/>
                <w:color w:val="auto"/>
              </w:rPr>
            </w:pPr>
          </w:p>
        </w:tc>
        <w:tc>
          <w:tcPr>
            <w:tcW w:w="1180" w:type="dxa"/>
            <w:vAlign w:val="bottom"/>
          </w:tcPr>
          <w:p>
            <w:pPr>
              <w:jc w:val="center"/>
              <w:ind w:left="222"/>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millions)</w:t>
            </w:r>
          </w:p>
        </w:tc>
      </w:tr>
      <w:tr>
        <w:trPr>
          <w:trHeight w:val="203"/>
        </w:trPr>
        <w:tc>
          <w:tcPr>
            <w:tcW w:w="5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Balances at December 31, 2020</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0.234</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r>
      <w:tr>
        <w:trPr>
          <w:trHeight w:val="203"/>
        </w:trPr>
        <w:tc>
          <w:tcPr>
            <w:tcW w:w="5660" w:type="dxa"/>
            <w:vAlign w:val="bottom"/>
            <w:gridSpan w:val="2"/>
            <w:shd w:val="clear" w:color="auto" w:fill="CFF0FC"/>
          </w:tcPr>
          <w:p>
            <w:pPr>
              <w:spacing w:after="0" w:line="202" w:lineRule="exact"/>
              <w:rPr>
                <w:sz w:val="20"/>
                <w:szCs w:val="20"/>
                <w:color w:val="auto"/>
              </w:rPr>
            </w:pPr>
            <w:r>
              <w:rPr>
                <w:rFonts w:ascii="Arial" w:cs="Arial" w:eastAsia="Arial" w:hAnsi="Arial"/>
                <w:sz w:val="14"/>
                <w:szCs w:val="14"/>
                <w:color w:val="auto"/>
              </w:rPr>
              <w:t>Vested</w:t>
            </w:r>
            <w:r>
              <w:rPr>
                <w:rFonts w:ascii="Arial" w:cs="Arial" w:eastAsia="Arial" w:hAnsi="Arial"/>
                <w:sz w:val="23"/>
                <w:szCs w:val="23"/>
                <w:color w:val="auto"/>
                <w:vertAlign w:val="superscript"/>
              </w:rPr>
              <w:t>(1)</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r>
      <w:tr>
        <w:trPr>
          <w:trHeight w:val="203"/>
        </w:trPr>
        <w:tc>
          <w:tcPr>
            <w:tcW w:w="5660" w:type="dxa"/>
            <w:vAlign w:val="bottom"/>
            <w:gridSpan w:val="2"/>
          </w:tcPr>
          <w:p>
            <w:pPr>
              <w:spacing w:after="0"/>
              <w:rPr>
                <w:sz w:val="20"/>
                <w:szCs w:val="20"/>
                <w:color w:val="auto"/>
              </w:rPr>
            </w:pPr>
            <w:r>
              <w:rPr>
                <w:rFonts w:ascii="Arial" w:cs="Arial" w:eastAsia="Arial" w:hAnsi="Arial"/>
                <w:sz w:val="16"/>
                <w:szCs w:val="16"/>
                <w:color w:val="auto"/>
              </w:rPr>
              <w:t>Exercised</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0.241</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Forfeited or cancelled</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0.032</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r>
      <w:tr>
        <w:trPr>
          <w:trHeight w:val="196"/>
        </w:trPr>
        <w:tc>
          <w:tcPr>
            <w:tcW w:w="4480" w:type="dxa"/>
            <w:vAlign w:val="bottom"/>
          </w:tcPr>
          <w:p>
            <w:pPr>
              <w:spacing w:after="0" w:line="195" w:lineRule="exact"/>
              <w:rPr>
                <w:sz w:val="20"/>
                <w:szCs w:val="20"/>
                <w:color w:val="auto"/>
              </w:rPr>
            </w:pPr>
            <w:r>
              <w:rPr>
                <w:rFonts w:ascii="Arial" w:cs="Arial" w:eastAsia="Arial" w:hAnsi="Arial"/>
                <w:sz w:val="14"/>
                <w:szCs w:val="14"/>
                <w:color w:val="auto"/>
              </w:rPr>
              <w:t>Balances at September 30, 2021</w:t>
            </w:r>
            <w:r>
              <w:rPr>
                <w:rFonts w:ascii="Arial" w:cs="Arial" w:eastAsia="Arial" w:hAnsi="Arial"/>
                <w:sz w:val="22"/>
                <w:szCs w:val="22"/>
                <w:color w:val="auto"/>
                <w:vertAlign w:val="superscript"/>
              </w:rPr>
              <w:t>(1)</w:t>
            </w:r>
          </w:p>
        </w:tc>
        <w:tc>
          <w:tcPr>
            <w:tcW w:w="11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0.236</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r>
      <w:tr>
        <w:trPr>
          <w:trHeight w:val="20"/>
        </w:trPr>
        <w:tc>
          <w:tcPr>
            <w:tcW w:w="4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3" w:lineRule="exact"/>
        <w:rPr>
          <w:sz w:val="20"/>
          <w:szCs w:val="20"/>
          <w:color w:val="auto"/>
        </w:rPr>
      </w:pPr>
    </w:p>
    <w:p>
      <w:pPr>
        <w:ind w:left="740" w:hanging="368"/>
        <w:spacing w:after="0"/>
        <w:tabs>
          <w:tab w:leader="none" w:pos="7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Outstanding RSUs as of September 30, 2021 include 11 million performance-based RSUs</w:t>
      </w:r>
      <w:r>
        <w:rPr>
          <w:rFonts w:ascii="Arial" w:cs="Arial" w:eastAsia="Arial" w:hAnsi="Arial"/>
          <w:sz w:val="16"/>
          <w:szCs w:val="16"/>
          <w:color w:val="auto"/>
        </w:rPr>
        <w:t>.</w:t>
      </w:r>
    </w:p>
    <w:p>
      <w:pPr>
        <w:spacing w:after="0" w:line="259"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The weighted-average grant date fair value of restricted stock units (“RSUs”) granted during the three and nine months ended September 30, 2021 was $7.75 and $11.15 per share, respectively.</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26"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In May 2021, the Company’s Board of Directors granted its Executive Chair an equity incentive award in the form of performance-based RSUs (“PSUs”) consisting of approximately 1 million shares of the Company’s common stock, with a grant date fair value per unit of $9.94. The award vests only if the Executive Chair satisfies a service-based vesting condition and if the Company’s stock satisfies a market condition. The award will be eligible to vest if the Company’s average closing stock price over the 30-calendar day period immediately preceding May 15, 2023 (the “Performance Measurement Date”) equals or exceeds a threshold of 149% of the Company’s closing stock price of $12.07 on April 20, 2021, with a maximum level of vesting of 200% based on a maximum stock price achievement level of 298%. The Executive Chair must also remain employed as the Company’s Executive Chair or another senior executive-level position through the Performance Measurement Date.</w:t>
      </w:r>
    </w:p>
    <w:p>
      <w:pPr>
        <w:spacing w:after="0" w:line="154"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Company used a Monte Carlo simulation model to calculate the fair value of the PSUs on the grant date. The Monte Carlo simulation included the following assumptions, determined based on a term equal to the period of time from the grant date to the end of the performance period of two years: 75.00% stock price volatility, 0.16% risk-free rate and a 0% dividend yield. For the three and nine months ended September 30, 2021, the Company recognized approximately $1 million and $2 million of expense, respectively, related to these PSUs. As of September 30, 2021, 1 million of these PSUs remained outstanding and the Company will recognize the remaining $7 million of unrecognized stock-based compensation expense related to these PSUs over a period of 1.6 years.</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stock-based compensation expense included in the condensed consolidated statements of operations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00" w:type="dxa"/>
            <w:vAlign w:val="bottom"/>
            <w:gridSpan w:val="5"/>
          </w:tcPr>
          <w:p>
            <w:pPr>
              <w:ind w:left="34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3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18"/>
                <w:szCs w:val="18"/>
                <w:color w:val="auto"/>
              </w:rPr>
            </w:pPr>
          </w:p>
        </w:tc>
      </w:tr>
      <w:tr>
        <w:trPr>
          <w:trHeight w:val="209"/>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78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7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8"/>
                <w:szCs w:val="18"/>
                <w:color w:val="auto"/>
              </w:rPr>
            </w:pPr>
          </w:p>
        </w:tc>
      </w:tr>
      <w:tr>
        <w:trPr>
          <w:trHeight w:val="209"/>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stock-based compensation</w:t>
            </w:r>
          </w:p>
        </w:tc>
        <w:tc>
          <w:tcPr>
            <w:tcW w:w="178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7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69" w:lineRule="exact"/>
        <w:rPr>
          <w:sz w:val="20"/>
          <w:szCs w:val="20"/>
          <w:color w:val="auto"/>
        </w:rPr>
      </w:pPr>
    </w:p>
    <w:p>
      <w:pPr>
        <w:ind w:left="1120" w:hanging="370"/>
        <w:spacing w:after="0" w:line="260" w:lineRule="auto"/>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and administrative stock-based compensation for the third quarter of 2021 decreased by $11 million or 73% compared to the second quarter of 2021 due to employee departures, including the Company’s former CFO in July.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firstLine="637"/>
        <w:spacing w:after="0" w:line="246" w:lineRule="auto"/>
        <w:rPr>
          <w:sz w:val="20"/>
          <w:szCs w:val="20"/>
          <w:color w:val="auto"/>
        </w:rPr>
      </w:pPr>
      <w:r>
        <w:rPr>
          <w:rFonts w:ascii="Arial" w:cs="Arial" w:eastAsia="Arial" w:hAnsi="Arial"/>
          <w:sz w:val="18"/>
          <w:szCs w:val="18"/>
          <w:color w:val="auto"/>
        </w:rPr>
        <w:t>The Company will recognize the remaining $315 million and $68 million of unrecognized stock-based compensation expense over a weighted-average period of approximately 2.85 years and 3.20 years related to RSUs and PSUs, respectively.</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Employee Stock Purchase Plan</w:t>
      </w:r>
    </w:p>
    <w:p>
      <w:pPr>
        <w:spacing w:after="0" w:line="126"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Company’s Employee Stock Purchase Plan (“ESPP”) allows eligible employees to purchase shares of the Company’s Class A common stock at a discount through payroll deductions of up to 15% of eligible compensation, subject to caps of $25,000 in any calendar year and 2,500 shares on any purchase date. The ESPP provides for 24-month offering periods, generally beginning in November and May of each year, and each offering period consists of four six-month purchase periods. The initial offering period began on January 1, 2021 and will end in November 2022. During the nine months ended September 30, 2021, fewer than 1 million shares of common stock were purchased under the ESPP for an aggregate amount of $3 million. No shares of common stock were purchased under the ESPP during the three months ended September 30, 2021.</w:t>
      </w:r>
    </w:p>
    <w:p>
      <w:pPr>
        <w:spacing w:after="0" w:line="14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On each purchase date, participating employees will purchase Class A common stock at a price per share equal to 85% of the lesser of the fair market value of the Company’s Class A common stock on (i) the first trading day of the applicable offering period, or (ii) the last trading day of each purchase period in the applicable offering period. If the stock price of the Company's Class A common stock on any purchase date in an offering period is lower than the stock price on the enrollment date of that offering period, the offering period will immediately reset after the purchase of shares on such purchase date and automatically roll into a new offering period (ESPP reset). During the nine months ended September 30, 2021, there was an ESPP reset that resulted in an additional expense of approximately $7 million, which is being recognized over an offering period ending May 20, 2023.</w:t>
      </w:r>
    </w:p>
    <w:p>
      <w:pPr>
        <w:spacing w:after="0" w:line="149" w:lineRule="exact"/>
        <w:rPr>
          <w:sz w:val="20"/>
          <w:szCs w:val="20"/>
          <w:color w:val="auto"/>
        </w:rPr>
      </w:pPr>
    </w:p>
    <w:p>
      <w:pPr>
        <w:jc w:val="both"/>
        <w:ind w:firstLine="637"/>
        <w:spacing w:after="0" w:line="243" w:lineRule="auto"/>
        <w:rPr>
          <w:sz w:val="20"/>
          <w:szCs w:val="20"/>
          <w:color w:val="auto"/>
        </w:rPr>
      </w:pPr>
      <w:r>
        <w:rPr>
          <w:rFonts w:ascii="Arial" w:cs="Arial" w:eastAsia="Arial" w:hAnsi="Arial"/>
          <w:sz w:val="18"/>
          <w:szCs w:val="18"/>
          <w:color w:val="auto"/>
        </w:rPr>
        <w:t>The Company uses the Black-Scholes option pricing model to determine the fair value of shares to be purchased under the ESPP with the following assumptions on the date of grant:</w:t>
      </w:r>
    </w:p>
    <w:tbl>
      <w:tblPr>
        <w:tblLayout w:type="fixed"/>
        <w:tblInd w:w="0" w:type="dxa"/>
        <w:tblCellMar>
          <w:top w:w="0" w:type="dxa"/>
          <w:left w:w="0" w:type="dxa"/>
          <w:bottom w:w="0" w:type="dxa"/>
          <w:right w:w="0" w:type="dxa"/>
        </w:tblCellMar>
      </w:tblPr>
      <w:tr>
        <w:trPr>
          <w:trHeight w:val="207"/>
        </w:trPr>
        <w:tc>
          <w:tcPr>
            <w:tcW w:w="8060" w:type="dxa"/>
            <w:vAlign w:val="bottom"/>
          </w:tcPr>
          <w:p>
            <w:pPr>
              <w:spacing w:after="0"/>
              <w:rPr>
                <w:sz w:val="17"/>
                <w:szCs w:val="17"/>
                <w:color w:val="auto"/>
              </w:rPr>
            </w:pPr>
          </w:p>
        </w:tc>
        <w:tc>
          <w:tcPr>
            <w:tcW w:w="3180" w:type="dxa"/>
            <w:vAlign w:val="bottom"/>
            <w:gridSpan w:val="2"/>
          </w:tcPr>
          <w:p>
            <w:pPr>
              <w:ind w:left="66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8060" w:type="dxa"/>
            <w:vAlign w:val="bottom"/>
            <w:tcBorders>
              <w:bottom w:val="single" w:sz="8" w:color="CFF0FC"/>
            </w:tcBorders>
          </w:tcPr>
          <w:p>
            <w:pPr>
              <w:spacing w:after="0"/>
              <w:rPr>
                <w:sz w:val="19"/>
                <w:szCs w:val="19"/>
                <w:color w:val="auto"/>
              </w:rPr>
            </w:pPr>
          </w:p>
        </w:tc>
        <w:tc>
          <w:tcPr>
            <w:tcW w:w="30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Borders>
              <w:bottom w:val="single" w:sz="8" w:color="CFF0FC"/>
            </w:tcBorders>
          </w:tcPr>
          <w:p>
            <w:pPr>
              <w:spacing w:after="0"/>
              <w:rPr>
                <w:sz w:val="19"/>
                <w:szCs w:val="19"/>
                <w:color w:val="auto"/>
              </w:rPr>
            </w:pPr>
          </w:p>
        </w:tc>
      </w:tr>
      <w:tr>
        <w:trPr>
          <w:trHeight w:val="209"/>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3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0.38 to 2.00</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3180" w:type="dxa"/>
            <w:vAlign w:val="bottom"/>
            <w:gridSpan w:val="2"/>
          </w:tcPr>
          <w:p>
            <w:pPr>
              <w:jc w:val="right"/>
              <w:ind w:right="180"/>
              <w:spacing w:after="0"/>
              <w:rPr>
                <w:sz w:val="20"/>
                <w:szCs w:val="20"/>
                <w:color w:val="auto"/>
              </w:rPr>
            </w:pPr>
            <w:r>
              <w:rPr>
                <w:rFonts w:ascii="Arial" w:cs="Arial" w:eastAsia="Arial" w:hAnsi="Arial"/>
                <w:sz w:val="18"/>
                <w:szCs w:val="18"/>
                <w:color w:val="auto"/>
              </w:rPr>
              <w:t>0.02% to 0.17%</w:t>
            </w:r>
          </w:p>
        </w:tc>
      </w:tr>
      <w:tr>
        <w:trPr>
          <w:trHeight w:val="216"/>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3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46.45% to 96.88%</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Dividend yield</w:t>
            </w:r>
          </w:p>
        </w:tc>
        <w:tc>
          <w:tcPr>
            <w:tcW w:w="31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Estimated fair value per share</w:t>
            </w:r>
          </w:p>
        </w:tc>
        <w:tc>
          <w:tcPr>
            <w:tcW w:w="3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$3.91 to $8.05</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80"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The Company’s tax provision for the interim periods is determined using an estimate of the annual effective tax rate, adjusted for discrete items, if any, that arise during the period. Each quarter, the Company assesses its estimate of the annual effective tax rate, and if the estimated annual effective tax rate changes, the Company makes a cumulative adjustment in the period of change.</w:t>
      </w:r>
    </w:p>
    <w:p>
      <w:pPr>
        <w:spacing w:after="0" w:line="149"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The Company’s quarterly tax provision and the estimate of the annual effective tax rate is subject to fluctuation due to several factors, including variability in pre-tax earnings, the geographic distribution of the pre-tax earnings, tax law changes, non-deductible expenses, such as stock-based compensation, and changes in the estimate of the valuation allowance.</w:t>
      </w:r>
    </w:p>
    <w:p>
      <w:pPr>
        <w:spacing w:after="0" w:line="149"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provision for income taxes was $4 million and $11 million for the three and nine months ended September 30, 2021 and was insignificant for the three and nine months ended September 30, 2020. The year-over-year increase in provision for income taxes was primarily related to international operations. The Company continues to maintain a valuation allowance on its domestic net deferred tax assets which is excluded from the annual effective tax rate estimate.</w:t>
      </w:r>
    </w:p>
    <w:p>
      <w:pPr>
        <w:spacing w:after="0" w:line="151"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The Company had immaterial unrecognized tax benefits as of September 30, 2021 and December 31, 2020, fully offset by a valuation allowance. These unrecognized tax benefits, if recognized, would not affect the effective tax rate. No interest or penalties were incurred during the three and nine months ended September 30, 2021 and 2020.</w:t>
      </w:r>
    </w:p>
    <w:p>
      <w:pPr>
        <w:spacing w:after="0" w:line="149"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Company files income tax returns in the U.S. federal jurisdiction and various state and foreign jurisdictions. The Company is not currently under examination by income tax authorities in federal, state or other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10. NET LOSS PER SHARE</w:t>
      </w:r>
    </w:p>
    <w:p>
      <w:pPr>
        <w:spacing w:after="0" w:line="234"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Company presents basic and diluted net loss per share attributable to common stockholders in conformity with the two-class method required for participating securities. Prior to the completion of the IPO, all series of redeemable convertible preferred stock were considered participating securities. Immediately prior to the completion of the IPO, all shares of redeemable convertible preferred stock then outstanding were converted into shares of Class B common stock. The Company has not allocated net loss attributable to common stockholders to redeemable convertible preferred stock in any period presented because the holders of its redeemable convertible preferred stock were not contractually obligated to share in losses.</w:t>
      </w:r>
    </w:p>
    <w:p>
      <w:pPr>
        <w:spacing w:after="0" w:line="151"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Basic net income (loss) per share is computed using the weighted average number of common shares outstanding during the period. Diluted net income (loss) per share is computed by giving effect to potentially dilutive common stock equivalents outstanding during the period, as their effect would be dilutive. Potentially dilutive common shares include participating securities and shares issuable upon the exercise of stock options, the exercise of common stock warrants, the vesting of RSUs and each purchase under the 2020 ESPP, under the treasury stock method.</w:t>
      </w:r>
    </w:p>
    <w:p>
      <w:pPr>
        <w:spacing w:after="0" w:line="148"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In loss periods, basic net loss per share and diluted net loss per share are the same, as the effect of potential common shares is anti-dilutive and therefore excluded.</w:t>
      </w:r>
    </w:p>
    <w:p>
      <w:pPr>
        <w:spacing w:after="0" w:line="143"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rights, including the liquidation and dividend rights, of the holders of Class A and Class B common stock are identical, except with respect to voting. As the liquidation and dividend rights are identical, the Company’s undistributed earnings or losses are allocated on a proportionate basis among the holders of both Class A and Class B common stock. As a result, the net income (loss) per share attributed to common stockholders will, therefore, be the same for both Class A and Class B common stock on an individual or combined basis.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7"/>
          </w:tcPr>
          <w:p>
            <w:pPr>
              <w:jc w:val="center"/>
              <w:ind w:right="46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4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7"/>
          </w:tcPr>
          <w:p>
            <w:pPr>
              <w:jc w:val="center"/>
              <w:ind w:right="44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40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184"/>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rPr>
              <w:t>(in millions, except per share data)</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6"/>
        </w:trPr>
        <w:tc>
          <w:tcPr>
            <w:tcW w:w="56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3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r>
      <w:tr>
        <w:trPr>
          <w:trHeight w:val="197"/>
        </w:trPr>
        <w:tc>
          <w:tcPr>
            <w:tcW w:w="56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2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5"/>
        </w:trPr>
        <w:tc>
          <w:tcPr>
            <w:tcW w:w="5620" w:type="dxa"/>
            <w:vAlign w:val="bottom"/>
          </w:tcPr>
          <w:p>
            <w:pPr>
              <w:ind w:left="260"/>
              <w:spacing w:after="0"/>
              <w:rPr>
                <w:sz w:val="20"/>
                <w:szCs w:val="20"/>
                <w:color w:val="auto"/>
              </w:rPr>
            </w:pPr>
            <w:r>
              <w:rPr>
                <w:rFonts w:ascii="Arial" w:cs="Arial" w:eastAsia="Arial" w:hAnsi="Arial"/>
                <w:sz w:val="18"/>
                <w:szCs w:val="18"/>
                <w:color w:val="auto"/>
              </w:rPr>
              <w:t>Weighted-average shares used in computing net loss per share,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620" w:type="dxa"/>
            <w:vAlign w:val="bottom"/>
            <w:tcBorders>
              <w:bottom w:val="single" w:sz="8" w:color="CFF0FC"/>
            </w:tcBorders>
          </w:tcPr>
          <w:p>
            <w:pPr>
              <w:ind w:left="260"/>
              <w:spacing w:after="0" w:line="203" w:lineRule="exact"/>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628</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623</w:t>
            </w:r>
          </w:p>
        </w:tc>
        <w:tc>
          <w:tcPr>
            <w:tcW w:w="1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tcPr>
          <w:p>
            <w:pPr>
              <w:spacing w:after="0"/>
              <w:rPr>
                <w:sz w:val="21"/>
                <w:szCs w:val="21"/>
                <w:color w:val="auto"/>
              </w:rPr>
            </w:pPr>
          </w:p>
        </w:tc>
      </w:tr>
      <w:tr>
        <w:trPr>
          <w:trHeight w:val="197"/>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5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(0.10)</w:t>
            </w:r>
          </w:p>
        </w:tc>
        <w:tc>
          <w:tcPr>
            <w:tcW w:w="32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(0.92)</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(0.49)</w:t>
            </w:r>
          </w:p>
        </w:tc>
        <w:tc>
          <w:tcPr>
            <w:tcW w:w="3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(1.64)</w:t>
            </w: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37" w:lineRule="exact"/>
        <w:rPr>
          <w:sz w:val="20"/>
          <w:szCs w:val="20"/>
          <w:color w:val="auto"/>
        </w:rPr>
      </w:pPr>
    </w:p>
    <w:p>
      <w:pPr>
        <w:jc w:val="both"/>
        <w:ind w:firstLine="637"/>
        <w:spacing w:after="0" w:line="243"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because including them would have had an anti-dilutive effect:</w:t>
      </w:r>
    </w:p>
    <w:p>
      <w:pPr>
        <w:ind w:left="8560"/>
        <w:spacing w:after="0"/>
        <w:rPr>
          <w:sz w:val="20"/>
          <w:szCs w:val="20"/>
          <w:color w:val="auto"/>
        </w:rPr>
      </w:pPr>
      <w:r>
        <w:rPr>
          <w:rFonts w:ascii="Arial" w:cs="Arial" w:eastAsia="Arial" w:hAnsi="Arial"/>
          <w:sz w:val="18"/>
          <w:szCs w:val="18"/>
          <w:b w:val="1"/>
          <w:bCs w:val="1"/>
          <w:color w:val="auto"/>
        </w:rPr>
        <w:t>As of 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184"/>
        </w:trPr>
        <w:tc>
          <w:tcPr>
            <w:tcW w:w="7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
        </w:trPr>
        <w:tc>
          <w:tcPr>
            <w:tcW w:w="7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Redeemable convertible preferred stock, all series</w:t>
            </w:r>
          </w:p>
        </w:tc>
        <w:tc>
          <w:tcPr>
            <w:tcW w:w="1140" w:type="dxa"/>
            <w:vAlign w:val="bottom"/>
            <w:gridSpan w:val="3"/>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FF0FC"/>
          </w:tcPr>
          <w:p>
            <w:pPr>
              <w:spacing w:after="0"/>
              <w:rPr>
                <w:sz w:val="18"/>
                <w:szCs w:val="18"/>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Series B warrant</w:t>
            </w:r>
          </w:p>
        </w:tc>
        <w:tc>
          <w:tcPr>
            <w:tcW w:w="11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r>
      <w:tr>
        <w:trPr>
          <w:trHeight w:val="216"/>
        </w:trPr>
        <w:tc>
          <w:tcPr>
            <w:tcW w:w="8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Warrant to purchase common stock</w:t>
            </w:r>
          </w:p>
        </w:tc>
        <w:tc>
          <w:tcPr>
            <w:tcW w:w="1140" w:type="dxa"/>
            <w:vAlign w:val="bottom"/>
            <w:gridSpan w:val="3"/>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8"/>
                <w:szCs w:val="18"/>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Common stock options outstanding</w:t>
            </w: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r>
      <w:tr>
        <w:trPr>
          <w:trHeight w:val="216"/>
        </w:trPr>
        <w:tc>
          <w:tcPr>
            <w:tcW w:w="8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restricted stock units outstanding</w:t>
            </w:r>
            <w:r>
              <w:rPr>
                <w:rFonts w:ascii="Arial" w:cs="Arial" w:eastAsia="Arial" w:hAnsi="Arial"/>
                <w:sz w:val="15"/>
                <w:szCs w:val="15"/>
                <w:color w:val="auto"/>
              </w:rPr>
              <w:t>(1)</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r>
      <w:tr>
        <w:trPr>
          <w:trHeight w:val="210"/>
        </w:trPr>
        <w:tc>
          <w:tcPr>
            <w:tcW w:w="8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FF0FC"/>
          </w:tcPr>
          <w:p>
            <w:pPr>
              <w:spacing w:after="0"/>
              <w:rPr>
                <w:sz w:val="18"/>
                <w:szCs w:val="18"/>
                <w:color w:val="auto"/>
              </w:rPr>
            </w:pP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8" w:lineRule="exact"/>
        <w:rPr>
          <w:sz w:val="20"/>
          <w:szCs w:val="20"/>
          <w:color w:val="auto"/>
        </w:rPr>
      </w:pPr>
    </w:p>
    <w:p>
      <w:pPr>
        <w:ind w:left="740" w:hanging="368"/>
        <w:spacing w:after="0"/>
        <w:tabs>
          <w:tab w:leader="none" w:pos="740" w:val="left"/>
        </w:tabs>
        <w:numPr>
          <w:ilvl w:val="0"/>
          <w:numId w:val="8"/>
        </w:numPr>
        <w:rPr>
          <w:rFonts w:ascii="Arial" w:cs="Arial" w:eastAsia="Arial" w:hAnsi="Arial"/>
          <w:sz w:val="14"/>
          <w:szCs w:val="14"/>
          <w:color w:val="auto"/>
        </w:rPr>
      </w:pPr>
      <w:r>
        <w:rPr>
          <w:rFonts w:ascii="Arial" w:cs="Arial" w:eastAsia="Arial" w:hAnsi="Arial"/>
          <w:sz w:val="14"/>
          <w:szCs w:val="14"/>
          <w:color w:val="auto"/>
        </w:rPr>
        <w:t>Unvested restricted stock units outstanding as of September 30, 2021 include 11 million performance-based RSUs</w:t>
      </w:r>
      <w:r>
        <w:rPr>
          <w:rFonts w:ascii="Arial" w:cs="Arial" w:eastAsia="Arial" w:hAnsi="Arial"/>
          <w:sz w:val="16"/>
          <w:szCs w:val="16"/>
          <w:color w:val="auto"/>
        </w:rPr>
        <w: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11. GEOGRAPHICAL INFORMATION</w:t>
      </w:r>
    </w:p>
    <w:p>
      <w:pPr>
        <w:spacing w:after="0" w:line="180" w:lineRule="exact"/>
        <w:rPr>
          <w:sz w:val="20"/>
          <w:szCs w:val="20"/>
          <w:color w:val="auto"/>
        </w:rPr>
      </w:pPr>
    </w:p>
    <w:p>
      <w:pPr>
        <w:ind w:firstLine="644"/>
        <w:spacing w:after="0" w:line="246" w:lineRule="auto"/>
        <w:rPr>
          <w:sz w:val="20"/>
          <w:szCs w:val="20"/>
          <w:color w:val="auto"/>
        </w:rPr>
      </w:pPr>
      <w:r>
        <w:rPr>
          <w:rFonts w:ascii="Arial" w:cs="Arial" w:eastAsia="Arial" w:hAnsi="Arial"/>
          <w:sz w:val="18"/>
          <w:szCs w:val="18"/>
          <w:color w:val="auto"/>
        </w:rPr>
        <w:t>The Company believes it is relevant to disclose geographical revenue information on both a demand basis, determined by the ship-to address of the user, and on a supply basis, determined by the location of the merchants’ operations.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Core marketplace revenue by geographic area based on the ship-to address of the user is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8"/>
                <w:szCs w:val="18"/>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10"/>
          </w:tcPr>
          <w:p>
            <w:pPr>
              <w:jc w:val="right"/>
              <w:ind w:right="160"/>
              <w:spacing w:after="0"/>
              <w:rPr>
                <w:sz w:val="20"/>
                <w:szCs w:val="20"/>
                <w:color w:val="auto"/>
              </w:rPr>
            </w:pPr>
            <w:r>
              <w:rPr>
                <w:rFonts w:ascii="Arial" w:cs="Arial" w:eastAsia="Arial" w:hAnsi="Arial"/>
                <w:sz w:val="18"/>
                <w:szCs w:val="18"/>
                <w:b w:val="1"/>
                <w:bCs w:val="1"/>
                <w:color w:val="auto"/>
              </w:rPr>
              <w:t>Nine Months Ended September 30,</w:t>
            </w: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2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84"/>
        </w:trPr>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
        </w:trPr>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w:t>
            </w: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North America</w:t>
            </w:r>
            <w:r>
              <w:rPr>
                <w:rFonts w:ascii="Arial" w:cs="Arial" w:eastAsia="Arial" w:hAnsi="Arial"/>
                <w:sz w:val="15"/>
                <w:szCs w:val="15"/>
                <w:color w:val="auto"/>
              </w:rPr>
              <w:t>(1)</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South America</w:t>
            </w:r>
          </w:p>
        </w:tc>
        <w:tc>
          <w:tcPr>
            <w:tcW w:w="3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09"/>
        </w:trPr>
        <w:tc>
          <w:tcPr>
            <w:tcW w:w="23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Core marketplace</w:t>
            </w:r>
          </w:p>
        </w:tc>
        <w:tc>
          <w:tcPr>
            <w:tcW w:w="3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3"/>
        </w:trPr>
        <w:tc>
          <w:tcPr>
            <w:tcW w:w="2380" w:type="dxa"/>
            <w:vAlign w:val="bottom"/>
            <w:shd w:val="clear" w:color="auto" w:fill="CFF0FC"/>
          </w:tcPr>
          <w:p>
            <w:pPr>
              <w:ind w:left="260"/>
              <w:spacing w:after="0" w:line="203" w:lineRule="exact"/>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183</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100%</w:t>
            </w:r>
          </w:p>
        </w:tc>
        <w:tc>
          <w:tcPr>
            <w:tcW w:w="340" w:type="dxa"/>
            <w:vAlign w:val="bottom"/>
            <w:shd w:val="clear" w:color="auto" w:fill="CFF0FC"/>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405</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100%</w:t>
            </w:r>
          </w:p>
        </w:tc>
        <w:tc>
          <w:tcPr>
            <w:tcW w:w="420" w:type="dxa"/>
            <w:vAlign w:val="bottom"/>
            <w:gridSpan w:val="2"/>
            <w:shd w:val="clear" w:color="auto" w:fill="CFF0FC"/>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1,038</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1,300</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100%</w:t>
            </w:r>
          </w:p>
        </w:tc>
      </w:tr>
      <w:tr>
        <w:trPr>
          <w:trHeight w:val="20"/>
        </w:trPr>
        <w:tc>
          <w:tcPr>
            <w:tcW w:w="23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4" w:lineRule="exact"/>
        <w:rPr>
          <w:sz w:val="20"/>
          <w:szCs w:val="20"/>
          <w:color w:val="auto"/>
        </w:rPr>
      </w:pPr>
    </w:p>
    <w:p>
      <w:pPr>
        <w:ind w:left="1120" w:hanging="370"/>
        <w:spacing w:after="0" w:line="313" w:lineRule="auto"/>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United States accounted for $63 million and $343 million of Core marketplace revenue for the three and nine months ended September 30, 2021, respectively and $130 million and $460 million for the three and nine months ended September 30, 2020, respectively.</w:t>
      </w:r>
    </w:p>
    <w:p>
      <w:pPr>
        <w:spacing w:after="0" w:line="111"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China accounted for substantially all of marketplace and logistics revenue during the three and nine months ended September 30, 2021 and 2020 based on the location of the merchants’ operations.</w:t>
      </w:r>
    </w:p>
    <w:p>
      <w:pPr>
        <w:spacing w:after="0" w:line="143"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The Company’s long -lived tangible assets, which consist of property and equipment, net and operating lease right-of-use assets, net, located in the United States were 84% and 87% of the total long-lived tangible assets as of September 30, 2021 and December 31, 2020, respectively. The long-lived tangible assets outside the United States were located in China, Canada and the Netherlands.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w:t>
      </w:r>
    </w:p>
    <w:p>
      <w:pPr>
        <w:spacing w:after="0" w:line="180"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On November 8, 2021, Piotr Szulczewski informed the Board of Directors of the Company of his resignation from his position as Chief Executive Officer (“CEO”) of the Company, with such resignation to be effective the earlier of: (i) February 1, 2022; or (ii) the date the Board appoints a new CEO of the Company. Mr. Szulczewski will continue to serve on the Board.</w:t>
      </w:r>
    </w:p>
    <w:p>
      <w:pPr>
        <w:spacing w:after="0" w:line="14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In December 2020, the Company’s Board of Directors granted Mr. Szulczewski PSUs consisting of 10 million shares of the Company’s Class B common stock, with a weighted-average grant date fair value per unit of $7.76. To vest in the PSUs, Mr. Szulczewski must remain employed as the Company’s CEO through the second anniversary of its IPO in December 2020. As a result of Mr. Szulczewski’s resignation as the Company’s CEO before the second anniversary of its IPO, he is no longer expected to vest in the award, and as such, the PSUs are expected to be cancelled. Consequently, the Company expects to reverse during the fourth quarter of 2021 approximately $16 million of stock-based compensation that it recognized through September 30, 2021 related to these PSUs.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results of operations and cash flows should be read in conjunction with (1) the unaudited condensed consolidated financial statements and the related notes thereto included elsewhere in this Quarterly Report on Form 10-Q, and (2) the audited condensed consolidated financial statements and notes thereto and management’s discussion and analysis of financial condition and results of operations for the year ended December 31, 2020 included in our Annual Report on Form 10-K filed on March 25, 2021. Unless otherwise indicated, all results presented are prepared in a manner that complies, in all material respects, with accounting principles generally accepted in the United States of America (“GAAP”). Additionally, unless otherwise indicated, all changes identified for the current-period results represent comparisons to results for the prior corresponding fiscal period.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2020 Form 10-K, as updated and supplemented by our Quarterly Reports on Form 10-Q, including in Part 2, Item 1A, the Special Note Regarding Forward Looking Statements in this Quarterly Report on Form 10-Q, and elsewhere in this Quarterly Report on Form 10-Q.</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trademarks and intellectual property</w:t>
      </w:r>
    </w:p>
    <w:p>
      <w:pPr>
        <w:spacing w:after="0" w:line="180" w:lineRule="exact"/>
        <w:rPr>
          <w:sz w:val="20"/>
          <w:szCs w:val="20"/>
          <w:color w:val="auto"/>
        </w:rPr>
      </w:pPr>
    </w:p>
    <w:p>
      <w:pPr>
        <w:jc w:val="both"/>
        <w:ind w:right="20" w:firstLine="644"/>
        <w:spacing w:after="0"/>
        <w:rPr>
          <w:sz w:val="20"/>
          <w:szCs w:val="20"/>
          <w:color w:val="auto"/>
        </w:rPr>
      </w:pPr>
      <w:r>
        <w:rPr>
          <w:rFonts w:ascii="Arial" w:cs="Arial" w:eastAsia="Arial" w:hAnsi="Arial"/>
          <w:sz w:val="18"/>
          <w:szCs w:val="18"/>
          <w:color w:val="auto"/>
        </w:rPr>
        <w:t>This report may contain references to its proprietary intellectual property, including, among others, trademarks for its products and services, such as, WISH, W, WISH LOCAL, WISH PICKUP, WISHPOST, CONTEXTLOGIC, and related registered and pending trademarks and logos.</w:t>
      </w:r>
    </w:p>
    <w:p>
      <w:pPr>
        <w:spacing w:after="0" w:line="149"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These trademarks and trade names are the property of Wish or the property of its consolidated subsidiaries and are protected under applicable intellectual property laws. Solely for convenience, its trademarks and tradenames referred to in this Quarterly Report on Form 10-Q may appear without the ® or ™ symbols, but such references are not intended to indicate in any way that the Company will not assert, to the fullest extent under applicable law, its rights to these trademarks and tradenames.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Three Months Ended September 30, 2021</w:t>
      </w:r>
    </w:p>
    <w:p>
      <w:pPr>
        <w:spacing w:after="0" w:line="85" w:lineRule="exact"/>
        <w:rPr>
          <w:sz w:val="20"/>
          <w:szCs w:val="20"/>
          <w:color w:val="auto"/>
        </w:rPr>
      </w:pPr>
    </w:p>
    <w:p>
      <w:pPr>
        <w:ind w:left="1000" w:hanging="25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revenue was $368 million, a decrease of 39% year-over-year.</w:t>
      </w:r>
    </w:p>
    <w:p>
      <w:pPr>
        <w:spacing w:after="0" w:line="76" w:lineRule="exact"/>
        <w:rPr>
          <w:rFonts w:ascii="Arial" w:cs="Arial" w:eastAsia="Arial" w:hAnsi="Arial"/>
          <w:sz w:val="18"/>
          <w:szCs w:val="18"/>
          <w:color w:val="auto"/>
        </w:rPr>
      </w:pPr>
    </w:p>
    <w:p>
      <w:pPr>
        <w:ind w:left="1000" w:hanging="25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cost of revenue and operating expenses were $431 million, including stock-based compensation expense of $30 million.</w:t>
      </w:r>
    </w:p>
    <w:p>
      <w:pPr>
        <w:spacing w:after="0" w:line="76" w:lineRule="exact"/>
        <w:rPr>
          <w:rFonts w:ascii="Arial" w:cs="Arial" w:eastAsia="Arial" w:hAnsi="Arial"/>
          <w:sz w:val="18"/>
          <w:szCs w:val="18"/>
          <w:color w:val="auto"/>
        </w:rPr>
      </w:pPr>
    </w:p>
    <w:p>
      <w:pPr>
        <w:ind w:left="1000" w:hanging="25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from operations was $63 million.</w:t>
      </w:r>
    </w:p>
    <w:p>
      <w:pPr>
        <w:spacing w:after="0" w:line="76" w:lineRule="exact"/>
        <w:rPr>
          <w:rFonts w:ascii="Arial" w:cs="Arial" w:eastAsia="Arial" w:hAnsi="Arial"/>
          <w:sz w:val="18"/>
          <w:szCs w:val="18"/>
          <w:color w:val="auto"/>
        </w:rPr>
      </w:pPr>
    </w:p>
    <w:p>
      <w:pPr>
        <w:ind w:left="1000" w:hanging="25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loss was $64 million.</w:t>
      </w:r>
    </w:p>
    <w:p>
      <w:pPr>
        <w:spacing w:after="0" w:line="76" w:lineRule="exact"/>
        <w:rPr>
          <w:rFonts w:ascii="Arial" w:cs="Arial" w:eastAsia="Arial" w:hAnsi="Arial"/>
          <w:sz w:val="18"/>
          <w:szCs w:val="18"/>
          <w:color w:val="auto"/>
        </w:rPr>
      </w:pPr>
    </w:p>
    <w:p>
      <w:pPr>
        <w:ind w:left="1000" w:hanging="25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was a loss of $30 million or 8% of total revenue.</w:t>
      </w:r>
    </w:p>
    <w:p>
      <w:pPr>
        <w:spacing w:after="0" w:line="76" w:lineRule="exact"/>
        <w:rPr>
          <w:rFonts w:ascii="Arial" w:cs="Arial" w:eastAsia="Arial" w:hAnsi="Arial"/>
          <w:sz w:val="18"/>
          <w:szCs w:val="18"/>
          <w:color w:val="auto"/>
        </w:rPr>
      </w:pPr>
    </w:p>
    <w:p>
      <w:pPr>
        <w:ind w:left="1000" w:hanging="25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and cash equivalents and marketable securities were $1.2 billion.</w:t>
      </w:r>
    </w:p>
    <w:p>
      <w:pPr>
        <w:spacing w:after="0" w:line="171"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As of September 30, 2021, we had an accumulated deficit of $2.5 billion. We expect losses from operations to continue for the foreseeable future as we incur costs and expenses related to brand development, expansion of market share, continued development of our mobile shopping marketplace infrastructure and development of other businesses.</w:t>
      </w:r>
    </w:p>
    <w:p>
      <w:pPr>
        <w:spacing w:after="0" w:line="149"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the third quarter of 2021, we continued to face the headwinds of reduced retention and new buyer conversion and a rise in digital advertising costs. In response to rising digital advertising costs, which contributed to lower marketing efficiency, starting in the second quarter of 2021, we decided to significantly reduce our digital advertising expenditures as we focused our resources on other strategic initiatives. As discussed below under “—Key Financial and Performance Metrics,” we believe that our monthly active users (“MAUs”) and last twelve months (“LTM”) Active Buyers were negatively impacted by our decision to significantly reduce our digital advertising expenditures. Starting in the second quarter of 2021, in response to these headwinds, we implemented a number of initiatives that we believe will improve the user experience and increase retention, including (i) enhancing our product quality and selection, (ii) providing an unmatched fun and entertaining shopping experience, and (ii) improving the performance of the app. We believe our strategy to increase users’ experience in our marketplace and provide a more differentiated and engaging user experience, which we continued to execute on in the third quarter of 2021, will position us for long-term sustainable growth.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COVID-19</w:t>
      </w:r>
    </w:p>
    <w:p>
      <w:pPr>
        <w:spacing w:after="0" w:line="180"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As of the date of filing of this Quarterly Report, the outbreak of coronavirus disease 2019 (“COVID-19”), including recent and any future variants, has affected businesses worldwide, and continues to impact the major markets in which we operate. Our business, operations and financial condition and results have been and may continue to be impacted by the COVID-19 pandemic and a range of external factors related to the COVID-19 pandemic that are not within our control. The COVID-19 pandemic has resulted in significant governmental measures being implemented at various times and in various geographic areas over the course of the pandemic to control the spread of the virus. Our operations as well as the operations of our third-party merchants have been, and we expect will continue to be, disrupted by varying individual and governmental responses to COVID-19 around the world. In addition, the COVID-19 pandemic has also disrupted the global supply chain, which may interfere with the delivery of our merchants’ products to our users. Our MAUs, LTM Active Buyers and revenue may be negatively impacted as we proceed through 2021 due to a combination of reasons including: (i) macroeconomic factors such as worldwide retail businesses reopening; (ii) the disruption of the global supply chain; (iii) increased consumer spending on travel and other discretionary items; and, (iv) the waning impact of U.S. and other government economic stimulus programs.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9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Our business benefits from powerful network effects, fueled by our data advantage and scale. As more users join Wish, we are able to increase revenue potential for our merchants. As more merchants succeed on Wish, more merchants join our platforms and grow their businesses with Wish, broadening our product selection, which in turn improves user experience. By developing a strategy focused on users and merchants, we align user and merchant success with the success of our financial model. Growth in users and merchants generates more data, which further strengthens our data advantage and helps create an even better experience for everyone on our platforms, which in turn should attract more users and high-quality merchants.</w:t>
      </w:r>
    </w:p>
    <w:p>
      <w:pPr>
        <w:spacing w:after="0" w:line="151"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Our model relies on cost-effectively adding new users, converting those users into buyers and improving engagement and monetization of those buyers on Wish over time as well as adding new merchants, delivering economic success for those merchants, and having those merchants use more of our end-to-end platforms.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Performance Metrics</w:t>
      </w:r>
    </w:p>
    <w:p>
      <w:pPr>
        <w:spacing w:after="0" w:line="85" w:lineRule="exact"/>
        <w:rPr>
          <w:sz w:val="20"/>
          <w:szCs w:val="20"/>
          <w:color w:val="auto"/>
        </w:rPr>
      </w:pPr>
    </w:p>
    <w:p>
      <w:pPr>
        <w:jc w:val="both"/>
        <w:ind w:firstLine="644"/>
        <w:spacing w:after="0" w:line="243" w:lineRule="auto"/>
        <w:rPr>
          <w:sz w:val="20"/>
          <w:szCs w:val="20"/>
          <w:color w:val="auto"/>
        </w:rPr>
      </w:pPr>
      <w:r>
        <w:rPr>
          <w:rFonts w:ascii="Arial" w:cs="Arial" w:eastAsia="Arial" w:hAnsi="Arial"/>
          <w:sz w:val="18"/>
          <w:szCs w:val="18"/>
          <w:color w:val="auto"/>
        </w:rPr>
        <w:t>In addition to the measures presented in our condensed consolidated financial statements, we monitor the following key metrics and other financial information to measure our performance, identify trends affecting our business, and make strategic decisions.</w:t>
      </w: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380" w:type="dxa"/>
            <w:vAlign w:val="bottom"/>
            <w:gridSpan w:val="4"/>
          </w:tcPr>
          <w:p>
            <w:pPr>
              <w:jc w:val="right"/>
              <w:ind w:right="124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2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w w:val="99"/>
              </w:rPr>
              <w:t>September 30,</w:t>
            </w:r>
          </w:p>
        </w:tc>
        <w:tc>
          <w:tcPr>
            <w:tcW w:w="4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09"/>
        </w:trPr>
        <w:tc>
          <w:tcPr>
            <w:tcW w:w="2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r>
      <w:tr>
        <w:trPr>
          <w:trHeight w:val="210"/>
        </w:trPr>
        <w:tc>
          <w:tcPr>
            <w:tcW w:w="2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MAU</w:t>
            </w:r>
          </w:p>
        </w:tc>
        <w:tc>
          <w:tcPr>
            <w:tcW w:w="8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60</w:t>
            </w: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84</w:t>
            </w: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FF0FC"/>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LTM Active Buyers</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46</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r>
      <w:tr>
        <w:trPr>
          <w:trHeight w:val="216"/>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84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(30)</w:t>
            </w:r>
          </w:p>
        </w:tc>
        <w:tc>
          <w:tcPr>
            <w:tcW w:w="96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(64)</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(176)</w:t>
            </w:r>
          </w:p>
        </w:tc>
        <w:tc>
          <w:tcPr>
            <w:tcW w:w="5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Adjusted EBITDA Margin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9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184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(344)</w:t>
            </w:r>
          </w:p>
        </w:tc>
        <w:tc>
          <w:tcPr>
            <w:tcW w:w="96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(473)</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(903)</w:t>
            </w:r>
          </w:p>
        </w:tc>
        <w:tc>
          <w:tcPr>
            <w:tcW w:w="5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8"/>
                <w:szCs w:val="18"/>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Active Users</w:t>
      </w:r>
    </w:p>
    <w:p>
      <w:pPr>
        <w:spacing w:after="0" w:line="99"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We define MAUs as the number of unique users that visited our platforms, either on our mobile app, mobile web, or on a desktop, during the month. MAUs for a given reporting period equal the average of the MAUs for that period. An active user is identified by a unique email-address; a single person can have multiple user accounts via multiple email addresses. The change in MAUs in a reported period captures both the inflow of new users as well as the outflow of existing users who did not visit our platforms in a given month. We view the number of MAUs as a key driver of revenue growth as well as a key indicator of user engagement and awareness of our brand.</w:t>
      </w:r>
    </w:p>
    <w:p>
      <w:pPr>
        <w:spacing w:after="0" w:line="148"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MAUs decreased approximately 40% and 23% from the three and nine months ended September 30, 2020 to the three and nine months ended September 30, 2021, respectively, which was primarily driven by our decision to significantly reduce our digital advertising expenditures.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ind w:left="640"/>
        <w:spacing w:after="0"/>
        <w:rPr>
          <w:sz w:val="20"/>
          <w:szCs w:val="20"/>
          <w:color w:val="auto"/>
        </w:rPr>
      </w:pPr>
      <w:r>
        <w:rPr>
          <w:rFonts w:ascii="Arial" w:cs="Arial" w:eastAsia="Arial" w:hAnsi="Arial"/>
          <w:sz w:val="18"/>
          <w:szCs w:val="18"/>
          <w:b w:val="1"/>
          <w:bCs w:val="1"/>
          <w:color w:val="auto"/>
        </w:rPr>
        <w:t>LTM Active Buyers</w:t>
      </w:r>
    </w:p>
    <w:p>
      <w:pPr>
        <w:spacing w:after="0" w:line="9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As of the last date of each reported period, we determine our number of unique LTM Active Buyers by counting the total number of individual users who have placed at least one order on our platforms, either on our mobile app, mobile web, or on a desktop, during the preceding 12 months. We, however, exclude from the computation those buyers whose order is cancelled before the item is shipped and the purchase price is refunded. The number of LTM Active Buyers is an indicator of our ability to attract and monetize a large user base to our platforms and of our ability to convert visits into purchases. We believe that increasing our LTM Active Buyers will be a significant driver to our future revenue growth.</w:t>
      </w:r>
    </w:p>
    <w:p>
      <w:pPr>
        <w:spacing w:after="0" w:line="56"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LTM Active Buyers decreased approximately 32% from the three months ended September 30, 2020 to the three months ended September 30, 2021. We believe this decline was primarily driven by reduced digital advertising expenditures resulting in lower MAUs and conversion.</w:t>
      </w:r>
    </w:p>
    <w:p>
      <w:pPr>
        <w:spacing w:after="0" w:line="54"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We will continue to maintain significantly lower digital advertising expenditures while we focus on improving user retention and key core marketplace fundamentals. As such, we expect MAUs and LTM Active Buyers to decline year over year in 2021 compared to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Metrics</w:t>
      </w:r>
    </w:p>
    <w:p>
      <w:pPr>
        <w:spacing w:after="0" w:line="8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numbers for some of our metrics, including MAUs, are calculated and tracked with internal tools, which are not independently verified by any third party. We use these metrics to assess the growth and health of our overall business. While these numbers are based on what we believe to be reasonable estimates of our user or merchant base for the applicable period of measurement, there are inherent challenges in measurement as the methodologies used require significant judgment and may be susceptible to algorithm or other technical errors. In addition, we regularly review and adjust our processes for calculating metrics to improve their accuracy, and our estimates may change due to improvements or changes in technology or our methodology.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8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provide Adjusted EBITDA, a non-GAAP financial measure that represents our net income (loss) adjusted to exclude; interest and other income (expense), net (which includes foreign exchange gain or loss, foreign exchange forward contracts gain or loss and gain or loss on one-time non-operating transactions); provision or benefit for income taxes; depreciation and amortization; stock-based compensation expense and related payroll taxes; lease impairment related expenses, remeasurement of redeemable convertible preferred stock warrant liability and other items. Additionally, we provide Adjusted EBITDA Margin, a non-GAAP financial measure that represents Adjusted EBITDA divided by revenue. Below is a reconciliation of Adjusted EBITDA to net loss, the most directly comparable GAAP financial measure.</w:t>
      </w:r>
    </w:p>
    <w:p>
      <w:pPr>
        <w:spacing w:after="0" w:line="151"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We have included Adjusted EBITDA and Adjusted EBITDA Margin in this report because they are key measures used by our management and board of directors to understand and evaluate our operating performance and trends and how we are allocating internal resources, to prepare and approve our annual budget and to develop short- and long-term operating plans. We also believe that the exclusion of certain items in calculating Adjusted EBITDA can provide a useful measure for period-to-period comparisons of our business as it removes the impact of non-cash items and certain variable charges.</w:t>
      </w:r>
    </w:p>
    <w:p>
      <w:pPr>
        <w:spacing w:after="0" w:line="148"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Adjusted EBITDA has limitations as an analytical measure, and you should not consider it in isolation or as a substitute for analysis of our results as reported under GAAP. Some of these limitations are:</w:t>
      </w:r>
    </w:p>
    <w:p>
      <w:pPr>
        <w:spacing w:after="0" w:line="48" w:lineRule="exact"/>
        <w:rPr>
          <w:sz w:val="20"/>
          <w:szCs w:val="20"/>
          <w:color w:val="auto"/>
        </w:rPr>
      </w:pPr>
    </w:p>
    <w:p>
      <w:pPr>
        <w:jc w:val="both"/>
        <w:ind w:left="1000" w:hanging="35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54" w:lineRule="exact"/>
        <w:rPr>
          <w:rFonts w:ascii="Arial" w:cs="Arial" w:eastAsia="Arial" w:hAnsi="Arial"/>
          <w:sz w:val="18"/>
          <w:szCs w:val="18"/>
          <w:color w:val="auto"/>
        </w:rPr>
      </w:pPr>
    </w:p>
    <w:p>
      <w:pPr>
        <w:ind w:left="1000" w:hanging="35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76" w:lineRule="exact"/>
        <w:rPr>
          <w:rFonts w:ascii="Arial" w:cs="Arial" w:eastAsia="Arial" w:hAnsi="Arial"/>
          <w:sz w:val="18"/>
          <w:szCs w:val="18"/>
          <w:color w:val="auto"/>
        </w:rPr>
      </w:pPr>
    </w:p>
    <w:p>
      <w:pPr>
        <w:ind w:left="1000" w:hanging="35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consider the impact of stock-based compensation and related payroll taxes;</w:t>
      </w:r>
    </w:p>
    <w:p>
      <w:pPr>
        <w:spacing w:after="0" w:line="76" w:lineRule="exact"/>
        <w:rPr>
          <w:rFonts w:ascii="Arial" w:cs="Arial" w:eastAsia="Arial" w:hAnsi="Arial"/>
          <w:sz w:val="18"/>
          <w:szCs w:val="18"/>
          <w:color w:val="auto"/>
        </w:rPr>
      </w:pPr>
    </w:p>
    <w:p>
      <w:pPr>
        <w:ind w:left="1000" w:hanging="35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76" w:lineRule="exact"/>
        <w:rPr>
          <w:rFonts w:ascii="Arial" w:cs="Arial" w:eastAsia="Arial" w:hAnsi="Arial"/>
          <w:sz w:val="18"/>
          <w:szCs w:val="18"/>
          <w:color w:val="auto"/>
        </w:rPr>
      </w:pPr>
    </w:p>
    <w:p>
      <w:pPr>
        <w:ind w:left="1000" w:hanging="358"/>
        <w:spacing w:after="0" w:line="246"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43"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Because of these limitations, you should consider Adjusted EBITDA and Adjusted EBITDA Margin alongside other financial performance measures, including various cash flow metrics, net income (loss) and our other GAAP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5" w:name="page26"/>
    <w:bookmarkEnd w:id="25"/>
    <w:p>
      <w:pPr>
        <w:jc w:val="both"/>
        <w:ind w:firstLine="637"/>
        <w:spacing w:after="0" w:line="243" w:lineRule="auto"/>
        <w:rPr>
          <w:sz w:val="20"/>
          <w:szCs w:val="20"/>
          <w:color w:val="auto"/>
        </w:rPr>
      </w:pPr>
      <w:r>
        <w:rPr>
          <w:rFonts w:ascii="Arial" w:cs="Arial" w:eastAsia="Arial" w:hAnsi="Arial"/>
          <w:sz w:val="18"/>
          <w:szCs w:val="18"/>
          <w:color w:val="auto"/>
        </w:rPr>
        <w:t>The following table reflects the reconciliation of net loss to Adjusted EBITDA and net loss as a percentage of revenue to Adjusted EBITDA margin for each of the periods indicated:</w:t>
      </w: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5"/>
          </w:tcPr>
          <w:p>
            <w:pPr>
              <w:jc w:val="center"/>
              <w:ind w:right="90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7"/>
                <w:szCs w:val="17"/>
                <w:color w:val="auto"/>
              </w:rPr>
            </w:pPr>
          </w:p>
        </w:tc>
        <w:tc>
          <w:tcPr>
            <w:tcW w:w="274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5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rPr>
              <w:t>September 30,</w:t>
            </w:r>
          </w:p>
        </w:tc>
        <w:tc>
          <w:tcPr>
            <w:tcW w:w="68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09"/>
        </w:trPr>
        <w:tc>
          <w:tcPr>
            <w:tcW w:w="5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4"/>
              </w:rPr>
              <w:t>2020</w:t>
            </w: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4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24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(176)</w:t>
            </w: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loss as a percentage of revenue</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Excluding: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expense (income), net</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r>
      <w:tr>
        <w:trPr>
          <w:trHeight w:val="216"/>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8"/>
                <w:szCs w:val="18"/>
                <w:color w:val="auto"/>
              </w:rPr>
            </w:pPr>
          </w:p>
        </w:tc>
      </w:tr>
      <w:tr>
        <w:trPr>
          <w:trHeight w:val="216"/>
        </w:trPr>
        <w:tc>
          <w:tcPr>
            <w:tcW w:w="50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r>
      <w:tr>
        <w:trPr>
          <w:trHeight w:val="215"/>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Employer payroll taxes related to stock-based</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03"/>
        </w:trPr>
        <w:tc>
          <w:tcPr>
            <w:tcW w:w="5000" w:type="dxa"/>
            <w:vAlign w:val="bottom"/>
            <w:shd w:val="clear" w:color="auto" w:fill="CFF0FC"/>
          </w:tcPr>
          <w:p>
            <w:pPr>
              <w:ind w:left="260"/>
              <w:spacing w:after="0" w:line="203" w:lineRule="exact"/>
              <w:rPr>
                <w:sz w:val="20"/>
                <w:szCs w:val="20"/>
                <w:color w:val="auto"/>
              </w:rPr>
            </w:pPr>
            <w:r>
              <w:rPr>
                <w:rFonts w:ascii="Arial" w:cs="Arial" w:eastAsia="Arial" w:hAnsi="Arial"/>
                <w:sz w:val="18"/>
                <w:szCs w:val="18"/>
                <w:color w:val="auto"/>
              </w:rPr>
              <w:t>compensation expense</w:t>
            </w:r>
          </w:p>
        </w:tc>
        <w:tc>
          <w:tcPr>
            <w:tcW w:w="1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70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70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w:t>
            </w: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r>
      <w:tr>
        <w:trPr>
          <w:trHeight w:val="215"/>
        </w:trPr>
        <w:tc>
          <w:tcPr>
            <w:tcW w:w="5000" w:type="dxa"/>
            <w:vAlign w:val="bottom"/>
          </w:tcPr>
          <w:p>
            <w:pPr>
              <w:ind w:left="260"/>
              <w:spacing w:after="0"/>
              <w:rPr>
                <w:sz w:val="20"/>
                <w:szCs w:val="20"/>
                <w:color w:val="auto"/>
              </w:rPr>
            </w:pPr>
            <w:r>
              <w:rPr>
                <w:rFonts w:ascii="Arial" w:cs="Arial" w:eastAsia="Arial" w:hAnsi="Arial"/>
                <w:sz w:val="18"/>
                <w:szCs w:val="18"/>
                <w:color w:val="auto"/>
              </w:rPr>
              <w:t>Remeasurement of redeemable convertible preferred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3"/>
        </w:trPr>
        <w:tc>
          <w:tcPr>
            <w:tcW w:w="5000" w:type="dxa"/>
            <w:vAlign w:val="bottom"/>
          </w:tcPr>
          <w:p>
            <w:pPr>
              <w:ind w:left="260"/>
              <w:spacing w:after="0" w:line="203" w:lineRule="exact"/>
              <w:rPr>
                <w:sz w:val="20"/>
                <w:szCs w:val="20"/>
                <w:color w:val="auto"/>
              </w:rPr>
            </w:pPr>
            <w:r>
              <w:rPr>
                <w:rFonts w:ascii="Arial" w:cs="Arial" w:eastAsia="Arial" w:hAnsi="Arial"/>
                <w:sz w:val="18"/>
                <w:szCs w:val="18"/>
                <w:color w:val="auto"/>
              </w:rPr>
              <w:t>stock warrant liability</w:t>
            </w:r>
          </w:p>
        </w:tc>
        <w:tc>
          <w:tcPr>
            <w:tcW w:w="180" w:type="dxa"/>
            <w:vAlign w:val="bottom"/>
          </w:tcPr>
          <w:p>
            <w:pPr>
              <w:spacing w:after="0"/>
              <w:rPr>
                <w:sz w:val="17"/>
                <w:szCs w:val="17"/>
                <w:color w:val="auto"/>
              </w:rPr>
            </w:pPr>
          </w:p>
        </w:tc>
        <w:tc>
          <w:tcPr>
            <w:tcW w:w="1460" w:type="dxa"/>
            <w:vAlign w:val="bottom"/>
            <w:gridSpan w:val="2"/>
          </w:tcPr>
          <w:p>
            <w:pPr>
              <w:jc w:val="right"/>
              <w:ind w:right="70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48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55</w:t>
            </w:r>
          </w:p>
        </w:tc>
        <w:tc>
          <w:tcPr>
            <w:tcW w:w="240" w:type="dxa"/>
            <w:vAlign w:val="bottom"/>
          </w:tcPr>
          <w:p>
            <w:pPr>
              <w:spacing w:after="0"/>
              <w:rPr>
                <w:sz w:val="17"/>
                <w:szCs w:val="17"/>
                <w:color w:val="auto"/>
              </w:rPr>
            </w:pPr>
          </w:p>
        </w:tc>
      </w:tr>
      <w:tr>
        <w:trPr>
          <w:trHeight w:val="216"/>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impairment related expenses</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Recurring other items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18"/>
                <w:szCs w:val="18"/>
                <w:color w:val="auto"/>
              </w:rPr>
            </w:pPr>
          </w:p>
        </w:tc>
      </w:tr>
      <w:tr>
        <w:trPr>
          <w:trHeight w:val="209"/>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w:t>
            </w: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r>
      <w:tr>
        <w:trPr>
          <w:trHeight w:val="197"/>
        </w:trPr>
        <w:tc>
          <w:tcPr>
            <w:tcW w:w="5000" w:type="dxa"/>
            <w:vAlign w:val="bottom"/>
          </w:tcPr>
          <w:p>
            <w:pPr>
              <w:ind w:left="380"/>
              <w:spacing w:after="0" w:line="196" w:lineRule="exact"/>
              <w:rPr>
                <w:sz w:val="20"/>
                <w:szCs w:val="20"/>
                <w:color w:val="auto"/>
              </w:rPr>
            </w:pPr>
            <w:r>
              <w:rPr>
                <w:rFonts w:ascii="Arial" w:cs="Arial" w:eastAsia="Arial" w:hAnsi="Arial"/>
                <w:sz w:val="18"/>
                <w:szCs w:val="18"/>
                <w:color w:val="auto"/>
              </w:rPr>
              <w:t>Adjusted EBITDA margin</w:t>
            </w:r>
          </w:p>
        </w:tc>
        <w:tc>
          <w:tcPr>
            <w:tcW w:w="180" w:type="dxa"/>
            <w:vAlign w:val="bottom"/>
          </w:tcPr>
          <w:p>
            <w:pPr>
              <w:spacing w:after="0"/>
              <w:rPr>
                <w:sz w:val="17"/>
                <w:szCs w:val="17"/>
                <w:color w:val="auto"/>
              </w:rPr>
            </w:pPr>
          </w:p>
        </w:tc>
        <w:tc>
          <w:tcPr>
            <w:tcW w:w="14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(8)%</w:t>
            </w:r>
          </w:p>
        </w:tc>
        <w:tc>
          <w:tcPr>
            <w:tcW w:w="280" w:type="dxa"/>
            <w:vAlign w:val="bottom"/>
          </w:tcPr>
          <w:p>
            <w:pPr>
              <w:spacing w:after="0"/>
              <w:rPr>
                <w:sz w:val="17"/>
                <w:szCs w:val="17"/>
                <w:color w:val="auto"/>
              </w:rPr>
            </w:pPr>
          </w:p>
        </w:tc>
        <w:tc>
          <w:tcPr>
            <w:tcW w:w="138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12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r>
      <w:tr>
        <w:trPr>
          <w:trHeight w:val="20"/>
        </w:trPr>
        <w:tc>
          <w:tcPr>
            <w:tcW w:w="5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99"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We also provide Free Cash Flow, a non-GAAP financial measure that represents net cash provided by (used in) operating activities less purchases of property and equipment. We believe that Free Cash Flow is an important measure since we use third parties to host our services and therefore we do not incur significant capital expenditures to support revenue generating activities.</w:t>
      </w:r>
    </w:p>
    <w:p>
      <w:pPr>
        <w:spacing w:after="0" w:line="149"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Free Cash Flow has limitations as an analytical measure, and you should not consider it in isolation or as a substitute for analysis of our results as reported under GAAP. Some of these limitations are:</w:t>
      </w:r>
    </w:p>
    <w:p>
      <w:pPr>
        <w:spacing w:after="0" w:line="48" w:lineRule="exact"/>
        <w:rPr>
          <w:sz w:val="20"/>
          <w:szCs w:val="20"/>
          <w:color w:val="auto"/>
        </w:rPr>
      </w:pPr>
    </w:p>
    <w:p>
      <w:pPr>
        <w:ind w:left="1000" w:hanging="35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is not a substitute for net cash provided by (used in) operating activities;</w:t>
      </w:r>
    </w:p>
    <w:p>
      <w:pPr>
        <w:spacing w:after="0" w:line="103" w:lineRule="exact"/>
        <w:rPr>
          <w:rFonts w:ascii="Arial" w:cs="Arial" w:eastAsia="Arial" w:hAnsi="Arial"/>
          <w:sz w:val="18"/>
          <w:szCs w:val="18"/>
          <w:color w:val="auto"/>
        </w:rPr>
      </w:pPr>
    </w:p>
    <w:p>
      <w:pPr>
        <w:ind w:left="1000" w:right="20" w:hanging="358"/>
        <w:spacing w:after="0" w:line="24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may calculate Free Cash Flow or similarly titled non-GAAP measures differently or may use other measures to evaluate their performance, all of which could reduce the usefulness of free cash flow as a tool for comparison; and</w:t>
      </w:r>
    </w:p>
    <w:p>
      <w:pPr>
        <w:spacing w:after="0" w:line="48" w:lineRule="exact"/>
        <w:rPr>
          <w:rFonts w:ascii="Arial" w:cs="Arial" w:eastAsia="Arial" w:hAnsi="Arial"/>
          <w:sz w:val="18"/>
          <w:szCs w:val="18"/>
          <w:color w:val="auto"/>
        </w:rPr>
      </w:pPr>
    </w:p>
    <w:p>
      <w:pPr>
        <w:ind w:left="1000" w:hanging="358"/>
        <w:spacing w:after="0" w:line="24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utility of free cash flow is further limited as it does not reflect our future contractual commitments and does not represent the total increase or decrease in our cash balance for any given period.</w:t>
      </w:r>
    </w:p>
    <w:p>
      <w:pPr>
        <w:spacing w:after="0" w:line="143" w:lineRule="exact"/>
        <w:rPr>
          <w:sz w:val="20"/>
          <w:szCs w:val="20"/>
          <w:color w:val="auto"/>
        </w:rPr>
      </w:pPr>
    </w:p>
    <w:p>
      <w:pPr>
        <w:ind w:firstLine="637"/>
        <w:spacing w:after="0" w:line="246" w:lineRule="auto"/>
        <w:rPr>
          <w:sz w:val="20"/>
          <w:szCs w:val="20"/>
          <w:color w:val="auto"/>
        </w:rPr>
      </w:pPr>
      <w:r>
        <w:rPr>
          <w:rFonts w:ascii="Arial" w:cs="Arial" w:eastAsia="Arial" w:hAnsi="Arial"/>
          <w:sz w:val="18"/>
          <w:szCs w:val="18"/>
          <w:color w:val="auto"/>
        </w:rPr>
        <w:t>Because of these limitations, you should consider Free Cash Flow alongside other financial performance measures, such as net cash provided by (used in) operating activities, net income (loss) and our other GAAP results.</w:t>
      </w:r>
    </w:p>
    <w:p>
      <w:pPr>
        <w:spacing w:after="0" w:line="143" w:lineRule="exact"/>
        <w:rPr>
          <w:sz w:val="20"/>
          <w:szCs w:val="20"/>
          <w:color w:val="auto"/>
        </w:rPr>
      </w:pPr>
    </w:p>
    <w:p>
      <w:pPr>
        <w:ind w:firstLine="637"/>
        <w:spacing w:after="0" w:line="243" w:lineRule="auto"/>
        <w:rPr>
          <w:sz w:val="20"/>
          <w:szCs w:val="20"/>
          <w:color w:val="auto"/>
        </w:rPr>
      </w:pPr>
      <w:r>
        <w:rPr>
          <w:rFonts w:ascii="Arial" w:cs="Arial" w:eastAsia="Arial" w:hAnsi="Arial"/>
          <w:sz w:val="18"/>
          <w:szCs w:val="18"/>
          <w:color w:val="auto"/>
        </w:rPr>
        <w:t>The following table reflects the reconciliation of net cash provided by (used in) operating activities to Free Cash Flow for each of the periods indicated:</w:t>
      </w: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74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4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4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99"/>
              </w:rPr>
              <w:t>September 30,</w:t>
            </w:r>
          </w:p>
        </w:tc>
      </w:tr>
      <w:tr>
        <w:trPr>
          <w:trHeight w:val="209"/>
        </w:trPr>
        <w:tc>
          <w:tcPr>
            <w:tcW w:w="48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10"/>
        </w:trPr>
        <w:tc>
          <w:tcPr>
            <w:tcW w:w="4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 operating activities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(344)</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(472)</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(902)</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120" w:type="dxa"/>
            <w:vAlign w:val="bottom"/>
            <w:shd w:val="clear" w:color="auto" w:fill="CFF0FC"/>
          </w:tcPr>
          <w:p>
            <w:pPr>
              <w:spacing w:after="0"/>
              <w:rPr>
                <w:sz w:val="19"/>
                <w:szCs w:val="19"/>
                <w:color w:val="auto"/>
              </w:rPr>
            </w:pPr>
          </w:p>
        </w:tc>
      </w:tr>
      <w:tr>
        <w:trPr>
          <w:trHeight w:val="209"/>
        </w:trPr>
        <w:tc>
          <w:tcPr>
            <w:tcW w:w="4840" w:type="dxa"/>
            <w:vAlign w:val="bottom"/>
          </w:tcPr>
          <w:p>
            <w:pPr>
              <w:ind w:left="260"/>
              <w:spacing w:after="0"/>
              <w:rPr>
                <w:sz w:val="20"/>
                <w:szCs w:val="20"/>
                <w:color w:val="auto"/>
              </w:rPr>
            </w:pPr>
            <w:r>
              <w:rPr>
                <w:rFonts w:ascii="Arial" w:cs="Arial" w:eastAsia="Arial" w:hAnsi="Arial"/>
                <w:sz w:val="18"/>
                <w:szCs w:val="18"/>
                <w:color w:val="auto"/>
              </w:rPr>
              <w:t>Free Cash Flow</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(344)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9"/>
        </w:trPr>
        <w:tc>
          <w:tcPr>
            <w:tcW w:w="4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1"/>
        </w:trPr>
        <w:tc>
          <w:tcPr>
            <w:tcW w:w="48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right="20" w:firstLine="637"/>
        <w:spacing w:after="0" w:line="242" w:lineRule="auto"/>
        <w:rPr>
          <w:sz w:val="20"/>
          <w:szCs w:val="20"/>
          <w:color w:val="auto"/>
        </w:rPr>
      </w:pPr>
      <w:r>
        <w:rPr>
          <w:rFonts w:ascii="Arial" w:cs="Arial" w:eastAsia="Arial" w:hAnsi="Arial"/>
          <w:sz w:val="18"/>
          <w:szCs w:val="18"/>
          <w:color w:val="auto"/>
        </w:rPr>
        <w:t>The following table shows our results of operations for the periods presented and express the relationship of certain line items as a percentage of revenue for those periods. The period-to-period comparison of financial results is not necessarily indicative of future results.</w:t>
      </w:r>
    </w:p>
    <w:tbl>
      <w:tblPr>
        <w:tblLayout w:type="fixed"/>
        <w:tblInd w:w="0" w:type="dxa"/>
        <w:tblCellMar>
          <w:top w:w="0" w:type="dxa"/>
          <w:left w:w="0" w:type="dxa"/>
          <w:bottom w:w="0" w:type="dxa"/>
          <w:right w:w="0" w:type="dxa"/>
        </w:tblCellMar>
      </w:tblPr>
      <w:tr>
        <w:trPr>
          <w:trHeight w:val="182"/>
        </w:trPr>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gridSpan w:val="5"/>
          </w:tcPr>
          <w:p>
            <w:pPr>
              <w:jc w:val="right"/>
              <w:ind w:right="1100"/>
              <w:spacing w:after="0" w:line="182" w:lineRule="exact"/>
              <w:rPr>
                <w:sz w:val="20"/>
                <w:szCs w:val="20"/>
                <w:color w:val="auto"/>
              </w:rPr>
            </w:pPr>
            <w:r>
              <w:rPr>
                <w:rFonts w:ascii="Arial" w:cs="Arial" w:eastAsia="Arial" w:hAnsi="Arial"/>
                <w:sz w:val="18"/>
                <w:szCs w:val="18"/>
                <w:b w:val="1"/>
                <w:bCs w:val="1"/>
                <w:color w:val="auto"/>
              </w:rPr>
              <w:t>Three Months Ended</w:t>
            </w:r>
          </w:p>
        </w:tc>
        <w:tc>
          <w:tcPr>
            <w:tcW w:w="2800" w:type="dxa"/>
            <w:vAlign w:val="bottom"/>
            <w:gridSpan w:val="7"/>
          </w:tcPr>
          <w:p>
            <w:pPr>
              <w:jc w:val="center"/>
              <w:ind w:right="140"/>
              <w:spacing w:after="0" w:line="182" w:lineRule="exact"/>
              <w:rPr>
                <w:sz w:val="20"/>
                <w:szCs w:val="20"/>
                <w:color w:val="auto"/>
              </w:rPr>
            </w:pPr>
            <w:r>
              <w:rPr>
                <w:rFonts w:ascii="Arial" w:cs="Arial" w:eastAsia="Arial" w:hAnsi="Arial"/>
                <w:sz w:val="18"/>
                <w:szCs w:val="18"/>
                <w:b w:val="1"/>
                <w:bCs w:val="1"/>
                <w:color w:val="auto"/>
                <w:w w:val="99"/>
              </w:rPr>
              <w:t>Nine Months Ended September</w:t>
            </w:r>
          </w:p>
        </w:tc>
      </w:tr>
      <w:tr>
        <w:trPr>
          <w:trHeight w:val="216"/>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5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4"/>
              </w:rPr>
              <w:t>2020</w:t>
            </w: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09"/>
        </w:trPr>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6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6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40" w:type="dxa"/>
            <w:vAlign w:val="bottom"/>
            <w:tcBorders>
              <w:bottom w:val="single" w:sz="8" w:color="CFF0FC"/>
            </w:tcBorders>
          </w:tcPr>
          <w:p>
            <w:pPr>
              <w:spacing w:after="0"/>
              <w:rPr>
                <w:sz w:val="18"/>
                <w:szCs w:val="18"/>
                <w:color w:val="auto"/>
              </w:rPr>
            </w:pPr>
          </w:p>
        </w:tc>
        <w:tc>
          <w:tcPr>
            <w:tcW w:w="5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FF0FC"/>
            </w:tcBorders>
          </w:tcPr>
          <w:p>
            <w:pPr>
              <w:spacing w:after="0"/>
              <w:rPr>
                <w:sz w:val="18"/>
                <w:szCs w:val="18"/>
                <w:color w:val="auto"/>
              </w:rPr>
            </w:pPr>
          </w:p>
        </w:tc>
      </w:tr>
      <w:tr>
        <w:trPr>
          <w:trHeight w:val="21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260"/>
              <w:spacing w:after="0"/>
              <w:rPr>
                <w:sz w:val="20"/>
                <w:szCs w:val="20"/>
                <w:color w:val="auto"/>
              </w:rPr>
            </w:pPr>
            <w:r>
              <w:rPr>
                <w:rFonts w:ascii="Arial" w:cs="Arial" w:eastAsia="Arial" w:hAnsi="Arial"/>
                <w:sz w:val="18"/>
                <w:szCs w:val="18"/>
                <w:color w:val="auto"/>
              </w:rPr>
              <w:t>Product development</w:t>
            </w:r>
            <w:r>
              <w:rPr>
                <w:rFonts w:ascii="Arial" w:cs="Arial" w:eastAsia="Arial" w:hAnsi="Arial"/>
                <w:sz w:val="15"/>
                <w:szCs w:val="15"/>
                <w:color w:val="auto"/>
              </w:rPr>
              <w:t>(1)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6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6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8"/>
                <w:szCs w:val="18"/>
                <w:color w:val="auto"/>
              </w:rPr>
            </w:pPr>
          </w:p>
        </w:tc>
      </w:tr>
      <w:tr>
        <w:trPr>
          <w:trHeight w:val="210"/>
        </w:trPr>
        <w:tc>
          <w:tcPr>
            <w:tcW w:w="51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(303)</w:t>
            </w: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(expense), net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5140" w:type="dxa"/>
            <w:vAlign w:val="bottom"/>
          </w:tcPr>
          <w:p>
            <w:pPr>
              <w:ind w:left="260"/>
              <w:spacing w:after="0"/>
              <w:rPr>
                <w:sz w:val="20"/>
                <w:szCs w:val="20"/>
                <w:color w:val="auto"/>
              </w:rPr>
            </w:pPr>
            <w:r>
              <w:rPr>
                <w:rFonts w:ascii="Arial" w:cs="Arial" w:eastAsia="Arial" w:hAnsi="Arial"/>
                <w:sz w:val="18"/>
                <w:szCs w:val="18"/>
                <w:color w:val="auto"/>
              </w:rPr>
              <w:t>Remeasurement of convertible preferred stock</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140" w:type="dxa"/>
            <w:vAlign w:val="bottom"/>
          </w:tcPr>
          <w:p>
            <w:pPr>
              <w:ind w:left="260"/>
              <w:spacing w:after="0" w:line="203" w:lineRule="exact"/>
              <w:rPr>
                <w:sz w:val="20"/>
                <w:szCs w:val="20"/>
                <w:color w:val="auto"/>
              </w:rPr>
            </w:pPr>
            <w:r>
              <w:rPr>
                <w:rFonts w:ascii="Arial" w:cs="Arial" w:eastAsia="Arial" w:hAnsi="Arial"/>
                <w:sz w:val="18"/>
                <w:szCs w:val="18"/>
                <w:color w:val="auto"/>
              </w:rPr>
              <w:t>warrant liability</w:t>
            </w:r>
          </w:p>
        </w:tc>
        <w:tc>
          <w:tcPr>
            <w:tcW w:w="1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620"/>
              <w:spacing w:after="0" w:line="203"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(55)</w:t>
            </w:r>
          </w:p>
        </w:tc>
      </w:tr>
      <w:tr>
        <w:trPr>
          <w:trHeight w:val="20"/>
        </w:trPr>
        <w:tc>
          <w:tcPr>
            <w:tcW w:w="5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(292)</w:t>
            </w: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tcPr>
          <w:p>
            <w:pPr>
              <w:spacing w:after="0"/>
              <w:rPr>
                <w:sz w:val="18"/>
                <w:szCs w:val="18"/>
                <w:color w:val="auto"/>
              </w:rPr>
            </w:pPr>
          </w:p>
        </w:tc>
        <w:tc>
          <w:tcPr>
            <w:tcW w:w="5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8"/>
                <w:szCs w:val="18"/>
                <w:color w:val="auto"/>
              </w:rPr>
            </w:pPr>
          </w:p>
        </w:tc>
      </w:tr>
      <w:tr>
        <w:trPr>
          <w:trHeight w:val="20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(303)</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w:t>
            </w: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  Includes stock-based compensation expense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00" w:type="dxa"/>
            <w:vAlign w:val="bottom"/>
            <w:gridSpan w:val="5"/>
          </w:tcPr>
          <w:p>
            <w:pPr>
              <w:ind w:left="34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3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78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7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8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8"/>
                <w:szCs w:val="18"/>
                <w:color w:val="auto"/>
              </w:rPr>
            </w:pPr>
          </w:p>
        </w:tc>
      </w:tr>
      <w:tr>
        <w:trPr>
          <w:trHeight w:val="21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stock-based compensation</w:t>
            </w:r>
          </w:p>
        </w:tc>
        <w:tc>
          <w:tcPr>
            <w:tcW w:w="178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7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845"/>
        </w:trPr>
        <w:tc>
          <w:tcPr>
            <w:tcW w:w="3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1"/>
        </w:trPr>
        <w:tc>
          <w:tcPr>
            <w:tcW w:w="36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27" w:name="page28"/>
    <w:bookmarkEnd w:id="27"/>
    <w:p>
      <w:pPr>
        <w:ind w:left="640"/>
        <w:spacing w:after="0"/>
        <w:rPr>
          <w:sz w:val="20"/>
          <w:szCs w:val="20"/>
          <w:color w:val="auto"/>
        </w:rPr>
      </w:pPr>
      <w:r>
        <w:rPr>
          <w:rFonts w:ascii="Arial" w:cs="Arial" w:eastAsia="Arial" w:hAnsi="Arial"/>
          <w:sz w:val="18"/>
          <w:szCs w:val="18"/>
          <w:color w:val="auto"/>
        </w:rPr>
        <w:t>The following table presents the components of our condensed consolidated statements of operations as a percentage of revenue:</w:t>
      </w: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6"/>
          </w:tcPr>
          <w:p>
            <w:pPr>
              <w:ind w:left="440"/>
              <w:spacing w:after="0" w:line="189" w:lineRule="exact"/>
              <w:rPr>
                <w:sz w:val="20"/>
                <w:szCs w:val="20"/>
                <w:color w:val="auto"/>
              </w:rPr>
            </w:pPr>
            <w:r>
              <w:rPr>
                <w:rFonts w:ascii="Arial" w:cs="Arial" w:eastAsia="Arial" w:hAnsi="Arial"/>
                <w:sz w:val="18"/>
                <w:szCs w:val="18"/>
                <w:b w:val="1"/>
                <w:bCs w:val="1"/>
                <w:color w:val="auto"/>
                <w:w w:val="99"/>
              </w:rPr>
              <w:t>Three Months Ended</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8"/>
          </w:tcPr>
          <w:p>
            <w:pPr>
              <w:jc w:val="right"/>
              <w:ind w:right="260"/>
              <w:spacing w:after="0" w:line="189" w:lineRule="exact"/>
              <w:rPr>
                <w:sz w:val="20"/>
                <w:szCs w:val="20"/>
                <w:color w:val="auto"/>
              </w:rPr>
            </w:pPr>
            <w:r>
              <w:rPr>
                <w:rFonts w:ascii="Arial" w:cs="Arial" w:eastAsia="Arial" w:hAnsi="Arial"/>
                <w:sz w:val="18"/>
                <w:szCs w:val="18"/>
                <w:b w:val="1"/>
                <w:bCs w:val="1"/>
                <w:color w:val="auto"/>
                <w:w w:val="99"/>
              </w:rPr>
              <w:t>Nine Months Ended September</w:t>
            </w:r>
          </w:p>
        </w:tc>
        <w:tc>
          <w:tcPr>
            <w:tcW w:w="0" w:type="dxa"/>
            <w:vAlign w:val="bottom"/>
          </w:tcPr>
          <w:p>
            <w:pPr>
              <w:spacing w:after="0"/>
              <w:rPr>
                <w:sz w:val="1"/>
                <w:szCs w:val="1"/>
                <w:color w:val="auto"/>
              </w:rPr>
            </w:pPr>
          </w:p>
        </w:tc>
      </w:tr>
      <w:tr>
        <w:trPr>
          <w:trHeight w:val="225"/>
        </w:trPr>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4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560" w:type="dxa"/>
            <w:vAlign w:val="bottom"/>
            <w:tcBorders>
              <w:right w:val="single" w:sz="8" w:color="CFF0FC"/>
            </w:tcBorders>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55%</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tcBorders>
              <w:right w:val="single" w:sz="8" w:color="auto"/>
            </w:tcBorders>
            <w:shd w:val="clear" w:color="auto" w:fill="CFF0FC"/>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45%</w:t>
            </w:r>
          </w:p>
        </w:tc>
        <w:tc>
          <w:tcPr>
            <w:tcW w:w="560" w:type="dxa"/>
            <w:vAlign w:val="bottom"/>
            <w:tcBorders>
              <w:right w:val="single" w:sz="8" w:color="CFF0FC"/>
            </w:tcBorders>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40%</w:t>
            </w:r>
          </w:p>
        </w:tc>
        <w:tc>
          <w:tcPr>
            <w:tcW w:w="560" w:type="dxa"/>
            <w:vAlign w:val="bottom"/>
            <w:tcBorders>
              <w:right w:val="single" w:sz="8" w:color="CFF0FC"/>
            </w:tcBorders>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56%</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660" w:type="dxa"/>
            <w:vAlign w:val="bottom"/>
          </w:tcPr>
          <w:p>
            <w:pPr>
              <w:ind w:left="260"/>
              <w:spacing w:after="0"/>
              <w:rPr>
                <w:sz w:val="20"/>
                <w:szCs w:val="20"/>
                <w:color w:val="auto"/>
              </w:rPr>
            </w:pPr>
            <w:r>
              <w:rPr>
                <w:rFonts w:ascii="Arial" w:cs="Arial" w:eastAsia="Arial" w:hAnsi="Arial"/>
                <w:sz w:val="18"/>
                <w:szCs w:val="18"/>
                <w:color w:val="auto"/>
              </w:rPr>
              <w:t>Product development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560" w:type="dxa"/>
            <w:vAlign w:val="bottom"/>
            <w:tcBorders>
              <w:right w:val="single" w:sz="8" w:color="CFF0FC"/>
            </w:tcBorders>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560" w:type="dxa"/>
            <w:vAlign w:val="bottom"/>
            <w:tcBorders>
              <w:right w:val="single" w:sz="8" w:color="CFF0FC"/>
            </w:tcBorders>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Interest and other income, net</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560" w:type="dxa"/>
            <w:vAlign w:val="bottom"/>
            <w:tcBorders>
              <w:right w:val="single" w:sz="8" w:color="CFF0FC"/>
            </w:tcBorders>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4760" w:type="dxa"/>
            <w:vAlign w:val="bottom"/>
            <w:gridSpan w:val="7"/>
          </w:tcPr>
          <w:p>
            <w:pPr>
              <w:ind w:left="260"/>
              <w:spacing w:after="0"/>
              <w:rPr>
                <w:sz w:val="20"/>
                <w:szCs w:val="20"/>
                <w:color w:val="auto"/>
              </w:rPr>
            </w:pPr>
            <w:r>
              <w:rPr>
                <w:rFonts w:ascii="Arial" w:cs="Arial" w:eastAsia="Arial" w:hAnsi="Arial"/>
                <w:sz w:val="18"/>
                <w:szCs w:val="18"/>
                <w:color w:val="auto"/>
              </w:rPr>
              <w:t>Remeasurement of convertible preferred stock</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260"/>
              <w:spacing w:after="0" w:line="203" w:lineRule="exact"/>
              <w:rPr>
                <w:sz w:val="20"/>
                <w:szCs w:val="20"/>
                <w:color w:val="auto"/>
              </w:rPr>
            </w:pPr>
            <w:r>
              <w:rPr>
                <w:rFonts w:ascii="Arial" w:cs="Arial" w:eastAsia="Arial" w:hAnsi="Arial"/>
                <w:sz w:val="18"/>
                <w:szCs w:val="18"/>
                <w:color w:val="auto"/>
              </w:rPr>
              <w:t>warrant liability</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gridSpan w:val="3"/>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840" w:type="dxa"/>
            <w:vAlign w:val="bottom"/>
            <w:gridSpan w:val="2"/>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tcBorders>
              <w:right w:val="single" w:sz="8" w:color="auto"/>
            </w:tcBorders>
            <w:shd w:val="clear" w:color="auto" w:fill="CFF0FC"/>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gridSpan w:val="4"/>
            <w:shd w:val="clear" w:color="auto" w:fill="CFF0FC"/>
          </w:tcPr>
          <w:p>
            <w:pPr>
              <w:ind w:left="500"/>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560" w:type="dxa"/>
            <w:vAlign w:val="bottom"/>
            <w:tcBorders>
              <w:right w:val="single" w:sz="8" w:color="CFF0FC"/>
            </w:tcBorders>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tcBorders>
              <w:right w:val="single" w:sz="8" w:color="auto"/>
            </w:tcBorders>
            <w:shd w:val="clear" w:color="auto" w:fill="CFF0FC"/>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560" w:type="dxa"/>
            <w:vAlign w:val="bottom"/>
            <w:tcBorders>
              <w:right w:val="single" w:sz="8" w:color="CFF0FC"/>
            </w:tcBorders>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CFF0FC"/>
            </w:tcBorders>
            <w:gridSpan w:val="3"/>
          </w:tcPr>
          <w:p>
            <w:pPr>
              <w:spacing w:after="0" w:line="20" w:lineRule="exact"/>
              <w:rPr>
                <w:sz w:val="1"/>
                <w:szCs w:val="1"/>
                <w:color w:val="auto"/>
              </w:rPr>
            </w:pPr>
          </w:p>
        </w:tc>
        <w:tc>
          <w:tcPr>
            <w:tcW w:w="320" w:type="dxa"/>
            <w:vAlign w:val="bottom"/>
            <w:tcBorders>
              <w:top w:val="single" w:sz="8" w:color="CFF0FC"/>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CFF0FC"/>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80" w:type="dxa"/>
            <w:vAlign w:val="bottom"/>
            <w:gridSpan w:val="13"/>
          </w:tcPr>
          <w:p>
            <w:pPr>
              <w:spacing w:after="0"/>
              <w:rPr>
                <w:sz w:val="20"/>
                <w:szCs w:val="20"/>
                <w:color w:val="auto"/>
              </w:rPr>
            </w:pPr>
            <w:r>
              <w:rPr>
                <w:rFonts w:ascii="Arial" w:cs="Arial" w:eastAsia="Arial" w:hAnsi="Arial"/>
                <w:sz w:val="18"/>
                <w:szCs w:val="18"/>
                <w:b w:val="1"/>
                <w:bCs w:val="1"/>
                <w:i w:val="1"/>
                <w:iCs w:val="1"/>
                <w:color w:val="auto"/>
              </w:rPr>
              <w:t>Comparison of Three and Nine Months Ended September 30, 2021 and 2020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66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100" w:type="dxa"/>
            <w:vAlign w:val="bottom"/>
            <w:gridSpan w:val="6"/>
            <w:vMerge w:val="restart"/>
          </w:tcPr>
          <w:p>
            <w:pPr>
              <w:jc w:val="center"/>
              <w:ind w:right="24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7"/>
            <w:vMerge w:val="restart"/>
          </w:tcPr>
          <w:p>
            <w:pPr>
              <w:jc w:val="right"/>
              <w:ind w:right="30"/>
              <w:spacing w:after="0"/>
              <w:rPr>
                <w:sz w:val="20"/>
                <w:szCs w:val="20"/>
                <w:color w:val="auto"/>
              </w:rPr>
            </w:pPr>
            <w:r>
              <w:rPr>
                <w:rFonts w:ascii="Arial" w:cs="Arial" w:eastAsia="Arial" w:hAnsi="Arial"/>
                <w:sz w:val="18"/>
                <w:szCs w:val="18"/>
                <w:b w:val="1"/>
                <w:bCs w:val="1"/>
                <w:color w:val="auto"/>
                <w:w w:val="98"/>
              </w:rPr>
              <w:t>Nine Months Ended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210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7"/>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Change</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7"/>
          </w:tcPr>
          <w:p>
            <w:pPr>
              <w:jc w:val="right"/>
              <w:ind w:right="25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7"/>
          </w:tcPr>
          <w:p>
            <w:pPr>
              <w:ind w:left="3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ind w:left="260"/>
              <w:spacing w:after="0" w:line="216" w:lineRule="exact"/>
              <w:rPr>
                <w:sz w:val="20"/>
                <w:szCs w:val="20"/>
                <w:color w:val="auto"/>
              </w:rPr>
            </w:pPr>
            <w:r>
              <w:rPr>
                <w:rFonts w:ascii="Arial" w:cs="Arial" w:eastAsia="Arial" w:hAnsi="Arial"/>
                <w:sz w:val="18"/>
                <w:szCs w:val="18"/>
                <w:color w:val="auto"/>
              </w:rPr>
              <w:t>Core marketplace revenue</w:t>
            </w:r>
            <w:r>
              <w:rPr>
                <w:rFonts w:ascii="Arial" w:cs="Arial" w:eastAsia="Arial" w:hAnsi="Arial"/>
                <w:sz w:val="24"/>
                <w:szCs w:val="24"/>
                <w:color w:val="auto"/>
                <w:vertAlign w:val="superscript"/>
              </w:rPr>
              <w:t>(1)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1,038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(262)</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660" w:type="dxa"/>
            <w:vAlign w:val="bottom"/>
          </w:tcPr>
          <w:p>
            <w:pPr>
              <w:ind w:left="260"/>
              <w:spacing w:after="0"/>
              <w:rPr>
                <w:sz w:val="20"/>
                <w:szCs w:val="20"/>
                <w:color w:val="auto"/>
              </w:rPr>
            </w:pPr>
            <w:r>
              <w:rPr>
                <w:rFonts w:ascii="Arial" w:cs="Arial" w:eastAsia="Arial" w:hAnsi="Arial"/>
                <w:sz w:val="18"/>
                <w:szCs w:val="18"/>
                <w:color w:val="auto"/>
              </w:rPr>
              <w:t>ProductBoost revenue</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Marketplace revenue</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(234)</w:t>
            </w:r>
          </w:p>
        </w:tc>
        <w:tc>
          <w:tcPr>
            <w:tcW w:w="3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8"/>
                <w:szCs w:val="18"/>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1,175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(263)</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Logistics revenue</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(238)</w:t>
            </w:r>
          </w:p>
        </w:tc>
        <w:tc>
          <w:tcPr>
            <w:tcW w:w="3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1,796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740" w:hanging="368"/>
        <w:spacing w:after="0" w:line="247" w:lineRule="auto"/>
        <w:tabs>
          <w:tab w:leader="none" w:pos="7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Core marketplace revenue for the three and nine months ended September 30, 2021 included approximately $5 million and $26 million, respectively, which we recognized related to Wish Cash liability breakage. Refer to Note 4 to our condensed consolidated financial statements in Item 1 of Part I, “Financial Information” for additional details. In addition, Core marketplace revenue for the three and nine months ended September 30, 2021 included approximately $2 million and $19 million net gains, respectively, from our cash flow hedging program. We did not have a hedging program during the three and nine months ended September 30, 2020.</w:t>
      </w:r>
    </w:p>
    <w:p>
      <w:pPr>
        <w:spacing w:after="0" w:line="142"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Revenue for the three months ended September 30, 2021 decreased $ 238 million, or 39%, compared to the same period in 2020 primarily due to a $234 million decrease in marketplace revenue and a $4 million decrease in logistics revenue.</w:t>
      </w:r>
    </w:p>
    <w:p>
      <w:pPr>
        <w:spacing w:after="0" w:line="143"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18"/>
          <w:szCs w:val="18"/>
          <w:color w:val="auto"/>
        </w:rPr>
        <w:t>Revenue for the nine months ended September 30, 2021 increased $49 million, or 3%, compared to the same period in 2020 primarily due to a $312 million increase in logistics revenue, partially offset by a $263 million decrease in marketplace revenue.</w:t>
      </w:r>
    </w:p>
    <w:p>
      <w:pPr>
        <w:spacing w:after="0" w:line="143"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Marketplace revenue for the three and nine months ended September 30, 2021 decreased $234 million, or 52%, and $263 million, or 18%, respectively, compared to the same period in 2020. This decrease was primarily driven by lower order volumes associated with reduced MAUs and LTM Active Buyers, as discussed above under “Key Financial and Performance Metrics.” This decrease in marketplace revenue was partially offset by $ 5 million and $26 million of revenue that we recognized during the three and nine months ended September 30, 2021, respectively, related to Wish Cash liability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breakage. Refer to Note 4 to our condensed consolidated financial statements in Item 1 of Part I, “Financial Information” for additional details.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We will continue to maintain significantly lower digital advertising expenditures while we focus on improving user retention and key core marketplace fundamentals. As such, we expect our marketplace revenue and sales and marketing expenses to decline in the last quarter of 2021 compared to the same period in 2020.</w:t>
      </w:r>
    </w:p>
    <w:p>
      <w:pPr>
        <w:spacing w:after="0" w:line="149"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Logistics revenue for the three months ended September 30, 2021 did not materially change compared to the same period in 2020. Logistics revenue for the nine months ended September 30, 2021 increased $312 million, or 101%, compared to the same periods in 2020. This increase was primarily due to accelerated merchant adoption of our logistics offerings, as well as the expansion of our A+ program during the first half of 2021, in which Wish manages the majority of shipping-related activities for the merchants.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208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5"/>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1020" w:type="dxa"/>
            <w:vAlign w:val="bottom"/>
          </w:tcPr>
          <w:p>
            <w:pPr>
              <w:ind w:left="320"/>
              <w:spacing w:after="0"/>
              <w:rPr>
                <w:sz w:val="20"/>
                <w:szCs w:val="20"/>
                <w:color w:val="auto"/>
              </w:rPr>
            </w:pPr>
            <w:r>
              <w:rPr>
                <w:rFonts w:ascii="Arial" w:cs="Arial" w:eastAsia="Arial" w:hAnsi="Arial"/>
                <w:sz w:val="18"/>
                <w:szCs w:val="18"/>
                <w:b w:val="1"/>
                <w:bCs w:val="1"/>
                <w:color w:val="auto"/>
              </w:rPr>
              <w:t>Change</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30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r>
      <w:tr>
        <w:trPr>
          <w:trHeight w:val="209"/>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gridSpan w:val="4"/>
          </w:tcPr>
          <w:p>
            <w:pPr>
              <w:ind w:left="2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(40)</w:t>
            </w:r>
          </w:p>
        </w:tc>
        <w:tc>
          <w:tcPr>
            <w:tcW w:w="9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(17)% $</w:t>
            </w:r>
          </w:p>
        </w:tc>
        <w:tc>
          <w:tcPr>
            <w:tcW w:w="8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808</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203</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308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377" w:lineRule="exact"/>
        <w:rPr>
          <w:sz w:val="20"/>
          <w:szCs w:val="20"/>
          <w:color w:val="auto"/>
        </w:rPr>
      </w:pPr>
    </w:p>
    <w:p>
      <w:pPr>
        <w:jc w:val="both"/>
        <w:ind w:firstLine="644"/>
        <w:spacing w:after="0" w:line="246" w:lineRule="auto"/>
        <w:rPr>
          <w:sz w:val="20"/>
          <w:szCs w:val="20"/>
          <w:color w:val="auto"/>
        </w:rPr>
      </w:pPr>
      <w:r>
        <w:rPr>
          <w:rFonts w:ascii="Arial" w:cs="Arial" w:eastAsia="Arial" w:hAnsi="Arial"/>
          <w:sz w:val="18"/>
          <w:szCs w:val="18"/>
          <w:color w:val="auto"/>
        </w:rPr>
        <w:t>Cost of revenue for the three months ended September 30, 2021 decreased $40 million, or 17%, compared to the same period in 2020 primarily due to lower logistics related costs as a result of lower order volumes.</w:t>
      </w:r>
    </w:p>
    <w:p>
      <w:pPr>
        <w:spacing w:after="0" w:line="14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Cost of revenue for the nine months ended September 30, 2021 increased $203 million, or 34%, compared to the same period in 2020 due to an increase in revenue arising from higher volumes of logistics services partially offset by shipping efficiencies due to an increased percentage of orders being combined across our logistics programs. The increase was also driven by employee related expenses due to an increase in headcount over the period as well as $15 million in stock-based compensation expense and related employer payroll taxes that we recognized for employees involved in infrastructure, merchant support, and logistics functions during the nine months ended September 30, 2021.</w:t>
      </w:r>
    </w:p>
    <w:p>
      <w:pPr>
        <w:spacing w:after="0" w:line="151"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Gross margin decreased to 45% and 55% for the three and nine months ended September 30, 2021, respectively, from 60% and 65% for the three and nine months ended September 30, 2020, respectively, primarily due to a shift in revenue mix and an increase in direct costs like headcount related expenses, stock compensation and related employer payroll taxes.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4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2280" w:type="dxa"/>
            <w:vAlign w:val="bottom"/>
            <w:gridSpan w:val="4"/>
            <w:vMerge w:val="restart"/>
          </w:tcPr>
          <w:p>
            <w:pPr>
              <w:jc w:val="center"/>
              <w:ind w:right="500"/>
              <w:spacing w:after="0"/>
              <w:rPr>
                <w:sz w:val="20"/>
                <w:szCs w:val="20"/>
                <w:color w:val="auto"/>
              </w:rPr>
            </w:pPr>
            <w:r>
              <w:rPr>
                <w:rFonts w:ascii="Arial" w:cs="Arial" w:eastAsia="Arial" w:hAnsi="Arial"/>
                <w:sz w:val="18"/>
                <w:szCs w:val="18"/>
                <w:b w:val="1"/>
                <w:bCs w:val="1"/>
                <w:color w:val="auto"/>
                <w:w w:val="99"/>
              </w:rPr>
              <w:t>Three Months</w:t>
            </w: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99"/>
              </w:rPr>
              <w:t>Nine Months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540" w:type="dxa"/>
            <w:vAlign w:val="bottom"/>
          </w:tcPr>
          <w:p>
            <w:pPr>
              <w:spacing w:after="0"/>
              <w:rPr>
                <w:sz w:val="15"/>
                <w:szCs w:val="15"/>
                <w:color w:val="auto"/>
              </w:rPr>
            </w:pPr>
          </w:p>
        </w:tc>
        <w:tc>
          <w:tcPr>
            <w:tcW w:w="2280" w:type="dxa"/>
            <w:vAlign w:val="bottom"/>
            <w:gridSpan w:val="4"/>
            <w:vMerge w:val="continue"/>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40" w:type="dxa"/>
            <w:vAlign w:val="bottom"/>
            <w:gridSpan w:val="2"/>
          </w:tcPr>
          <w:p>
            <w:pPr>
              <w:jc w:val="center"/>
              <w:ind w:left="450"/>
              <w:spacing w:after="0" w:line="202" w:lineRule="exact"/>
              <w:rPr>
                <w:sz w:val="20"/>
                <w:szCs w:val="20"/>
                <w:color w:val="auto"/>
              </w:rPr>
            </w:pPr>
            <w:r>
              <w:rPr>
                <w:rFonts w:ascii="Arial" w:cs="Arial" w:eastAsia="Arial" w:hAnsi="Arial"/>
                <w:sz w:val="18"/>
                <w:szCs w:val="18"/>
                <w:b w:val="1"/>
                <w:bCs w:val="1"/>
                <w:color w:val="auto"/>
                <w:w w:val="98"/>
              </w:rPr>
              <w:t>Ended</w:t>
            </w: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3"/>
          </w:tcPr>
          <w:p>
            <w:pPr>
              <w:jc w:val="center"/>
              <w:ind w:right="340"/>
              <w:spacing w:after="0" w:line="202" w:lineRule="exact"/>
              <w:rPr>
                <w:sz w:val="20"/>
                <w:szCs w:val="20"/>
                <w:color w:val="auto"/>
              </w:rPr>
            </w:pPr>
            <w:r>
              <w:rPr>
                <w:rFonts w:ascii="Arial" w:cs="Arial" w:eastAsia="Arial" w:hAnsi="Arial"/>
                <w:sz w:val="18"/>
                <w:szCs w:val="18"/>
                <w:b w:val="1"/>
                <w:bCs w:val="1"/>
                <w:color w:val="auto"/>
              </w:rPr>
              <w:t>Ended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40" w:type="dxa"/>
            <w:vAlign w:val="bottom"/>
          </w:tcPr>
          <w:p>
            <w:pPr>
              <w:spacing w:after="0"/>
              <w:rPr>
                <w:sz w:val="19"/>
                <w:szCs w:val="19"/>
                <w:color w:val="auto"/>
              </w:rPr>
            </w:pPr>
          </w:p>
        </w:tc>
        <w:tc>
          <w:tcPr>
            <w:tcW w:w="228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9"/>
              </w:rPr>
              <w:t>September 30,</w:t>
            </w:r>
          </w:p>
        </w:tc>
        <w:tc>
          <w:tcPr>
            <w:tcW w:w="190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Change</w:t>
            </w:r>
          </w:p>
        </w:tc>
        <w:tc>
          <w:tcPr>
            <w:tcW w:w="17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b w:val="1"/>
                <w:bCs w:val="1"/>
                <w:color w:val="auto"/>
                <w:w w:val="96"/>
              </w:rPr>
              <w:t>Change</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2020</w:t>
            </w:r>
          </w:p>
        </w:tc>
        <w:tc>
          <w:tcPr>
            <w:tcW w:w="500" w:type="dxa"/>
            <w:vAlign w:val="bottom"/>
            <w:tcBorders>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2021</w:t>
            </w: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gridSpan w:val="3"/>
          </w:tcPr>
          <w:p>
            <w:pPr>
              <w:ind w:left="160"/>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9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   147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5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  (239)</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(62)% $</w:t>
            </w:r>
          </w:p>
        </w:tc>
        <w:tc>
          <w:tcPr>
            <w:tcW w:w="7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1,013</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1,125</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(112)</w:t>
            </w: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Sales and marketing expense for the three and nine months ended September 30, 2021 decreased $ 239 million, or 62%, and $112 million, or 10%, respectively, compared to the same period in 2020 primarily due to reduced digital advertising expenditures in order to focus our resources on other strategic initiatives.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9"/>
        </w:trPr>
        <w:tc>
          <w:tcPr>
            <w:tcW w:w="296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4"/>
            <w:vMerge w:val="restart"/>
          </w:tcPr>
          <w:p>
            <w:pPr>
              <w:jc w:val="center"/>
              <w:ind w:right="400"/>
              <w:spacing w:after="0"/>
              <w:rPr>
                <w:sz w:val="20"/>
                <w:szCs w:val="20"/>
                <w:color w:val="auto"/>
              </w:rPr>
            </w:pPr>
            <w:r>
              <w:rPr>
                <w:rFonts w:ascii="Arial" w:cs="Arial" w:eastAsia="Arial" w:hAnsi="Arial"/>
                <w:sz w:val="18"/>
                <w:szCs w:val="18"/>
                <w:b w:val="1"/>
                <w:bCs w:val="1"/>
                <w:color w:val="auto"/>
                <w:w w:val="99"/>
              </w:rPr>
              <w:t>Three Months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4"/>
            <w:vMerge w:val="restart"/>
          </w:tcPr>
          <w:p>
            <w:pPr>
              <w:jc w:val="center"/>
              <w:ind w:right="360"/>
              <w:spacing w:after="0"/>
              <w:rPr>
                <w:sz w:val="20"/>
                <w:szCs w:val="20"/>
                <w:color w:val="auto"/>
              </w:rPr>
            </w:pPr>
            <w:r>
              <w:rPr>
                <w:rFonts w:ascii="Arial" w:cs="Arial" w:eastAsia="Arial" w:hAnsi="Arial"/>
                <w:sz w:val="18"/>
                <w:szCs w:val="18"/>
                <w:b w:val="1"/>
                <w:bCs w:val="1"/>
                <w:color w:val="auto"/>
                <w:w w:val="99"/>
              </w:rPr>
              <w:t>Nine Months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4"/>
          </w:tcPr>
          <w:p>
            <w:pPr>
              <w:jc w:val="center"/>
              <w:ind w:right="400"/>
              <w:spacing w:after="0" w:line="202" w:lineRule="exact"/>
              <w:rPr>
                <w:sz w:val="20"/>
                <w:szCs w:val="20"/>
                <w:color w:val="auto"/>
              </w:rPr>
            </w:pPr>
            <w:r>
              <w:rPr>
                <w:rFonts w:ascii="Arial" w:cs="Arial" w:eastAsia="Arial" w:hAnsi="Arial"/>
                <w:sz w:val="18"/>
                <w:szCs w:val="18"/>
                <w:b w:val="1"/>
                <w:bCs w:val="1"/>
                <w:color w:val="auto"/>
                <w:w w:val="98"/>
              </w:rPr>
              <w:t>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left="350"/>
              <w:spacing w:after="0" w:line="202" w:lineRule="exact"/>
              <w:rPr>
                <w:sz w:val="20"/>
                <w:szCs w:val="20"/>
                <w:color w:val="auto"/>
              </w:rPr>
            </w:pPr>
            <w:r>
              <w:rPr>
                <w:rFonts w:ascii="Arial" w:cs="Arial" w:eastAsia="Arial" w:hAnsi="Arial"/>
                <w:sz w:val="18"/>
                <w:szCs w:val="18"/>
                <w:b w:val="1"/>
                <w:bCs w:val="1"/>
                <w:color w:val="auto"/>
                <w:w w:val="98"/>
              </w:rPr>
              <w:t>Ended</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200" w:type="dxa"/>
            <w:vAlign w:val="bottom"/>
          </w:tcPr>
          <w:p>
            <w:pPr>
              <w:spacing w:after="0"/>
              <w:rPr>
                <w:sz w:val="19"/>
                <w:szCs w:val="19"/>
                <w:color w:val="auto"/>
              </w:rPr>
            </w:pPr>
          </w:p>
        </w:tc>
        <w:tc>
          <w:tcPr>
            <w:tcW w:w="920" w:type="dxa"/>
            <w:vAlign w:val="bottom"/>
          </w:tcPr>
          <w:p>
            <w:pPr>
              <w:ind w:left="240"/>
              <w:spacing w:after="0"/>
              <w:rPr>
                <w:sz w:val="20"/>
                <w:szCs w:val="20"/>
                <w:color w:val="auto"/>
              </w:rPr>
            </w:pPr>
            <w:r>
              <w:rPr>
                <w:rFonts w:ascii="Arial" w:cs="Arial" w:eastAsia="Arial" w:hAnsi="Arial"/>
                <w:sz w:val="18"/>
                <w:szCs w:val="18"/>
                <w:b w:val="1"/>
                <w:bCs w:val="1"/>
                <w:color w:val="auto"/>
                <w:w w:val="99"/>
              </w:rPr>
              <w:t>Change</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9"/>
              </w:rPr>
              <w:t>September 30,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240"/>
              <w:spacing w:after="0"/>
              <w:rPr>
                <w:sz w:val="20"/>
                <w:szCs w:val="20"/>
                <w:color w:val="auto"/>
              </w:rPr>
            </w:pPr>
            <w:r>
              <w:rPr>
                <w:rFonts w:ascii="Arial" w:cs="Arial" w:eastAsia="Arial" w:hAnsi="Arial"/>
                <w:sz w:val="18"/>
                <w:szCs w:val="18"/>
                <w:b w:val="1"/>
                <w:bCs w:val="1"/>
                <w:color w:val="auto"/>
                <w:w w:val="99"/>
              </w:rPr>
              <w:t>Change</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2020</w:t>
            </w:r>
          </w:p>
        </w:tc>
        <w:tc>
          <w:tcPr>
            <w:tcW w:w="26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4"/>
          </w:tcPr>
          <w:p>
            <w:pPr>
              <w:jc w:val="right"/>
              <w:ind w:right="55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30</w:t>
            </w: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125% $</w:t>
            </w:r>
          </w:p>
        </w:tc>
        <w:tc>
          <w:tcPr>
            <w:tcW w:w="8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85</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296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ind w:left="3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Product development expense for the three and nine months ended September 30, 2021 increased $30 million, or 125%, and $85 million, or 118%, respectively, compared to the same periods in 2020 primarily due to an increase in employee-related costs driven by increased headcount and a $17 million and a $49 million stock-based compensation expense and related employer payroll taxes which were recognized for employees involved in product development activities during the three and nine months ended September 30, 2021, respectively. The increase was also partially driven by expenses associated with data warehousing activities, processing and analytics.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6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4"/>
            <w:vMerge w:val="restart"/>
          </w:tcPr>
          <w:p>
            <w:pPr>
              <w:jc w:val="center"/>
              <w:ind w:right="340"/>
              <w:spacing w:after="0"/>
              <w:rPr>
                <w:sz w:val="20"/>
                <w:szCs w:val="20"/>
                <w:color w:val="auto"/>
              </w:rPr>
            </w:pPr>
            <w:r>
              <w:rPr>
                <w:rFonts w:ascii="Arial" w:cs="Arial" w:eastAsia="Arial" w:hAnsi="Arial"/>
                <w:sz w:val="18"/>
                <w:szCs w:val="18"/>
                <w:b w:val="1"/>
                <w:bCs w:val="1"/>
                <w:color w:val="auto"/>
                <w:w w:val="99"/>
              </w:rPr>
              <w:t>Three Months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4"/>
            <w:vMerge w:val="restart"/>
          </w:tcPr>
          <w:p>
            <w:pPr>
              <w:jc w:val="center"/>
              <w:ind w:right="240"/>
              <w:spacing w:after="0"/>
              <w:rPr>
                <w:sz w:val="20"/>
                <w:szCs w:val="20"/>
                <w:color w:val="auto"/>
              </w:rPr>
            </w:pPr>
            <w:r>
              <w:rPr>
                <w:rFonts w:ascii="Arial" w:cs="Arial" w:eastAsia="Arial" w:hAnsi="Arial"/>
                <w:sz w:val="18"/>
                <w:szCs w:val="18"/>
                <w:b w:val="1"/>
                <w:bCs w:val="1"/>
                <w:color w:val="auto"/>
                <w:w w:val="99"/>
              </w:rPr>
              <w:t>Nine Months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4"/>
          </w:tcPr>
          <w:p>
            <w:pPr>
              <w:jc w:val="center"/>
              <w:ind w:right="340"/>
              <w:spacing w:after="0" w:line="202" w:lineRule="exact"/>
              <w:rPr>
                <w:sz w:val="20"/>
                <w:szCs w:val="20"/>
                <w:color w:val="auto"/>
              </w:rPr>
            </w:pPr>
            <w:r>
              <w:rPr>
                <w:rFonts w:ascii="Arial" w:cs="Arial" w:eastAsia="Arial" w:hAnsi="Arial"/>
                <w:sz w:val="18"/>
                <w:szCs w:val="18"/>
                <w:b w:val="1"/>
                <w:bCs w:val="1"/>
                <w:color w:val="auto"/>
                <w:w w:val="98"/>
              </w:rPr>
              <w:t>Ended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center"/>
              <w:ind w:left="450"/>
              <w:spacing w:after="0" w:line="202" w:lineRule="exact"/>
              <w:rPr>
                <w:sz w:val="20"/>
                <w:szCs w:val="20"/>
                <w:color w:val="auto"/>
              </w:rPr>
            </w:pPr>
            <w:r>
              <w:rPr>
                <w:rFonts w:ascii="Arial" w:cs="Arial" w:eastAsia="Arial" w:hAnsi="Arial"/>
                <w:sz w:val="18"/>
                <w:szCs w:val="18"/>
                <w:b w:val="1"/>
                <w:bCs w:val="1"/>
                <w:color w:val="auto"/>
              </w:rPr>
              <w:t>Ended</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9"/>
              </w:rPr>
              <w:t>September 30,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w w:val="87"/>
              </w:rPr>
              <w:t>%</w:t>
            </w: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2020</w:t>
            </w: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(4)</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   121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56</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General and administrative expense for the three months ended September 30, 2021 decreased $4 million, or 12%, compared to the same period in 2020 primarily due to a reduction in certain one-time accrued liabilities and a reversal of stock-based compensation related to employee terminations, including the resignation of our former chief financial officer.</w:t>
      </w:r>
    </w:p>
    <w:p>
      <w:pPr>
        <w:spacing w:after="0" w:line="203"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General and administrative expense for the nine months ended September 30, 2021 increased $56 million, or 86%, compared to the same period in 2020. The increase was primarily related to a $36 million stock-based compensation expense and related employer payroll taxes that we recognized during the nine months ended September 30, 2021, and increases in headcount, legal, tax, insurance and audit-related expenses associated with being a publicly listed company. During the nine months ended September 30, 2021, we also recognized $ 6 million of lease termination and impairment related expenses. Refer to Note 6 to our condensed consolidated financial statements in Item 1 of Part I, “Financial Information” for additional details.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Remeasurement of Redeemable Convertible Preferred Stock Warrant Liability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rPr>
              <w:t>Three Months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Nine Months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3"/>
        </w:trPr>
        <w:tc>
          <w:tcPr>
            <w:tcW w:w="3600" w:type="dxa"/>
            <w:vAlign w:val="bottom"/>
          </w:tcPr>
          <w:p>
            <w:pPr>
              <w:spacing w:after="0"/>
              <w:rPr>
                <w:sz w:val="17"/>
                <w:szCs w:val="17"/>
                <w:color w:val="auto"/>
              </w:rPr>
            </w:pPr>
          </w:p>
        </w:tc>
        <w:tc>
          <w:tcPr>
            <w:tcW w:w="1680" w:type="dxa"/>
            <w:vAlign w:val="bottom"/>
            <w:gridSpan w:val="3"/>
          </w:tcPr>
          <w:p>
            <w:pPr>
              <w:ind w:left="420"/>
              <w:spacing w:after="0" w:line="202" w:lineRule="exact"/>
              <w:rPr>
                <w:sz w:val="20"/>
                <w:szCs w:val="20"/>
                <w:color w:val="auto"/>
              </w:rPr>
            </w:pPr>
            <w:r>
              <w:rPr>
                <w:rFonts w:ascii="Arial" w:cs="Arial" w:eastAsia="Arial" w:hAnsi="Arial"/>
                <w:sz w:val="18"/>
                <w:szCs w:val="18"/>
                <w:b w:val="1"/>
                <w:bCs w:val="1"/>
                <w:color w:val="auto"/>
              </w:rPr>
              <w:t>Ended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420"/>
              <w:spacing w:after="0" w:line="202" w:lineRule="exact"/>
              <w:rPr>
                <w:sz w:val="20"/>
                <w:szCs w:val="20"/>
                <w:color w:val="auto"/>
              </w:rPr>
            </w:pPr>
            <w:r>
              <w:rPr>
                <w:rFonts w:ascii="Arial" w:cs="Arial" w:eastAsia="Arial" w:hAnsi="Arial"/>
                <w:sz w:val="18"/>
                <w:szCs w:val="18"/>
                <w:b w:val="1"/>
                <w:bCs w:val="1"/>
                <w:color w:val="auto"/>
              </w:rPr>
              <w:t>Ended</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5"/>
        </w:trPr>
        <w:tc>
          <w:tcPr>
            <w:tcW w:w="3600" w:type="dxa"/>
            <w:vAlign w:val="bottom"/>
          </w:tcPr>
          <w:p>
            <w:pPr>
              <w:spacing w:after="0"/>
              <w:rPr>
                <w:sz w:val="19"/>
                <w:szCs w:val="19"/>
                <w:color w:val="auto"/>
              </w:rPr>
            </w:pPr>
          </w:p>
        </w:tc>
        <w:tc>
          <w:tcPr>
            <w:tcW w:w="168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Change</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9"/>
              </w:rPr>
              <w:t>September 30,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w w:val="99"/>
              </w:rPr>
              <w:t>Change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0"/>
        </w:trPr>
        <w:tc>
          <w:tcPr>
            <w:tcW w:w="3600" w:type="dxa"/>
            <w:vAlign w:val="bottom"/>
          </w:tcPr>
          <w:p>
            <w:pPr>
              <w:spacing w:after="0"/>
              <w:rPr>
                <w:sz w:val="18"/>
                <w:szCs w:val="18"/>
                <w:color w:val="auto"/>
              </w:rPr>
            </w:pPr>
          </w:p>
        </w:tc>
        <w:tc>
          <w:tcPr>
            <w:tcW w:w="7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2021</w:t>
            </w:r>
          </w:p>
        </w:tc>
        <w:tc>
          <w:tcPr>
            <w:tcW w:w="84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r>
      <w:tr>
        <w:trPr>
          <w:trHeight w:val="210"/>
        </w:trPr>
        <w:tc>
          <w:tcPr>
            <w:tcW w:w="3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5"/>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Remeasurement of redeemable convertible</w:t>
            </w:r>
          </w:p>
        </w:tc>
        <w:tc>
          <w:tcPr>
            <w:tcW w:w="7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03"/>
        </w:trPr>
        <w:tc>
          <w:tcPr>
            <w:tcW w:w="360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preferred stock warrant liability</w:t>
            </w:r>
          </w:p>
        </w:tc>
        <w:tc>
          <w:tcPr>
            <w:tcW w:w="7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    —</w:t>
            </w:r>
          </w:p>
        </w:tc>
        <w:tc>
          <w:tcPr>
            <w:tcW w:w="9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  (12)</w:t>
            </w:r>
          </w:p>
        </w:tc>
        <w:tc>
          <w:tcPr>
            <w:tcW w:w="26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300"/>
              <w:spacing w:after="0" w:line="203" w:lineRule="exact"/>
              <w:rPr>
                <w:sz w:val="20"/>
                <w:szCs w:val="20"/>
                <w:color w:val="auto"/>
              </w:rPr>
            </w:pPr>
            <w:r>
              <w:rPr>
                <w:rFonts w:ascii="Arial" w:cs="Arial" w:eastAsia="Arial" w:hAnsi="Arial"/>
                <w:sz w:val="18"/>
                <w:szCs w:val="18"/>
                <w:color w:val="auto"/>
              </w:rPr>
              <w:t>12</w:t>
            </w:r>
          </w:p>
        </w:tc>
        <w:tc>
          <w:tcPr>
            <w:tcW w:w="84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ind w:left="380"/>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250"/>
              <w:spacing w:after="0" w:line="203"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w w:val="99"/>
              </w:rPr>
              <w:t>(55)</w:t>
            </w:r>
          </w:p>
        </w:tc>
        <w:tc>
          <w:tcPr>
            <w:tcW w:w="26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ind w:left="300"/>
              <w:spacing w:after="0" w:line="203" w:lineRule="exact"/>
              <w:rPr>
                <w:sz w:val="20"/>
                <w:szCs w:val="20"/>
                <w:color w:val="auto"/>
              </w:rPr>
            </w:pPr>
            <w:r>
              <w:rPr>
                <w:rFonts w:ascii="Arial" w:cs="Arial" w:eastAsia="Arial" w:hAnsi="Arial"/>
                <w:sz w:val="18"/>
                <w:szCs w:val="18"/>
                <w:color w:val="auto"/>
              </w:rPr>
              <w:t>55</w:t>
            </w:r>
          </w:p>
        </w:tc>
        <w:tc>
          <w:tcPr>
            <w:tcW w:w="7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(100)%</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Percentage of revenue</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We recognized the $12 million and $55 million expense during the three and nine months ended September 30, 2020, respectively, related to the change in fair value of the redeemable convertible preferred stock warrant liability. There was no remeasurement charge recognized during the three and nine months ended September 30, 2021 because immediately prior to the completion of our IPO in December 2020, the outstanding redeemable convertible preferred stock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0" w:name="page31"/>
    <w:bookmarkEnd w:id="30"/>
    <w:p>
      <w:pPr>
        <w:jc w:val="both"/>
        <w:spacing w:after="0" w:line="246" w:lineRule="auto"/>
        <w:rPr>
          <w:sz w:val="20"/>
          <w:szCs w:val="20"/>
          <w:color w:val="auto"/>
        </w:rPr>
      </w:pPr>
      <w:r>
        <w:rPr>
          <w:rFonts w:ascii="Arial" w:cs="Arial" w:eastAsia="Arial" w:hAnsi="Arial"/>
          <w:sz w:val="18"/>
          <w:szCs w:val="18"/>
          <w:color w:val="auto"/>
        </w:rPr>
        <w:t>warrant was net exercised. The fair value of the warrant at the time of exercise was reclassified into the Company’s Class A common stock and additional paid-in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8"/>
              </w:rPr>
              <w:t>Three Months</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left="310"/>
              <w:spacing w:after="0" w:line="202" w:lineRule="exact"/>
              <w:rPr>
                <w:sz w:val="20"/>
                <w:szCs w:val="20"/>
                <w:color w:val="auto"/>
              </w:rPr>
            </w:pPr>
            <w:r>
              <w:rPr>
                <w:rFonts w:ascii="Arial" w:cs="Arial" w:eastAsia="Arial" w:hAnsi="Arial"/>
                <w:sz w:val="18"/>
                <w:szCs w:val="18"/>
                <w:b w:val="1"/>
                <w:bCs w:val="1"/>
                <w:color w:val="auto"/>
              </w:rPr>
              <w:t>Ended</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5"/>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Nine Months Ended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5"/>
        </w:trPr>
        <w:tc>
          <w:tcPr>
            <w:tcW w:w="3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w w:val="99"/>
              </w:rPr>
              <w:t>Change</w:t>
            </w:r>
          </w:p>
        </w:tc>
        <w:tc>
          <w:tcPr>
            <w:tcW w:w="18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9"/>
        </w:trPr>
        <w:tc>
          <w:tcPr>
            <w:tcW w:w="39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2020</w:t>
            </w:r>
          </w:p>
        </w:tc>
        <w:tc>
          <w:tcPr>
            <w:tcW w:w="18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8"/>
                <w:szCs w:val="18"/>
                <w:color w:val="auto"/>
              </w:rPr>
            </w:pPr>
          </w:p>
        </w:tc>
      </w:tr>
      <w:tr>
        <w:trPr>
          <w:trHeight w:val="209"/>
        </w:trPr>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3</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300% $</w:t>
            </w:r>
          </w:p>
        </w:tc>
        <w:tc>
          <w:tcPr>
            <w:tcW w:w="8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r>
      <w:tr>
        <w:trPr>
          <w:trHeight w:val="229"/>
        </w:trPr>
        <w:tc>
          <w:tcPr>
            <w:tcW w:w="3920" w:type="dxa"/>
            <w:vAlign w:val="bottom"/>
          </w:tcPr>
          <w:p>
            <w:pPr>
              <w:ind w:left="260"/>
              <w:spacing w:after="0"/>
              <w:rPr>
                <w:sz w:val="20"/>
                <w:szCs w:val="20"/>
                <w:color w:val="auto"/>
              </w:rPr>
            </w:pPr>
            <w:r>
              <w:rPr>
                <w:rFonts w:ascii="Arial" w:cs="Arial" w:eastAsia="Arial" w:hAnsi="Arial"/>
                <w:sz w:val="18"/>
                <w:szCs w:val="18"/>
                <w:color w:val="auto"/>
              </w:rPr>
              <w:t>Percentage of revenue</w:t>
            </w:r>
          </w:p>
        </w:tc>
        <w:tc>
          <w:tcPr>
            <w:tcW w:w="14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29" w:lineRule="exact"/>
        <w:rPr>
          <w:sz w:val="20"/>
          <w:szCs w:val="20"/>
          <w:color w:val="auto"/>
        </w:rPr>
      </w:pPr>
    </w:p>
    <w:p>
      <w:pPr>
        <w:jc w:val="both"/>
        <w:ind w:right="20" w:firstLine="637"/>
        <w:spacing w:after="0" w:line="246" w:lineRule="auto"/>
        <w:rPr>
          <w:sz w:val="20"/>
          <w:szCs w:val="20"/>
          <w:color w:val="auto"/>
        </w:rPr>
      </w:pPr>
      <w:r>
        <w:rPr>
          <w:rFonts w:ascii="Arial" w:cs="Arial" w:eastAsia="Arial" w:hAnsi="Arial"/>
          <w:sz w:val="18"/>
          <w:szCs w:val="18"/>
          <w:color w:val="auto"/>
        </w:rPr>
        <w:t>Provision for income taxes for the three and nine months ended September 30, 2021 increased $3 million and $10 million, respectively, compared to the same periods in 2020 primarily due to an increase of taxes related to our international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5"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As of September 30, 2021, we had cash, cash equivalents and marketable securities of $1.2 billion, a majority of which were held in cash deposits and money market funds, and were held for working capital purposes. We believe that our existing cash, cash equivalents and marketable securities will be sufficient to meet our anticipated cash needs for at least the next 12 months. Additional future financing may be necessary to fund our operations and there can be no assurance that, if needed, we will be able to secure additional debt or equity financing on terms acceptable to us or at all, especially in light of the market volatility and uncertainty as a result of the COVID-19 pandemic. Although we believe we have adequate sources of liquidity over the long term, the success of our operations, the global economic outlook, and the pace of sustainable growth in our markets, in each case, in light of the market volatility and uncertainty as a result of the COVID-19 pandemic, among other factors, could impact our business and liquidity.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November 2020 Credit Facility</w:t>
      </w:r>
    </w:p>
    <w:p>
      <w:pPr>
        <w:spacing w:after="0" w:line="8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In November 2020, we entered into the Revolving Credit Facility which enables us to borrow up to $280 million. The Revolving Credit Facility contains an accordion option which, if exercised and provided we are able to secure additional lender commitments and satisfy certain other conditions, would allow us to increase the aggregate commitments by up to $100 million. As of September 30, 2021, we had not made any borrowings under the Revolving Credit Facility. Refer to Note 7 to our condensed consolidated financial statements in Item 1 of Part I, “Financial Information” for additional details related to the Revolving Credit Facility.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8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3740" w:type="dxa"/>
            <w:vAlign w:val="bottom"/>
            <w:gridSpan w:val="3"/>
            <w:vMerge w:val="restart"/>
          </w:tcPr>
          <w:p>
            <w:pPr>
              <w:jc w:val="center"/>
              <w:ind w:left="290"/>
              <w:spacing w:after="0"/>
              <w:rPr>
                <w:sz w:val="20"/>
                <w:szCs w:val="20"/>
                <w:color w:val="auto"/>
              </w:rPr>
            </w:pPr>
            <w:r>
              <w:rPr>
                <w:rFonts w:ascii="Arial" w:cs="Arial" w:eastAsia="Arial" w:hAnsi="Arial"/>
                <w:sz w:val="18"/>
                <w:szCs w:val="18"/>
                <w:b w:val="1"/>
                <w:bCs w:val="1"/>
                <w:color w:val="auto"/>
                <w:w w:val="99"/>
              </w:rPr>
              <w:t>Nine Months Ended September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3740" w:type="dxa"/>
            <w:vAlign w:val="bottom"/>
            <w:tcBorders>
              <w:bottom w:val="single" w:sz="8" w:color="auto"/>
            </w:tcBorders>
            <w:gridSpan w:val="3"/>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40" w:type="dxa"/>
            <w:vAlign w:val="bottom"/>
            <w:gridSpan w:val="2"/>
          </w:tcPr>
          <w:p>
            <w:pPr>
              <w:jc w:val="center"/>
              <w:ind w:right="81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95"/>
              <w:spacing w:after="0"/>
              <w:rPr>
                <w:sz w:val="20"/>
                <w:szCs w:val="20"/>
                <w:color w:val="auto"/>
              </w:rPr>
            </w:pPr>
            <w:r>
              <w:rPr>
                <w:rFonts w:ascii="Arial" w:cs="Arial" w:eastAsia="Arial" w:hAnsi="Arial"/>
                <w:sz w:val="18"/>
                <w:szCs w:val="18"/>
                <w:color w:val="auto"/>
              </w:rPr>
              <w:t>(902)</w:t>
            </w:r>
          </w:p>
        </w:tc>
        <w:tc>
          <w:tcPr>
            <w:tcW w:w="1640" w:type="dxa"/>
            <w:vAlign w:val="bottom"/>
          </w:tcPr>
          <w:p>
            <w:pPr>
              <w:jc w:val="right"/>
              <w:ind w:right="12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3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16</w:t>
            </w:r>
          </w:p>
        </w:tc>
        <w:tc>
          <w:tcPr>
            <w:tcW w:w="16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1300" w:type="dxa"/>
            <w:vAlign w:val="bottom"/>
          </w:tcPr>
          <w:p>
            <w:pPr>
              <w:spacing w:after="0"/>
              <w:rPr>
                <w:sz w:val="19"/>
                <w:szCs w:val="19"/>
                <w:color w:val="auto"/>
              </w:rPr>
            </w:pPr>
          </w:p>
        </w:tc>
        <w:tc>
          <w:tcPr>
            <w:tcW w:w="80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99"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Our cash flows from operations are largely dependent on the amount of revenue we generate. Net cash provided by operating activities in each period presented has been influenced by changes in funds receivable, prepaid expenses, and other current and noncurrent assets, accounts payable, merchants payable, accrued and refund liabilities, lease liabilities, and other current and noncurrent liabilities.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1" w:name="page32"/>
    <w:bookmarkEnd w:id="31"/>
    <w:p>
      <w:pPr>
        <w:jc w:val="both"/>
        <w:ind w:firstLine="644"/>
        <w:spacing w:after="0" w:line="236" w:lineRule="auto"/>
        <w:rPr>
          <w:sz w:val="20"/>
          <w:szCs w:val="20"/>
          <w:color w:val="auto"/>
        </w:rPr>
      </w:pPr>
      <w:r>
        <w:rPr>
          <w:rFonts w:ascii="Arial" w:cs="Arial" w:eastAsia="Arial" w:hAnsi="Arial"/>
          <w:sz w:val="18"/>
          <w:szCs w:val="18"/>
          <w:color w:val="auto"/>
        </w:rPr>
        <w:t>Net cash used in our operating activities for the nine months ended September 30, 2021 was $902 million. This was primarily driven by our net loss of $303 million and $732 million unfavorable net working capital changes, which was partially offset by non-cash expenses, such as stock-based compensation expense of $104 million. Unfavorable working capital movement was mainly driven by accounts payable, merchants payable and accrued and refund liabilities. Accounts payable decreased by $364 million primarily due to our decision to significantly reduce digital advertising expenditures and the timing of payments and shorter vendor payment terms. Earlier during the COVID-19 pandemic, we were able to negotiate favorable payment terms with certain key digital advertising partners (45 days and 60 days). The payment terms with these key digital advertising partners reverted back to 30 days when the favorable terms expired on December 31, 2020. Merchants payable decreased by $238 million primarily due to lower volumes driven by reduced digital advertising expenditures that resulted in lower MAUs and LTM Active Buyers.</w:t>
      </w:r>
    </w:p>
    <w:p>
      <w:pPr>
        <w:spacing w:after="0" w:line="153"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Net cash provided by our operating activities for the nine months ended September 30, 2020 was $24 million. This was primarily driven by favorable net working capital changes of $121 million, the remeasurement of redeemable convertible preferred stock warrant liability of $ 55 million and non-cash expenses of $25 million consisting of non-cash lease expense, stock-based compensation and depreciation and amortization. These favorable items were partially offset by our net loss of $176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primary investing activities have consisted of investing excess cash balances in marketable securities.</w:t>
      </w:r>
    </w:p>
    <w:p>
      <w:pPr>
        <w:spacing w:after="0" w:line="158" w:lineRule="exact"/>
        <w:rPr>
          <w:sz w:val="20"/>
          <w:szCs w:val="20"/>
          <w:color w:val="auto"/>
        </w:rPr>
      </w:pPr>
    </w:p>
    <w:p>
      <w:pPr>
        <w:jc w:val="both"/>
        <w:ind w:right="20" w:firstLine="637"/>
        <w:spacing w:after="0" w:line="246" w:lineRule="auto"/>
        <w:rPr>
          <w:sz w:val="20"/>
          <w:szCs w:val="20"/>
          <w:color w:val="auto"/>
        </w:rPr>
      </w:pPr>
      <w:r>
        <w:rPr>
          <w:rFonts w:ascii="Arial" w:cs="Arial" w:eastAsia="Arial" w:hAnsi="Arial"/>
          <w:sz w:val="18"/>
          <w:szCs w:val="18"/>
          <w:color w:val="auto"/>
        </w:rPr>
        <w:t>Net cash provided by investing activities was $16 million for the nine months ended September 30, 2021. This was primarily due to $252 million in maturities and sales of marketable securities, partially offset by purchases of $235 million of marketable securities.</w:t>
      </w:r>
    </w:p>
    <w:p>
      <w:pPr>
        <w:spacing w:after="0" w:line="143" w:lineRule="exact"/>
        <w:rPr>
          <w:sz w:val="20"/>
          <w:szCs w:val="20"/>
          <w:color w:val="auto"/>
        </w:rPr>
      </w:pPr>
    </w:p>
    <w:p>
      <w:pPr>
        <w:jc w:val="both"/>
        <w:ind w:right="20" w:firstLine="637"/>
        <w:spacing w:after="0" w:line="246" w:lineRule="auto"/>
        <w:rPr>
          <w:sz w:val="20"/>
          <w:szCs w:val="20"/>
          <w:color w:val="auto"/>
        </w:rPr>
      </w:pPr>
      <w:r>
        <w:rPr>
          <w:rFonts w:ascii="Arial" w:cs="Arial" w:eastAsia="Arial" w:hAnsi="Arial"/>
          <w:sz w:val="18"/>
          <w:szCs w:val="18"/>
          <w:color w:val="auto"/>
        </w:rPr>
        <w:t>Net cash provided by investing activities was $77 million for the nine months ended September 30, 2020. This was primarily due to $303 million maturities of marketable securities, partially offset by $225 million purchases of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85" w:lineRule="exact"/>
        <w:rPr>
          <w:sz w:val="20"/>
          <w:szCs w:val="20"/>
          <w:color w:val="auto"/>
        </w:rPr>
      </w:pPr>
    </w:p>
    <w:p>
      <w:pPr>
        <w:jc w:val="both"/>
        <w:ind w:right="20" w:firstLine="637"/>
        <w:spacing w:after="0" w:line="246" w:lineRule="auto"/>
        <w:rPr>
          <w:sz w:val="20"/>
          <w:szCs w:val="20"/>
          <w:color w:val="auto"/>
        </w:rPr>
      </w:pPr>
      <w:r>
        <w:rPr>
          <w:rFonts w:ascii="Arial" w:cs="Arial" w:eastAsia="Arial" w:hAnsi="Arial"/>
          <w:sz w:val="18"/>
          <w:szCs w:val="18"/>
          <w:color w:val="auto"/>
        </w:rPr>
        <w:t>Net cash provided by (used in) our financing activities was nil and/or insignificant for each of the nine months ended September 30, 2021 and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85"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For the three and nine months ended September 30, 2021 and 2020,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are involved in claims, lawsuits, government investigations, securities class action lawsuits and proceedings arising from the ordinary course of our business. We record a provision for a liability when we believe that it is both probable that a liability has been incurred, and the amount can be reasonably estimated. Significant judgment is required to determine both probability and the estimated amount. Such legal proceedings are inherently unpredictable and subject to significant uncertainties, some of which are beyond our control. Should any of these estimates and assumptions change or prove to be incorrect, it could have a material impact on our results of operations, financial position, and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On an ongoing basis, we evaluate our estimates, including those listed below. We base our estimates on historical facts and various other assumptions that we believe to be reasonable at the time the estimates are made. Actual results could differ from those estimates.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Our critical accounting policies are as follows:</w:t>
      </w:r>
    </w:p>
    <w:p>
      <w:pPr>
        <w:spacing w:after="0" w:line="104" w:lineRule="exact"/>
        <w:rPr>
          <w:sz w:val="20"/>
          <w:szCs w:val="20"/>
          <w:color w:val="auto"/>
        </w:rPr>
      </w:pPr>
    </w:p>
    <w:p>
      <w:pPr>
        <w:ind w:left="1320" w:hanging="367"/>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 w:lineRule="exact"/>
        <w:rPr>
          <w:rFonts w:ascii="Arial" w:cs="Arial" w:eastAsia="Arial" w:hAnsi="Arial"/>
          <w:sz w:val="18"/>
          <w:szCs w:val="18"/>
          <w:color w:val="auto"/>
        </w:rPr>
      </w:pPr>
    </w:p>
    <w:p>
      <w:pPr>
        <w:ind w:left="1320" w:hanging="367"/>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lease obligations;</w:t>
      </w:r>
    </w:p>
    <w:p>
      <w:pPr>
        <w:spacing w:after="0" w:line="9" w:lineRule="exact"/>
        <w:rPr>
          <w:rFonts w:ascii="Arial" w:cs="Arial" w:eastAsia="Arial" w:hAnsi="Arial"/>
          <w:sz w:val="18"/>
          <w:szCs w:val="18"/>
          <w:color w:val="auto"/>
        </w:rPr>
      </w:pPr>
    </w:p>
    <w:p>
      <w:pPr>
        <w:ind w:left="1320" w:hanging="367"/>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Stock-based compensation; and</w:t>
      </w:r>
    </w:p>
    <w:p>
      <w:pPr>
        <w:spacing w:after="0" w:line="9" w:lineRule="exact"/>
        <w:rPr>
          <w:rFonts w:ascii="Arial" w:cs="Arial" w:eastAsia="Arial" w:hAnsi="Arial"/>
          <w:sz w:val="18"/>
          <w:szCs w:val="18"/>
          <w:color w:val="auto"/>
        </w:rPr>
      </w:pPr>
    </w:p>
    <w:p>
      <w:pPr>
        <w:ind w:left="1320" w:hanging="367"/>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71" w:lineRule="exact"/>
        <w:rPr>
          <w:sz w:val="20"/>
          <w:szCs w:val="20"/>
          <w:color w:val="auto"/>
        </w:rPr>
      </w:pPr>
    </w:p>
    <w:p>
      <w:pPr>
        <w:jc w:val="both"/>
        <w:ind w:right="20" w:firstLine="644"/>
        <w:spacing w:after="0" w:line="246" w:lineRule="auto"/>
        <w:rPr>
          <w:sz w:val="20"/>
          <w:szCs w:val="20"/>
          <w:color w:val="auto"/>
        </w:rPr>
      </w:pPr>
      <w:r>
        <w:rPr>
          <w:rFonts w:ascii="Arial" w:cs="Arial" w:eastAsia="Arial" w:hAnsi="Arial"/>
          <w:sz w:val="18"/>
          <w:szCs w:val="18"/>
          <w:color w:val="auto"/>
        </w:rPr>
        <w:t>Our critical accounting policies are important to the portrayal of our financial condition and results of operations, and require us to make judgments and estimates about matters that are inherently uncertain.</w:t>
      </w:r>
    </w:p>
    <w:p>
      <w:pPr>
        <w:spacing w:after="0" w:line="143" w:lineRule="exact"/>
        <w:rPr>
          <w:sz w:val="20"/>
          <w:szCs w:val="20"/>
          <w:color w:val="auto"/>
        </w:rPr>
      </w:pPr>
    </w:p>
    <w:p>
      <w:pPr>
        <w:jc w:val="both"/>
        <w:ind w:right="20" w:firstLine="644"/>
        <w:spacing w:after="0" w:line="246"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our Annual Report on Form 10-K for the year ended December 31, 2020, filed with the SEC on March 25,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of Part I, Item 1 of this Quarterly Report on Form 10-Q for a full description of recent accounting pronouncements.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We have operations both within the U.S. and internationally, and we are exposed to market risks in the ordinary course of our business, including the effects of interest rate changes, inflation risk, and foreign currency fluctuations that could adversely affect our consolidated financial position, results of operations, or cash flows. We manage these risks through regular operating and financing activities and, at certain times, derivative financial instruments. Information relating to quantitative and qualitative disclosures about these market risks is described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9"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Cash, cash equivalents and marketable securities as of September 30, 2021 were held primarily in cash deposits and money market funds. The fair value of our cash, cash equivalents, and investments would not be significantly affected by either an increase or decrease in interest rates due mainly to the short-term nature of these instruments. A 100 basis point increase or decrease in our current interest rates would have increased or decreased our interest income by $12 million for each of the three and nine months ended September 30,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8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We transact business in various foreign countries and are, therefore, subject to risk of foreign currency exchange rate fluctuations. We have established a foreign currency risk management policy to provide process and procedures for managing this risk. We use natural hedging techniques first to net off existing foreign currency exposures. For the remaining exposure, we may enter into short term foreign exchange derivative contracts, including forward contracts to hedge exposures associated with monetary assets and liabilities, mainly merchants payable, and cash flows denominated in non-functional currencies.</w:t>
      </w:r>
    </w:p>
    <w:p>
      <w:pPr>
        <w:spacing w:after="0" w:line="148"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credit risk of our foreign exchange derivative contracts is minimized since contracts are not concentrated with any one financial institution and all contracts are only placed with large financial institutions. The gains and losses on foreign exchange derivative contracts generally offset the losses and gains on the assets, liabilities and transactions hedged. The fair value of foreign exchange derivative contracts is reported in the condensed consolidated balance sheets. The majority of these foreign exchange contracts expire in less than three months and all expire within one year. Refer to Note 5 to our condensed consolidated financial statements in Item 1 of Part I, “Financial Statements” for more information related to our derivative financial instruments.</w:t>
      </w:r>
    </w:p>
    <w:p>
      <w:pPr>
        <w:spacing w:after="0" w:line="151" w:lineRule="exact"/>
        <w:rPr>
          <w:sz w:val="20"/>
          <w:szCs w:val="20"/>
          <w:color w:val="auto"/>
        </w:rPr>
      </w:pPr>
    </w:p>
    <w:p>
      <w:pPr>
        <w:jc w:val="both"/>
        <w:ind w:right="20" w:firstLine="637"/>
        <w:spacing w:after="0" w:line="238" w:lineRule="auto"/>
        <w:rPr>
          <w:sz w:val="20"/>
          <w:szCs w:val="20"/>
          <w:color w:val="auto"/>
        </w:rPr>
      </w:pPr>
      <w:r>
        <w:rPr>
          <w:rFonts w:ascii="Arial" w:cs="Arial" w:eastAsia="Arial" w:hAnsi="Arial"/>
          <w:sz w:val="18"/>
          <w:szCs w:val="18"/>
          <w:color w:val="auto"/>
        </w:rPr>
        <w:t>Based on our overall currency rate exposures as of September 30, 2021, including the derivative financial instruments intended to hedge the nonfunctional currency-denominated monetary assets, liabilities and cash flows, and other factors, a 10% appreciation or depreciation of the U.S. dollar from its cross-functional rates would not be expected, in the aggregate, to have a material effect on our financial position, results of operations and cash flows in the near-term.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8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As of the date of filing of this Quarterly Report, we do not believe that inflation has had a material effect on our business, financial condition, or results of operations. If the Company’s costs were to become subject to significant inflationary pressures, the Company may not be able to fully offset such higher costs through increases in revenue as increases in core inflation rates may also affect consumers’ willingness to make discretionary purchases on our platforms.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Company’s inability or failure to do so could harm the Company’s business, financial condition, and results of operations.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0"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 as of the end of the period covered by this report. Based on management’s evaluation, our principal executive officer and principal financial officer concluded that our disclosure controls and procedures are effective at a reasonable assurance level as of September 30, 2021.</w:t>
      </w:r>
    </w:p>
    <w:p>
      <w:pPr>
        <w:spacing w:after="0" w:line="148"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0"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three months ended September 30, 2021 that have materially affected, or are reasonably likely to materially affect, our internal control over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Information with respect to this item may be found in Note 7, Commitments and Contingencies, in our Notes to Unaudited Condensed Consolidated Financial Statements included in Part I, Item 1, of this Quarterly Report on Form 10-Q, which information is incorporated herein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0"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You should carefully consider the risks and uncertainties described under the heading "Risk Factors" in Part I, Item 1A of our Annual Report on Form 10-K for the year ended December 31, 2020 (the "2020 Form 10-K"), together with all of the other information contained in this Quarterly Report on Form 10-Q, including our condensed consolidated financial statements and related notes, before making a decision to invest in our Class A common stock. Additional risks and uncertainties that we are unaware of, or that we currently believe are not material, may also become important factors that affect our business. These risk factors could materially and adversely affect our business, financial condition and results of operations, and the market price of our Class A common stock could decline. These risk factors do not identify all risks that we face –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There have been no additional material changes from the risks and uncertainties previously disclosed under the "Risk Factors" section in our 2020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ind w:left="1020" w:right="7200" w:hanging="368"/>
        <w:spacing w:after="0" w:line="392" w:lineRule="auto"/>
        <w:tabs>
          <w:tab w:leader="none" w:pos="91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Unregistered Sales of Equity Securities </w:t>
      </w:r>
      <w:r>
        <w:rPr>
          <w:rFonts w:ascii="Arial" w:cs="Arial" w:eastAsia="Arial" w:hAnsi="Arial"/>
          <w:sz w:val="18"/>
          <w:szCs w:val="18"/>
          <w:color w:val="auto"/>
        </w:rPr>
        <w:t>None</w:t>
      </w:r>
    </w:p>
    <w:p>
      <w:pPr>
        <w:spacing w:after="0" w:line="39" w:lineRule="exact"/>
        <w:rPr>
          <w:rFonts w:ascii="Arial" w:cs="Arial" w:eastAsia="Arial" w:hAnsi="Arial"/>
          <w:sz w:val="18"/>
          <w:szCs w:val="18"/>
          <w:i w:val="1"/>
          <w:iCs w:val="1"/>
          <w:color w:val="auto"/>
        </w:rPr>
      </w:pPr>
    </w:p>
    <w:p>
      <w:pPr>
        <w:ind w:left="920" w:hanging="268"/>
        <w:spacing w:after="0"/>
        <w:tabs>
          <w:tab w:leader="none" w:pos="9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Use of Proceeds</w:t>
      </w:r>
    </w:p>
    <w:p>
      <w:pPr>
        <w:spacing w:after="0" w:line="122"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Our IPO of Class A common stock was effected through a Registration Statement on Form S-1 (File Nos. 333-250531), which was declared or became effective on December 15, 2020. There has been no material change in the use of proceeds from our IPO as described in our final prospectus dated December 15, 2020 filed with the Securities and Exchange Commission, or SEC, pursuant to Rule 424(b) of the Securities Act of 1933, as amended, or the Securities Act.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5"/>
        </w:trPr>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7860" w:type="dxa"/>
            <w:vAlign w:val="bottom"/>
            <w:tcBorders>
              <w:bottom w:val="single" w:sz="8" w:color="auto"/>
            </w:tcBorders>
            <w:gridSpan w:val="6"/>
          </w:tcPr>
          <w:p>
            <w:pPr>
              <w:ind w:left="2380"/>
              <w:spacing w:after="0"/>
              <w:rPr>
                <w:sz w:val="20"/>
                <w:szCs w:val="20"/>
                <w:color w:val="auto"/>
              </w:rPr>
            </w:pPr>
            <w:r>
              <w:rPr>
                <w:rFonts w:ascii="Arial" w:cs="Arial" w:eastAsia="Arial" w:hAnsi="Arial"/>
                <w:sz w:val="14"/>
                <w:szCs w:val="14"/>
                <w:b w:val="1"/>
                <w:bCs w:val="1"/>
                <w:color w:val="auto"/>
              </w:rPr>
              <w:t>Description</w:t>
            </w:r>
          </w:p>
        </w:tc>
      </w:tr>
      <w:tr>
        <w:trPr>
          <w:trHeight w:val="236"/>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0"/>
                <w:szCs w:val="20"/>
                <w:color w:val="auto"/>
              </w:rPr>
            </w:pPr>
          </w:p>
        </w:tc>
        <w:tc>
          <w:tcPr>
            <w:tcW w:w="980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Certification of Principal Executive Officer Pursuant to Rules 13a-14(a) and 15d-14(a) under the Securities Exchange Act of</w:t>
              </w:r>
            </w:hyperlink>
          </w:p>
        </w:tc>
        <w:tc>
          <w:tcPr>
            <w:tcW w:w="360" w:type="dxa"/>
            <w:vAlign w:val="bottom"/>
          </w:tcPr>
          <w:p>
            <w:pPr>
              <w:spacing w:after="0"/>
              <w:rPr>
                <w:sz w:val="20"/>
                <w:szCs w:val="20"/>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60" w:type="dxa"/>
            <w:vAlign w:val="bottom"/>
            <w:gridSpan w:val="7"/>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1934, as Adopted Pursuant to Section 302 of the Sarbanes-Oxley Act of 2002.</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331"/>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74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Certification of Principal Financial Officer Pursuant to Rules 13a-14(a) and 15d-14(a) under the Securities Exchange Act of</w:t>
              </w:r>
            </w:hyperlink>
          </w:p>
        </w:tc>
        <w:tc>
          <w:tcPr>
            <w:tcW w:w="420" w:type="dxa"/>
            <w:vAlign w:val="bottom"/>
            <w:gridSpan w:val="2"/>
          </w:tcPr>
          <w:p>
            <w:pPr>
              <w:spacing w:after="0"/>
              <w:rPr>
                <w:sz w:val="24"/>
                <w:szCs w:val="24"/>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60" w:type="dxa"/>
            <w:vAlign w:val="bottom"/>
            <w:gridSpan w:val="7"/>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1934, as Adopted Pursuant to Section 302 of the Sarbanes-Oxley Act of 2002.</w:t>
              </w:r>
            </w:hyperlink>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331"/>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6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Certification of Principal Executive Officer Pursuant to 18 U.S.C. Section 1350, as Adopted Pursuant to Section 906 of the</w:t>
              </w:r>
            </w:hyperlink>
          </w:p>
        </w:tc>
        <w:tc>
          <w:tcPr>
            <w:tcW w:w="480" w:type="dxa"/>
            <w:vAlign w:val="bottom"/>
            <w:gridSpan w:val="3"/>
          </w:tcPr>
          <w:p>
            <w:pPr>
              <w:spacing w:after="0"/>
              <w:rPr>
                <w:sz w:val="24"/>
                <w:szCs w:val="24"/>
                <w:color w:val="auto"/>
              </w:rPr>
            </w:pPr>
          </w:p>
        </w:tc>
      </w:tr>
      <w:tr>
        <w:trPr>
          <w:trHeight w:val="182"/>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Sarbanes-Oxley Act of 2002.</w:t>
              </w:r>
            </w:hyperlink>
          </w:p>
        </w:tc>
        <w:tc>
          <w:tcPr>
            <w:tcW w:w="7860" w:type="dxa"/>
            <w:vAlign w:val="bottom"/>
            <w:gridSpan w:val="6"/>
          </w:tcPr>
          <w:p>
            <w:pPr>
              <w:spacing w:after="0"/>
              <w:rPr>
                <w:sz w:val="15"/>
                <w:szCs w:val="15"/>
                <w:color w:val="auto"/>
              </w:rPr>
            </w:pPr>
          </w:p>
        </w:tc>
      </w:tr>
      <w:tr>
        <w:trPr>
          <w:trHeight w:val="331"/>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62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Certification of Principal Financial Officer Pursuant to 18 U.S.C. Section 1350, as Adopted Pursuant to Section 906 of the</w:t>
              </w:r>
            </w:hyperlink>
          </w:p>
        </w:tc>
        <w:tc>
          <w:tcPr>
            <w:tcW w:w="540" w:type="dxa"/>
            <w:vAlign w:val="bottom"/>
            <w:gridSpan w:val="4"/>
          </w:tcPr>
          <w:p>
            <w:pPr>
              <w:spacing w:after="0"/>
              <w:rPr>
                <w:sz w:val="24"/>
                <w:szCs w:val="24"/>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Sarbanes-Oxley Act of 2002.</w:t>
              </w:r>
            </w:hyperlink>
          </w:p>
        </w:tc>
        <w:tc>
          <w:tcPr>
            <w:tcW w:w="7860" w:type="dxa"/>
            <w:vAlign w:val="bottom"/>
            <w:gridSpan w:val="6"/>
          </w:tcPr>
          <w:p>
            <w:pPr>
              <w:spacing w:after="0"/>
              <w:rPr>
                <w:sz w:val="15"/>
                <w:szCs w:val="15"/>
                <w:color w:val="auto"/>
              </w:rPr>
            </w:pPr>
          </w:p>
        </w:tc>
      </w:tr>
      <w:tr>
        <w:trPr>
          <w:trHeight w:val="357"/>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w:t>
            </w:r>
          </w:p>
        </w:tc>
      </w:tr>
      <w:tr>
        <w:trPr>
          <w:trHeight w:val="216"/>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7"/>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8"/>
                <w:szCs w:val="18"/>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7"/>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2"/>
                <w:szCs w:val="22"/>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6"/>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2"/>
                <w:szCs w:val="22"/>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7"/>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2"/>
                <w:szCs w:val="22"/>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57"/>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5"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04"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ContextLogic Inc.</w:t>
      </w:r>
    </w:p>
    <w:p>
      <w:pPr>
        <w:spacing w:after="0" w:line="239" w:lineRule="exact"/>
        <w:rPr>
          <w:sz w:val="20"/>
          <w:szCs w:val="20"/>
          <w:color w:val="auto"/>
        </w:rPr>
      </w:pPr>
    </w:p>
    <w:p>
      <w:pPr>
        <w:spacing w:after="0"/>
        <w:tabs>
          <w:tab w:leader="none" w:pos="5620" w:val="left"/>
          <w:tab w:leader="none" w:pos="776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Piotr Szulczewski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Piotr Szulczewski</w:t>
      </w:r>
    </w:p>
    <w:p>
      <w:pPr>
        <w:spacing w:after="0" w:line="22"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(Principal Executive Officer)</w:t>
      </w:r>
    </w:p>
    <w:p>
      <w:pPr>
        <w:spacing w:after="0" w:line="266" w:lineRule="exact"/>
        <w:rPr>
          <w:sz w:val="20"/>
          <w:szCs w:val="20"/>
          <w:color w:val="auto"/>
        </w:rPr>
      </w:pPr>
    </w:p>
    <w:p>
      <w:pPr>
        <w:ind w:left="5640"/>
        <w:spacing w:after="0"/>
        <w:tabs>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Brett Just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Brett Just</w:t>
      </w:r>
    </w:p>
    <w:p>
      <w:pPr>
        <w:spacing w:after="0" w:line="22"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576"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Piotr Szulczewski, certify that:</w:t>
      </w:r>
    </w:p>
    <w:p>
      <w:pPr>
        <w:spacing w:after="0" w:line="104"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Inc.;</w:t>
      </w:r>
    </w:p>
    <w:p>
      <w:pPr>
        <w:spacing w:after="0" w:line="103" w:lineRule="exact"/>
        <w:rPr>
          <w:rFonts w:ascii="Arial" w:cs="Arial" w:eastAsia="Arial" w:hAnsi="Arial"/>
          <w:sz w:val="18"/>
          <w:szCs w:val="18"/>
          <w:color w:val="auto"/>
        </w:rPr>
      </w:pPr>
    </w:p>
    <w:p>
      <w:pPr>
        <w:ind w:left="580" w:right="2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80" w:right="1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80" w:right="280" w:hanging="572"/>
        <w:spacing w:after="0" w:line="246"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8" w:lineRule="exact"/>
        <w:rPr>
          <w:rFonts w:ascii="Arial" w:cs="Arial" w:eastAsia="Arial" w:hAnsi="Arial"/>
          <w:sz w:val="18"/>
          <w:szCs w:val="18"/>
          <w:color w:val="auto"/>
        </w:rPr>
      </w:pPr>
    </w:p>
    <w:p>
      <w:pPr>
        <w:ind w:left="1160" w:right="140" w:hanging="572"/>
        <w:spacing w:after="0"/>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160" w:hanging="572"/>
        <w:spacing w:after="0"/>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[Omitted];</w:t>
      </w:r>
    </w:p>
    <w:p>
      <w:pPr>
        <w:spacing w:after="0" w:line="103" w:lineRule="exact"/>
        <w:rPr>
          <w:rFonts w:ascii="Arial" w:cs="Arial" w:eastAsia="Arial" w:hAnsi="Arial"/>
          <w:sz w:val="18"/>
          <w:szCs w:val="18"/>
          <w:color w:val="auto"/>
        </w:rPr>
      </w:pPr>
    </w:p>
    <w:p>
      <w:pPr>
        <w:jc w:val="both"/>
        <w:ind w:left="1160" w:right="60" w:hanging="572"/>
        <w:spacing w:after="0"/>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160" w:right="200" w:hanging="572"/>
        <w:spacing w:after="0"/>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80" w:right="20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160" w:right="60" w:hanging="572"/>
        <w:spacing w:after="0"/>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160" w:right="900" w:hanging="572"/>
        <w:spacing w:after="0" w:line="246"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tabs>
          <w:tab w:leader="none" w:pos="5600" w:val="left"/>
          <w:tab w:leader="none" w:pos="776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Piotr Szulczewski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-1905</wp:posOffset>
            </wp:positionV>
            <wp:extent cx="33515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jc w:val="center"/>
        <w:ind w:left="5940"/>
        <w:spacing w:after="0"/>
        <w:rPr>
          <w:sz w:val="20"/>
          <w:szCs w:val="20"/>
          <w:color w:val="auto"/>
        </w:rPr>
      </w:pPr>
      <w:r>
        <w:rPr>
          <w:rFonts w:ascii="Arial" w:cs="Arial" w:eastAsia="Arial" w:hAnsi="Arial"/>
          <w:sz w:val="18"/>
          <w:szCs w:val="18"/>
          <w:b w:val="1"/>
          <w:bCs w:val="1"/>
          <w:color w:val="auto"/>
        </w:rPr>
        <w:t>Piotr Szulczewski</w:t>
      </w:r>
    </w:p>
    <w:p>
      <w:pPr>
        <w:jc w:val="center"/>
        <w:ind w:left="594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Vivian Liu, certify that:</w:t>
      </w:r>
    </w:p>
    <w:p>
      <w:pPr>
        <w:spacing w:after="0" w:line="104"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ContextLogic Inc.;</w:t>
      </w:r>
    </w:p>
    <w:p>
      <w:pPr>
        <w:spacing w:after="0" w:line="103" w:lineRule="exact"/>
        <w:rPr>
          <w:rFonts w:ascii="Arial" w:cs="Arial" w:eastAsia="Arial" w:hAnsi="Arial"/>
          <w:sz w:val="18"/>
          <w:szCs w:val="18"/>
          <w:color w:val="auto"/>
        </w:rPr>
      </w:pPr>
    </w:p>
    <w:p>
      <w:pPr>
        <w:ind w:left="580" w:right="2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80" w:right="1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80" w:right="280" w:hanging="572"/>
        <w:spacing w:after="0" w:line="246"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8" w:lineRule="exact"/>
        <w:rPr>
          <w:rFonts w:ascii="Arial" w:cs="Arial" w:eastAsia="Arial" w:hAnsi="Arial"/>
          <w:sz w:val="18"/>
          <w:szCs w:val="18"/>
          <w:color w:val="auto"/>
        </w:rPr>
      </w:pPr>
    </w:p>
    <w:p>
      <w:pPr>
        <w:ind w:left="1160" w:right="140" w:hanging="572"/>
        <w:spacing w:after="0"/>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160" w:hanging="572"/>
        <w:spacing w:after="0"/>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[Omitted];</w:t>
      </w:r>
    </w:p>
    <w:p>
      <w:pPr>
        <w:spacing w:after="0" w:line="103" w:lineRule="exact"/>
        <w:rPr>
          <w:rFonts w:ascii="Arial" w:cs="Arial" w:eastAsia="Arial" w:hAnsi="Arial"/>
          <w:sz w:val="18"/>
          <w:szCs w:val="18"/>
          <w:color w:val="auto"/>
        </w:rPr>
      </w:pPr>
    </w:p>
    <w:p>
      <w:pPr>
        <w:jc w:val="both"/>
        <w:ind w:left="1160" w:right="60" w:hanging="572"/>
        <w:spacing w:after="0"/>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160" w:right="200" w:hanging="572"/>
        <w:spacing w:after="0"/>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80" w:right="20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160" w:right="60" w:hanging="572"/>
        <w:spacing w:after="0"/>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160" w:right="900" w:hanging="572"/>
        <w:spacing w:after="0" w:line="246"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tabs>
          <w:tab w:leader="none" w:pos="5600" w:val="left"/>
          <w:tab w:leader="none" w:pos="80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-1905</wp:posOffset>
            </wp:positionV>
            <wp:extent cx="33515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jc w:val="center"/>
        <w:ind w:left="5940"/>
        <w:spacing w:after="0"/>
        <w:rPr>
          <w:sz w:val="20"/>
          <w:szCs w:val="20"/>
          <w:color w:val="auto"/>
        </w:rPr>
      </w:pPr>
      <w:r>
        <w:rPr>
          <w:rFonts w:ascii="Arial" w:cs="Arial" w:eastAsia="Arial" w:hAnsi="Arial"/>
          <w:sz w:val="18"/>
          <w:szCs w:val="18"/>
          <w:b w:val="1"/>
          <w:bCs w:val="1"/>
          <w:color w:val="auto"/>
        </w:rPr>
        <w:t>Vivian Liu</w:t>
      </w:r>
    </w:p>
    <w:p>
      <w:pPr>
        <w:jc w:val="center"/>
        <w:ind w:left="59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6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left="340" w:right="2580"/>
        <w:spacing w:after="0" w:line="253"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91" w:lineRule="exact"/>
        <w:rPr>
          <w:sz w:val="20"/>
          <w:szCs w:val="20"/>
          <w:color w:val="auto"/>
        </w:rPr>
      </w:pPr>
    </w:p>
    <w:p>
      <w:pPr>
        <w:ind w:right="20" w:firstLine="589"/>
        <w:spacing w:after="0"/>
        <w:rPr>
          <w:sz w:val="20"/>
          <w:szCs w:val="20"/>
          <w:color w:val="auto"/>
        </w:rPr>
      </w:pPr>
      <w:r>
        <w:rPr>
          <w:rFonts w:ascii="Arial" w:cs="Arial" w:eastAsia="Arial" w:hAnsi="Arial"/>
          <w:sz w:val="18"/>
          <w:szCs w:val="18"/>
          <w:color w:val="auto"/>
        </w:rPr>
        <w:t>In connection with the Quarterly Report of ContextLogic Inc. (the “Company”) on Form 10-Q for the period ended September 30, 2021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160" w:hanging="572"/>
        <w:spacing w:after="0" w:line="246"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6" w:lineRule="exact"/>
        <w:rPr>
          <w:rFonts w:ascii="Arial" w:cs="Arial" w:eastAsia="Arial" w:hAnsi="Arial"/>
          <w:sz w:val="18"/>
          <w:szCs w:val="18"/>
          <w:color w:val="auto"/>
        </w:rPr>
      </w:pPr>
    </w:p>
    <w:p>
      <w:pPr>
        <w:ind w:left="1160" w:right="80" w:hanging="572"/>
        <w:spacing w:after="0" w:line="246"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 presented therein.</w:t>
      </w:r>
    </w:p>
    <w:p>
      <w:pPr>
        <w:spacing w:after="0" w:line="237" w:lineRule="exact"/>
        <w:rPr>
          <w:sz w:val="20"/>
          <w:szCs w:val="20"/>
          <w:color w:val="auto"/>
        </w:rPr>
      </w:pPr>
    </w:p>
    <w:p>
      <w:pPr>
        <w:spacing w:after="0"/>
        <w:tabs>
          <w:tab w:leader="none" w:pos="5680" w:val="left"/>
          <w:tab w:leader="none" w:pos="77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Piotr Szulczewski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rPr>
          <w:sz w:val="20"/>
          <w:szCs w:val="20"/>
          <w:color w:val="auto"/>
        </w:rPr>
      </w:pPr>
      <w:r>
        <w:rPr>
          <w:rFonts w:ascii="Arial" w:cs="Arial" w:eastAsia="Arial" w:hAnsi="Arial"/>
          <w:sz w:val="18"/>
          <w:szCs w:val="18"/>
          <w:b w:val="1"/>
          <w:bCs w:val="1"/>
          <w:color w:val="auto"/>
        </w:rPr>
        <w:t>Piotr Szulczewski</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left="340" w:right="2580"/>
        <w:spacing w:after="0" w:line="253"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91" w:lineRule="exact"/>
        <w:rPr>
          <w:sz w:val="20"/>
          <w:szCs w:val="20"/>
          <w:color w:val="auto"/>
        </w:rPr>
      </w:pPr>
    </w:p>
    <w:p>
      <w:pPr>
        <w:ind w:right="20" w:firstLine="589"/>
        <w:spacing w:after="0"/>
        <w:rPr>
          <w:sz w:val="20"/>
          <w:szCs w:val="20"/>
          <w:color w:val="auto"/>
        </w:rPr>
      </w:pPr>
      <w:r>
        <w:rPr>
          <w:rFonts w:ascii="Arial" w:cs="Arial" w:eastAsia="Arial" w:hAnsi="Arial"/>
          <w:sz w:val="18"/>
          <w:szCs w:val="18"/>
          <w:color w:val="auto"/>
        </w:rPr>
        <w:t>In connection with the Quarterly Report of ContextLogic Inc. (the “Company”) on Form 10-Q for the period ended September 30, 2021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160" w:hanging="572"/>
        <w:spacing w:after="0" w:line="246"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6" w:lineRule="exact"/>
        <w:rPr>
          <w:rFonts w:ascii="Arial" w:cs="Arial" w:eastAsia="Arial" w:hAnsi="Arial"/>
          <w:sz w:val="18"/>
          <w:szCs w:val="18"/>
          <w:color w:val="auto"/>
        </w:rPr>
      </w:pPr>
    </w:p>
    <w:p>
      <w:pPr>
        <w:ind w:left="1160" w:right="80" w:hanging="572"/>
        <w:spacing w:after="0" w:line="246"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 for the period presented therein.</w:t>
      </w:r>
    </w:p>
    <w:p>
      <w:pPr>
        <w:spacing w:after="0" w:line="237" w:lineRule="exact"/>
        <w:rPr>
          <w:sz w:val="20"/>
          <w:szCs w:val="20"/>
          <w:color w:val="auto"/>
        </w:rPr>
      </w:pPr>
    </w:p>
    <w:p>
      <w:pPr>
        <w:spacing w:after="0"/>
        <w:tabs>
          <w:tab w:leader="none" w:pos="5680" w:val="left"/>
          <w:tab w:leader="none" w:pos="810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rPr>
          <w:sz w:val="20"/>
          <w:szCs w:val="20"/>
          <w:color w:val="auto"/>
        </w:rPr>
      </w:pPr>
      <w:r>
        <w:rPr>
          <w:rFonts w:ascii="Arial" w:cs="Arial" w:eastAsia="Arial" w:hAnsi="Arial"/>
          <w:sz w:val="18"/>
          <w:szCs w:val="18"/>
          <w:b w:val="1"/>
          <w:bCs w:val="1"/>
          <w:color w:val="auto"/>
        </w:rPr>
        <w:t>Vivian Liu</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2021-11-10T15:43:03Z</dcterms:created>
  <dcterms:modified xsi:type="dcterms:W3CDTF">2021-11-10T15:43:03Z</dcterms:modified>
</cp:coreProperties>
</file>