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 w:lineRule="exact"/>
        <w:rPr>
          <w:sz w:val="24"/>
          <w:szCs w:val="24"/>
          <w:color w:val="auto"/>
        </w:rPr>
      </w:pPr>
    </w:p>
    <w:p>
      <w:pPr>
        <w:ind w:left="3660" w:right="1540" w:hanging="3652"/>
        <w:spacing w:after="0" w:line="344" w:lineRule="auto"/>
        <w:tabs>
          <w:tab w:leader="none" w:pos="47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26" w:lineRule="exact"/>
        <w:rPr>
          <w:sz w:val="24"/>
          <w:szCs w:val="24"/>
          <w:color w:val="auto"/>
        </w:rPr>
      </w:pPr>
    </w:p>
    <w:p>
      <w:pPr>
        <w:ind w:left="4100" w:right="1540" w:hanging="4092"/>
        <w:spacing w:after="0" w:line="373" w:lineRule="auto"/>
        <w:tabs>
          <w:tab w:leader="none" w:pos="47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Commission File Number: </w:t>
      </w:r>
      <w:r>
        <w:rPr>
          <w:rFonts w:ascii="Arial" w:cs="Arial" w:eastAsia="Arial" w:hAnsi="Arial"/>
          <w:sz w:val="16"/>
          <w:szCs w:val="16"/>
          <w:b w:val="1"/>
          <w:bCs w:val="1"/>
          <w:color w:val="auto"/>
        </w:rPr>
        <w:t>001-39775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43"/>
          <w:szCs w:val="43"/>
          <w:b w:val="1"/>
          <w:bCs w:val="1"/>
          <w:color w:val="auto"/>
        </w:rPr>
        <w:t>ContextLogic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tbl>
      <w:tblPr>
        <w:tblLayout w:type="fixed"/>
        <w:tblInd w:w="1480" w:type="dxa"/>
        <w:tblCellMar>
          <w:top w:w="0" w:type="dxa"/>
          <w:left w:w="0" w:type="dxa"/>
          <w:bottom w:w="0" w:type="dxa"/>
          <w:right w:w="0" w:type="dxa"/>
        </w:tblCellMar>
      </w:tblPr>
      <w:tr>
        <w:trPr>
          <w:trHeight w:val="194"/>
        </w:trPr>
        <w:tc>
          <w:tcPr>
            <w:tcW w:w="4520" w:type="dxa"/>
            <w:vAlign w:val="bottom"/>
          </w:tcPr>
          <w:p>
            <w:pPr>
              <w:jc w:val="center"/>
              <w:ind w:right="1766"/>
              <w:spacing w:after="0"/>
              <w:rPr>
                <w:sz w:val="20"/>
                <w:szCs w:val="20"/>
                <w:color w:val="auto"/>
              </w:rPr>
            </w:pPr>
            <w:r>
              <w:rPr>
                <w:rFonts w:ascii="Arial" w:cs="Arial" w:eastAsia="Arial" w:hAnsi="Arial"/>
                <w:sz w:val="16"/>
                <w:szCs w:val="16"/>
                <w:b w:val="1"/>
                <w:bCs w:val="1"/>
                <w:color w:val="auto"/>
              </w:rPr>
              <w:t>Delaware</w:t>
            </w:r>
          </w:p>
        </w:tc>
        <w:tc>
          <w:tcPr>
            <w:tcW w:w="3040" w:type="dxa"/>
            <w:vAlign w:val="bottom"/>
          </w:tcPr>
          <w:p>
            <w:pPr>
              <w:jc w:val="right"/>
              <w:ind w:right="104"/>
              <w:spacing w:after="0"/>
              <w:rPr>
                <w:sz w:val="20"/>
                <w:szCs w:val="20"/>
                <w:color w:val="auto"/>
              </w:rPr>
            </w:pPr>
            <w:r>
              <w:rPr>
                <w:rFonts w:ascii="Arial" w:cs="Arial" w:eastAsia="Arial" w:hAnsi="Arial"/>
                <w:sz w:val="16"/>
                <w:szCs w:val="16"/>
                <w:b w:val="1"/>
                <w:bCs w:val="1"/>
                <w:color w:val="auto"/>
              </w:rPr>
              <w:t>27-2930953</w:t>
            </w:r>
          </w:p>
        </w:tc>
      </w:tr>
      <w:tr>
        <w:trPr>
          <w:trHeight w:val="162"/>
        </w:trPr>
        <w:tc>
          <w:tcPr>
            <w:tcW w:w="4520" w:type="dxa"/>
            <w:vAlign w:val="bottom"/>
          </w:tcPr>
          <w:p>
            <w:pPr>
              <w:jc w:val="center"/>
              <w:ind w:right="1786"/>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4"/>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520" w:type="dxa"/>
            <w:vAlign w:val="bottom"/>
          </w:tcPr>
          <w:p>
            <w:pPr>
              <w:jc w:val="center"/>
              <w:ind w:right="1786"/>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44"/>
              <w:spacing w:after="0"/>
              <w:rPr>
                <w:sz w:val="20"/>
                <w:szCs w:val="20"/>
                <w:color w:val="auto"/>
              </w:rPr>
            </w:pPr>
            <w:r>
              <w:rPr>
                <w:rFonts w:ascii="Arial" w:cs="Arial" w:eastAsia="Arial" w:hAnsi="Arial"/>
                <w:sz w:val="14"/>
                <w:szCs w:val="14"/>
                <w:b w:val="1"/>
                <w:bCs w:val="1"/>
                <w:color w:val="auto"/>
              </w:rPr>
              <w:t>Identification No.)</w:t>
            </w:r>
          </w:p>
        </w:tc>
      </w:tr>
      <w:tr>
        <w:trPr>
          <w:trHeight w:val="196"/>
        </w:trPr>
        <w:tc>
          <w:tcPr>
            <w:tcW w:w="4520" w:type="dxa"/>
            <w:vAlign w:val="bottom"/>
          </w:tcPr>
          <w:p>
            <w:pPr>
              <w:jc w:val="center"/>
              <w:ind w:right="1766"/>
              <w:spacing w:after="0" w:line="197" w:lineRule="exact"/>
              <w:rPr>
                <w:sz w:val="20"/>
                <w:szCs w:val="20"/>
                <w:color w:val="auto"/>
              </w:rPr>
            </w:pPr>
            <w:r>
              <w:rPr>
                <w:rFonts w:ascii="Arial" w:cs="Arial" w:eastAsia="Arial" w:hAnsi="Arial"/>
                <w:sz w:val="14"/>
                <w:szCs w:val="14"/>
                <w:b w:val="1"/>
                <w:bCs w:val="1"/>
                <w:color w:val="auto"/>
              </w:rPr>
              <w:t>One Sansome Street 40</w:t>
            </w:r>
            <w:r>
              <w:rPr>
                <w:rFonts w:ascii="Arial" w:cs="Arial" w:eastAsia="Arial" w:hAnsi="Arial"/>
                <w:sz w:val="22"/>
                <w:szCs w:val="22"/>
                <w:b w:val="1"/>
                <w:bCs w:val="1"/>
                <w:color w:val="auto"/>
                <w:vertAlign w:val="superscript"/>
              </w:rPr>
              <w:t>th</w:t>
            </w:r>
            <w:r>
              <w:rPr>
                <w:rFonts w:ascii="Arial" w:cs="Arial" w:eastAsia="Arial" w:hAnsi="Arial"/>
                <w:sz w:val="14"/>
                <w:szCs w:val="14"/>
                <w:b w:val="1"/>
                <w:bCs w:val="1"/>
                <w:color w:val="auto"/>
              </w:rPr>
              <w:t xml:space="preserve"> Floor</w:t>
            </w:r>
          </w:p>
        </w:tc>
        <w:tc>
          <w:tcPr>
            <w:tcW w:w="3040" w:type="dxa"/>
            <w:vAlign w:val="bottom"/>
          </w:tcPr>
          <w:p>
            <w:pPr>
              <w:spacing w:after="0"/>
              <w:rPr>
                <w:sz w:val="17"/>
                <w:szCs w:val="17"/>
                <w:color w:val="auto"/>
              </w:rPr>
            </w:pPr>
          </w:p>
        </w:tc>
      </w:tr>
      <w:tr>
        <w:trPr>
          <w:trHeight w:val="194"/>
        </w:trPr>
        <w:tc>
          <w:tcPr>
            <w:tcW w:w="4520" w:type="dxa"/>
            <w:vAlign w:val="bottom"/>
          </w:tcPr>
          <w:p>
            <w:pPr>
              <w:jc w:val="center"/>
              <w:ind w:right="1766"/>
              <w:spacing w:after="0"/>
              <w:rPr>
                <w:sz w:val="20"/>
                <w:szCs w:val="20"/>
                <w:color w:val="auto"/>
              </w:rPr>
            </w:pPr>
            <w:r>
              <w:rPr>
                <w:rFonts w:ascii="Arial" w:cs="Arial" w:eastAsia="Arial" w:hAnsi="Arial"/>
                <w:sz w:val="16"/>
                <w:szCs w:val="16"/>
                <w:b w:val="1"/>
                <w:bCs w:val="1"/>
                <w:color w:val="auto"/>
              </w:rPr>
              <w:t>San Francisco, CA</w:t>
            </w:r>
          </w:p>
        </w:tc>
        <w:tc>
          <w:tcPr>
            <w:tcW w:w="3040" w:type="dxa"/>
            <w:vAlign w:val="bottom"/>
          </w:tcPr>
          <w:p>
            <w:pPr>
              <w:jc w:val="right"/>
              <w:ind w:right="304"/>
              <w:spacing w:after="0"/>
              <w:rPr>
                <w:sz w:val="20"/>
                <w:szCs w:val="20"/>
                <w:color w:val="auto"/>
              </w:rPr>
            </w:pPr>
            <w:r>
              <w:rPr>
                <w:rFonts w:ascii="Arial" w:cs="Arial" w:eastAsia="Arial" w:hAnsi="Arial"/>
                <w:sz w:val="16"/>
                <w:szCs w:val="16"/>
                <w:b w:val="1"/>
                <w:bCs w:val="1"/>
                <w:color w:val="auto"/>
              </w:rPr>
              <w:t>94104</w:t>
            </w:r>
          </w:p>
        </w:tc>
      </w:tr>
      <w:tr>
        <w:trPr>
          <w:trHeight w:val="190"/>
        </w:trPr>
        <w:tc>
          <w:tcPr>
            <w:tcW w:w="4520" w:type="dxa"/>
            <w:vAlign w:val="bottom"/>
          </w:tcPr>
          <w:p>
            <w:pPr>
              <w:jc w:val="center"/>
              <w:ind w:right="1766"/>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44"/>
              <w:spacing w:after="0"/>
              <w:rPr>
                <w:sz w:val="20"/>
                <w:szCs w:val="20"/>
                <w:color w:val="auto"/>
              </w:rPr>
            </w:pPr>
            <w:r>
              <w:rPr>
                <w:rFonts w:ascii="Arial" w:cs="Arial" w:eastAsia="Arial" w:hAnsi="Arial"/>
                <w:sz w:val="14"/>
                <w:szCs w:val="14"/>
                <w:b w:val="1"/>
                <w:bCs w:val="1"/>
                <w:color w:val="auto"/>
              </w:rPr>
              <w:t>(Zip Code)</w:t>
            </w: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6"/>
          <w:szCs w:val="16"/>
          <w:b w:val="1"/>
          <w:bCs w:val="1"/>
          <w:color w:val="auto"/>
        </w:rPr>
        <w:t>(415) 432-7323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820" w:type="dxa"/>
            <w:vAlign w:val="bottom"/>
            <w:gridSpan w:val="3"/>
          </w:tcPr>
          <w:p>
            <w:pPr>
              <w:ind w:left="600"/>
              <w:spacing w:after="0"/>
              <w:rPr>
                <w:sz w:val="20"/>
                <w:szCs w:val="20"/>
                <w:color w:val="auto"/>
              </w:rPr>
            </w:pPr>
            <w:r>
              <w:rPr>
                <w:rFonts w:ascii="Arial" w:cs="Arial" w:eastAsia="Arial" w:hAnsi="Arial"/>
                <w:sz w:val="16"/>
                <w:szCs w:val="16"/>
                <w:color w:val="auto"/>
              </w:rPr>
              <w:t>Securities registered pursuant to Section 12(b) of the Act:</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spacing w:after="0"/>
              <w:rPr>
                <w:sz w:val="16"/>
                <w:szCs w:val="16"/>
                <w:color w:val="auto"/>
              </w:rPr>
            </w:pPr>
          </w:p>
        </w:tc>
      </w:tr>
      <w:tr>
        <w:trPr>
          <w:trHeight w:val="276"/>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center"/>
              <w:ind w:right="224"/>
              <w:spacing w:after="0"/>
              <w:rPr>
                <w:sz w:val="20"/>
                <w:szCs w:val="20"/>
                <w:color w:val="auto"/>
              </w:rPr>
            </w:pPr>
            <w:r>
              <w:rPr>
                <w:rFonts w:ascii="Arial" w:cs="Arial" w:eastAsia="Arial" w:hAnsi="Arial"/>
                <w:sz w:val="16"/>
                <w:szCs w:val="16"/>
                <w:b w:val="1"/>
                <w:bCs w:val="1"/>
                <w:color w:val="auto"/>
                <w:w w:val="99"/>
              </w:rPr>
              <w:t>Trading Symbol(s)</w:t>
            </w:r>
          </w:p>
        </w:tc>
        <w:tc>
          <w:tcPr>
            <w:tcW w:w="10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98"/>
        </w:trPr>
        <w:tc>
          <w:tcPr>
            <w:tcW w:w="4820" w:type="dxa"/>
            <w:vAlign w:val="bottom"/>
            <w:gridSpan w:val="3"/>
          </w:tcPr>
          <w:p>
            <w:pPr>
              <w:jc w:val="center"/>
              <w:ind w:right="420"/>
              <w:spacing w:after="0"/>
              <w:rPr>
                <w:sz w:val="20"/>
                <w:szCs w:val="20"/>
                <w:color w:val="auto"/>
              </w:rPr>
            </w:pPr>
            <w:r>
              <w:rPr>
                <w:rFonts w:ascii="Arial" w:cs="Arial" w:eastAsia="Arial" w:hAnsi="Arial"/>
                <w:sz w:val="14"/>
                <w:szCs w:val="14"/>
                <w:color w:val="auto"/>
              </w:rPr>
              <w:t>Class A Common Stock, $0.0001 par value</w:t>
            </w:r>
          </w:p>
        </w:tc>
        <w:tc>
          <w:tcPr>
            <w:tcW w:w="2040" w:type="dxa"/>
            <w:vAlign w:val="bottom"/>
            <w:gridSpan w:val="2"/>
          </w:tcPr>
          <w:p>
            <w:pPr>
              <w:jc w:val="center"/>
              <w:ind w:right="420"/>
              <w:spacing w:after="0"/>
              <w:rPr>
                <w:sz w:val="20"/>
                <w:szCs w:val="20"/>
                <w:color w:val="auto"/>
              </w:rPr>
            </w:pPr>
            <w:r>
              <w:rPr>
                <w:rFonts w:ascii="Arial" w:cs="Arial" w:eastAsia="Arial" w:hAnsi="Arial"/>
                <w:sz w:val="14"/>
                <w:szCs w:val="14"/>
                <w:color w:val="auto"/>
              </w:rPr>
              <w:t>WISH</w:t>
            </w:r>
          </w:p>
        </w:tc>
        <w:tc>
          <w:tcPr>
            <w:tcW w:w="4380" w:type="dxa"/>
            <w:vAlign w:val="bottom"/>
          </w:tcPr>
          <w:p>
            <w:pPr>
              <w:jc w:val="center"/>
              <w:spacing w:after="0"/>
              <w:rPr>
                <w:sz w:val="20"/>
                <w:szCs w:val="20"/>
                <w:color w:val="auto"/>
              </w:rPr>
            </w:pPr>
            <w:r>
              <w:rPr>
                <w:rFonts w:ascii="Arial" w:cs="Arial" w:eastAsia="Arial" w:hAnsi="Arial"/>
                <w:sz w:val="14"/>
                <w:szCs w:val="14"/>
                <w:color w:val="auto"/>
              </w:rPr>
              <w:t>Nasdaq Global Select Market</w:t>
            </w:r>
          </w:p>
        </w:tc>
      </w:tr>
    </w:tbl>
    <w:p>
      <w:pPr>
        <w:spacing w:after="0" w:line="54" w:lineRule="exact"/>
        <w:rPr>
          <w:sz w:val="24"/>
          <w:szCs w:val="24"/>
          <w:color w:val="auto"/>
        </w:rPr>
      </w:pPr>
    </w:p>
    <w:p>
      <w:pPr>
        <w:jc w:val="both"/>
        <w:ind w:firstLine="599"/>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jc w:val="both"/>
        <w:ind w:firstLine="599"/>
        <w:spacing w:after="0" w:line="24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line="184" w:lineRule="exact"/>
        <w:tabs>
          <w:tab w:leader="none" w:pos="8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jc w:val="both"/>
        <w:ind w:firstLine="599"/>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1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1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spacing w:after="0"/>
              <w:rPr>
                <w:sz w:val="22"/>
                <w:szCs w:val="22"/>
                <w:color w:val="auto"/>
              </w:rPr>
            </w:pPr>
          </w:p>
        </w:tc>
        <w:tc>
          <w:tcPr>
            <w:tcW w:w="320" w:type="dxa"/>
            <w:vAlign w:val="bottom"/>
          </w:tcPr>
          <w:p>
            <w:pPr>
              <w:spacing w:after="0"/>
              <w:rPr>
                <w:sz w:val="22"/>
                <w:szCs w:val="22"/>
                <w:color w:val="auto"/>
              </w:rPr>
            </w:pPr>
          </w:p>
        </w:tc>
      </w:tr>
    </w:tbl>
    <w:p>
      <w:pPr>
        <w:spacing w:after="0" w:line="71" w:lineRule="exact"/>
        <w:rPr>
          <w:sz w:val="24"/>
          <w:szCs w:val="24"/>
          <w:color w:val="auto"/>
        </w:rPr>
      </w:pPr>
    </w:p>
    <w:p>
      <w:pPr>
        <w:jc w:val="both"/>
        <w:ind w:right="20" w:firstLine="599"/>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 w:lineRule="exact"/>
        <w:rPr>
          <w:sz w:val="24"/>
          <w:szCs w:val="24"/>
          <w:color w:val="auto"/>
        </w:rPr>
      </w:pPr>
    </w:p>
    <w:p>
      <w:pPr>
        <w:ind w:left="600"/>
        <w:spacing w:after="0" w:line="184" w:lineRule="exact"/>
        <w:tabs>
          <w:tab w:leader="none" w:pos="8900" w:val="left"/>
          <w:tab w:leader="none" w:pos="9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8" w:lineRule="exact"/>
        <w:rPr>
          <w:sz w:val="24"/>
          <w:szCs w:val="24"/>
          <w:color w:val="auto"/>
        </w:rPr>
      </w:pPr>
    </w:p>
    <w:p>
      <w:pPr>
        <w:jc w:val="both"/>
        <w:ind w:firstLine="599"/>
        <w:spacing w:after="0" w:line="201"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2" w:lineRule="exact"/>
        <w:rPr>
          <w:sz w:val="24"/>
          <w:szCs w:val="24"/>
          <w:color w:val="auto"/>
        </w:rPr>
      </w:pPr>
    </w:p>
    <w:p>
      <w:pPr>
        <w:jc w:val="both"/>
        <w:ind w:firstLine="599"/>
        <w:spacing w:after="0" w:line="260" w:lineRule="auto"/>
        <w:rPr>
          <w:sz w:val="20"/>
          <w:szCs w:val="20"/>
          <w:color w:val="auto"/>
        </w:rPr>
      </w:pPr>
      <w:r>
        <w:rPr>
          <w:rFonts w:ascii="Arial" w:cs="Arial" w:eastAsia="Arial" w:hAnsi="Arial"/>
          <w:sz w:val="16"/>
          <w:szCs w:val="16"/>
          <w:color w:val="auto"/>
        </w:rPr>
        <w:t>As of April 30, 2021, the number of shares of the registrant’s Class A common stock outstanding was 505 million and the number of shares of the registrant’s Class B common stock outstanding was 114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w:t>
            </w: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60" w:type="dxa"/>
            <w:vAlign w:val="bottom"/>
            <w:tcBorders>
              <w:bottom w:val="single" w:sz="8" w:color="0000EE"/>
            </w:tcBorders>
            <w:gridSpan w:val="11"/>
          </w:tcPr>
          <w:p>
            <w:pPr>
              <w:spacing w:after="0" w:line="176" w:lineRule="exact"/>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Special Note Regarding Forward-Looking Statements</w:t>
              </w:r>
            </w:hyperlink>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24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FINANCIAL INFORMATION</w:t>
              </w:r>
            </w:hyperlink>
          </w:p>
        </w:tc>
        <w:tc>
          <w:tcPr>
            <w:tcW w:w="7060" w:type="dxa"/>
            <w:vAlign w:val="bottom"/>
            <w:gridSpan w:val="12"/>
          </w:tcPr>
          <w:p>
            <w:pPr>
              <w:spacing w:after="0"/>
              <w:rPr>
                <w:sz w:val="19"/>
                <w:szCs w:val="19"/>
                <w:color w:val="auto"/>
              </w:rPr>
            </w:pPr>
          </w:p>
        </w:tc>
        <w:tc>
          <w:tcPr>
            <w:tcW w:w="780" w:type="dxa"/>
            <w:vAlign w:val="bottom"/>
          </w:tcPr>
          <w:p>
            <w:pPr>
              <w:spacing w:after="0"/>
              <w:rPr>
                <w:sz w:val="19"/>
                <w:szCs w:val="19"/>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30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30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920" w:type="dxa"/>
            <w:vAlign w:val="bottom"/>
            <w:tcBorders>
              <w:bottom w:val="single" w:sz="8" w:color="0000EE"/>
            </w:tcBorders>
            <w:gridSpan w:val="15"/>
          </w:tcPr>
          <w:p>
            <w:pPr>
              <w:spacing w:after="0" w:line="19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Comprehensive Loss</w:t>
              </w:r>
            </w:hyperlink>
          </w:p>
        </w:tc>
        <w:tc>
          <w:tcPr>
            <w:tcW w:w="438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9"/>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60" w:type="dxa"/>
            <w:vAlign w:val="bottom"/>
            <w:tcBorders>
              <w:bottom w:val="single" w:sz="8" w:color="0000EE"/>
            </w:tcBorders>
            <w:gridSpan w:val="14"/>
          </w:tcPr>
          <w:p>
            <w:pPr>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Stockholders’ Equity</w:t>
              </w:r>
            </w:hyperlink>
          </w:p>
        </w:tc>
        <w:tc>
          <w:tcPr>
            <w:tcW w:w="480" w:type="dxa"/>
            <w:vAlign w:val="bottom"/>
            <w:gridSpan w:val="2"/>
          </w:tcPr>
          <w:p>
            <w:pPr>
              <w:spacing w:after="0"/>
              <w:rPr>
                <w:sz w:val="18"/>
                <w:szCs w:val="18"/>
                <w:color w:val="auto"/>
              </w:rPr>
            </w:pPr>
          </w:p>
        </w:tc>
        <w:tc>
          <w:tcPr>
            <w:tcW w:w="17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340" w:type="dxa"/>
            <w:vAlign w:val="bottom"/>
            <w:tcBorders>
              <w:bottom w:val="single" w:sz="8" w:color="0000EE"/>
            </w:tcBorders>
            <w:gridSpan w:val="16"/>
          </w:tcPr>
          <w:p>
            <w:pPr>
              <w:spacing w:after="0" w:line="196"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Notes to Unaudited Condensed Consolidated Financial Statements</w:t>
              </w:r>
            </w:hyperlink>
          </w:p>
        </w:tc>
        <w:tc>
          <w:tcPr>
            <w:tcW w:w="396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7"/>
          </w:tcPr>
          <w:p>
            <w:pPr>
              <w:spacing w:after="0" w:line="196"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Management’s Discussion and Analysis of Financial Condition and Results of Operations</w:t>
              </w:r>
            </w:hyperlink>
          </w:p>
        </w:tc>
        <w:tc>
          <w:tcPr>
            <w:tcW w:w="2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300" w:type="dxa"/>
            <w:vAlign w:val="bottom"/>
            <w:gridSpan w:val="1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7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460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EE"/>
            </w:tcBorders>
            <w:gridSpan w:val="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7320" w:type="dxa"/>
            <w:vAlign w:val="bottom"/>
            <w:gridSpan w:val="13"/>
          </w:tcPr>
          <w:p>
            <w:pPr>
              <w:spacing w:after="0"/>
              <w:rPr>
                <w:sz w:val="18"/>
                <w:szCs w:val="18"/>
                <w:color w:val="auto"/>
              </w:rPr>
            </w:pPr>
          </w:p>
        </w:tc>
        <w:tc>
          <w:tcPr>
            <w:tcW w:w="780" w:type="dxa"/>
            <w:vAlign w:val="bottom"/>
          </w:tcPr>
          <w:p>
            <w:pPr>
              <w:spacing w:after="0"/>
              <w:rPr>
                <w:sz w:val="18"/>
                <w:szCs w:val="18"/>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920" w:type="dxa"/>
            <w:vAlign w:val="bottom"/>
            <w:tcBorders>
              <w:top w:val="single" w:sz="8" w:color="0000EE"/>
            </w:tcBorders>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7380" w:type="dxa"/>
            <w:vAlign w:val="bottom"/>
            <w:gridSpan w:val="1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Risk Factors</w:t>
              </w:r>
            </w:hyperlink>
          </w:p>
        </w:tc>
        <w:tc>
          <w:tcPr>
            <w:tcW w:w="480" w:type="dxa"/>
            <w:vAlign w:val="bottom"/>
            <w:tcBorders>
              <w:top w:val="single" w:sz="8" w:color="0000EE"/>
            </w:tcBorders>
          </w:tcPr>
          <w:p>
            <w:pPr>
              <w:spacing w:after="0"/>
              <w:rPr>
                <w:sz w:val="17"/>
                <w:szCs w:val="17"/>
                <w:color w:val="auto"/>
              </w:rPr>
            </w:pPr>
          </w:p>
        </w:tc>
        <w:tc>
          <w:tcPr>
            <w:tcW w:w="782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48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446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160" w:type="dxa"/>
            <w:vAlign w:val="bottom"/>
            <w:gridSpan w:val="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01"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("Securities Act"), and Section 21E of the Securities Exchange Act of 1934, as amended ("Exchange Act"), which statements involve substantial risks and uncertainties. Forward-looking statements include all statements that are not historical facts such as information concerning our possible or assumed future results of operations and expenses, new or planned features or services, management strategies and plans, competitive position, business environment and potential growth strategies and opportunities. In some cases, forward-looking statements can be identified by terms such as “anticipates,” “believes,” “could,” “estimates,” “expects,” “intends,” “may,” “plans,” “potential,” “predicts,” “projects,” “seeks,” “should,” “will,” “would” or similar expressions and the negatives of those terms.</w:t>
      </w:r>
    </w:p>
    <w:p>
      <w:pPr>
        <w:spacing w:after="0" w:line="14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risks include those described in Part II, Item 1A. “Risk Factors” in this Quarterly Report on Form 10-Q, as well as in our condensed consolidated financial statements, related notes, and the other information appearing elsewhere in this Quarterly Report on Form 10-Q and our other filings with the Securities and Exchange Commission. The inclusion of forward-looking information should not be regarded as a representation by us, our management or any other person that the future plans, estimates, or expectations contemplated by us will be achieved. Given these uncertainties, you should not place undue reliance on any forward-looking statements in this Quarterly Report on Form 10-Q.</w:t>
      </w:r>
    </w:p>
    <w:p>
      <w:pPr>
        <w:spacing w:after="0" w:line="154"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48"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51"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with the Securities and Exchange Commission as exhibits to Quarterly Report on Form 10-Q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As of March 31,</w:t>
            </w:r>
          </w:p>
        </w:tc>
        <w:tc>
          <w:tcPr>
            <w:tcW w:w="160" w:type="dxa"/>
            <w:vAlign w:val="bottom"/>
          </w:tcPr>
          <w:p>
            <w:pPr>
              <w:spacing w:after="0"/>
              <w:rPr>
                <w:sz w:val="15"/>
                <w:szCs w:val="15"/>
                <w:color w:val="auto"/>
              </w:rPr>
            </w:pPr>
          </w:p>
        </w:tc>
        <w:tc>
          <w:tcPr>
            <w:tcW w:w="1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5"/>
        </w:trPr>
        <w:tc>
          <w:tcPr>
            <w:tcW w:w="718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8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780" w:type="dxa"/>
            <w:vAlign w:val="bottom"/>
            <w:gridSpan w:val="2"/>
            <w:shd w:val="clear" w:color="auto" w:fill="CFF0FC"/>
          </w:tcPr>
          <w:p>
            <w:pPr>
              <w:jc w:val="right"/>
              <w:ind w:right="680"/>
              <w:spacing w:after="0"/>
              <w:rPr>
                <w:sz w:val="20"/>
                <w:szCs w:val="20"/>
                <w:color w:val="auto"/>
              </w:rPr>
            </w:pPr>
            <w:r>
              <w:rPr>
                <w:rFonts w:ascii="Arial" w:cs="Arial" w:eastAsia="Arial" w:hAnsi="Arial"/>
                <w:sz w:val="14"/>
                <w:szCs w:val="14"/>
                <w:b w:val="1"/>
                <w:bCs w:val="1"/>
                <w:color w:val="auto"/>
              </w:rPr>
              <w:t>(Unaudited)</w:t>
            </w:r>
          </w:p>
        </w:tc>
        <w:tc>
          <w:tcPr>
            <w:tcW w:w="16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18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tcPr>
          <w:p>
            <w:pPr>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tcPr>
          <w:p>
            <w:pPr>
              <w:ind w:left="260"/>
              <w:spacing w:after="0"/>
              <w:rPr>
                <w:sz w:val="20"/>
                <w:szCs w:val="20"/>
                <w:color w:val="auto"/>
              </w:rPr>
            </w:pPr>
            <w:r>
              <w:rPr>
                <w:rFonts w:ascii="Arial" w:cs="Arial" w:eastAsia="Arial" w:hAnsi="Arial"/>
                <w:sz w:val="14"/>
                <w:szCs w:val="14"/>
                <w:color w:val="auto"/>
              </w:rPr>
              <w:t>Marketable securities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Funds receivable</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18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shd w:val="clear" w:color="auto" w:fill="CFF0FC"/>
          </w:tcPr>
          <w:p>
            <w:pPr>
              <w:spacing w:after="0"/>
              <w:rPr>
                <w:sz w:val="20"/>
                <w:szCs w:val="20"/>
                <w:color w:val="auto"/>
              </w:rPr>
            </w:pPr>
            <w:r>
              <w:rPr>
                <w:rFonts w:ascii="Arial" w:cs="Arial" w:eastAsia="Arial" w:hAnsi="Arial"/>
                <w:sz w:val="14"/>
                <w:szCs w:val="14"/>
                <w:color w:val="auto"/>
              </w:rPr>
              <w:t>Right-of-use assets</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tcPr>
          <w:p>
            <w:pPr>
              <w:spacing w:after="0"/>
              <w:rPr>
                <w:sz w:val="20"/>
                <w:szCs w:val="20"/>
                <w:color w:val="auto"/>
              </w:rPr>
            </w:pPr>
            <w:r>
              <w:rPr>
                <w:rFonts w:ascii="Arial" w:cs="Arial" w:eastAsia="Arial" w:hAnsi="Arial"/>
                <w:sz w:val="14"/>
                <w:szCs w:val="14"/>
                <w:color w:val="auto"/>
              </w:rPr>
              <w:t>Marketable securities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shd w:val="clear" w:color="auto" w:fill="CFF0FC"/>
          </w:tcPr>
          <w:p>
            <w:pPr>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180" w:type="dxa"/>
            <w:vAlign w:val="bottom"/>
          </w:tcPr>
          <w:p>
            <w:pPr>
              <w:spacing w:after="0"/>
              <w:rPr>
                <w:sz w:val="20"/>
                <w:szCs w:val="20"/>
                <w:color w:val="auto"/>
              </w:rPr>
            </w:pPr>
            <w:r>
              <w:rPr>
                <w:rFonts w:ascii="Arial" w:cs="Arial" w:eastAsia="Arial" w:hAnsi="Arial"/>
                <w:sz w:val="14"/>
                <w:szCs w:val="14"/>
                <w:color w:val="auto"/>
              </w:rPr>
              <w:t>Total assets</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1,999</w:t>
            </w:r>
          </w:p>
        </w:tc>
        <w:tc>
          <w:tcPr>
            <w:tcW w:w="26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2,397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18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6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180" w:type="dxa"/>
            <w:vAlign w:val="bottom"/>
          </w:tcPr>
          <w:p>
            <w:pPr>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tcPr>
          <w:p>
            <w:pPr>
              <w:ind w:left="260"/>
              <w:spacing w:after="0"/>
              <w:rPr>
                <w:sz w:val="20"/>
                <w:szCs w:val="20"/>
                <w:color w:val="auto"/>
              </w:rPr>
            </w:pPr>
            <w:r>
              <w:rPr>
                <w:rFonts w:ascii="Arial" w:cs="Arial" w:eastAsia="Arial" w:hAnsi="Arial"/>
                <w:sz w:val="14"/>
                <w:szCs w:val="14"/>
                <w:color w:val="auto"/>
              </w:rPr>
              <w:t>Merchants payable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381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454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Refunds liability</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Accrued liabilities</w:t>
            </w:r>
          </w:p>
        </w:tc>
        <w:tc>
          <w:tcPr>
            <w:tcW w:w="1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1,035</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1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Lease liabilities, non-current</w:t>
            </w:r>
          </w:p>
        </w:tc>
        <w:tc>
          <w:tcPr>
            <w:tcW w:w="1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80" w:type="dxa"/>
            <w:vAlign w:val="bottom"/>
            <w:shd w:val="clear" w:color="auto" w:fill="CFF0FC"/>
          </w:tcPr>
          <w:p>
            <w:pPr>
              <w:spacing w:after="0"/>
              <w:rPr>
                <w:sz w:val="20"/>
                <w:szCs w:val="20"/>
                <w:color w:val="auto"/>
              </w:rPr>
            </w:pPr>
            <w:r>
              <w:rPr>
                <w:rFonts w:ascii="Arial" w:cs="Arial" w:eastAsia="Arial" w:hAnsi="Arial"/>
                <w:sz w:val="14"/>
                <w:szCs w:val="14"/>
                <w:color w:val="auto"/>
              </w:rPr>
              <w:t>Total liabilities</w:t>
            </w:r>
          </w:p>
        </w:tc>
        <w:tc>
          <w:tcPr>
            <w:tcW w:w="1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1,069</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180" w:type="dxa"/>
            <w:vAlign w:val="bottom"/>
          </w:tcPr>
          <w:p>
            <w:pPr>
              <w:spacing w:after="0"/>
              <w:rPr>
                <w:sz w:val="20"/>
                <w:szCs w:val="20"/>
                <w:color w:val="auto"/>
              </w:rPr>
            </w:pPr>
            <w:r>
              <w:rPr>
                <w:rFonts w:ascii="Arial" w:cs="Arial" w:eastAsia="Arial" w:hAnsi="Arial"/>
                <w:sz w:val="14"/>
                <w:szCs w:val="14"/>
                <w:color w:val="auto"/>
              </w:rPr>
              <w:t>Commitments and contingencies (Note 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180" w:type="dxa"/>
            <w:vAlign w:val="bottom"/>
            <w:shd w:val="clear" w:color="auto" w:fill="CFF0FC"/>
          </w:tcPr>
          <w:p>
            <w:pPr>
              <w:spacing w:after="0"/>
              <w:rPr>
                <w:sz w:val="20"/>
                <w:szCs w:val="20"/>
                <w:color w:val="auto"/>
              </w:rPr>
            </w:pPr>
            <w:r>
              <w:rPr>
                <w:rFonts w:ascii="Arial" w:cs="Arial" w:eastAsia="Arial" w:hAnsi="Arial"/>
                <w:sz w:val="14"/>
                <w:szCs w:val="14"/>
                <w:color w:val="auto"/>
              </w:rPr>
              <w:t>Stockholders’ equity:</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80" w:type="dxa"/>
            <w:vAlign w:val="bottom"/>
          </w:tcPr>
          <w:p>
            <w:pPr>
              <w:ind w:left="260"/>
              <w:spacing w:after="0"/>
              <w:rPr>
                <w:sz w:val="20"/>
                <w:szCs w:val="20"/>
                <w:color w:val="auto"/>
              </w:rPr>
            </w:pPr>
            <w:r>
              <w:rPr>
                <w:rFonts w:ascii="Arial" w:cs="Arial" w:eastAsia="Arial" w:hAnsi="Arial"/>
                <w:sz w:val="14"/>
                <w:szCs w:val="14"/>
                <w:color w:val="auto"/>
              </w:rPr>
              <w:t>Preferred stock, $0.0001 par value: 100 shares authorized as of March 31, 2021 and December 31, 2020;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180" w:type="dxa"/>
            <w:vAlign w:val="bottom"/>
          </w:tcPr>
          <w:p>
            <w:pPr>
              <w:ind w:left="260"/>
              <w:spacing w:after="0" w:line="157" w:lineRule="exact"/>
              <w:rPr>
                <w:sz w:val="20"/>
                <w:szCs w:val="20"/>
                <w:color w:val="auto"/>
              </w:rPr>
            </w:pPr>
            <w:r>
              <w:rPr>
                <w:rFonts w:ascii="Arial" w:cs="Arial" w:eastAsia="Arial" w:hAnsi="Arial"/>
                <w:sz w:val="14"/>
                <w:szCs w:val="14"/>
                <w:color w:val="auto"/>
              </w:rPr>
              <w:t>No shares issued and outstanding as of March 31, 2021 and December 31, 2020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7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1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Common stock, $0.0001 par value: 3,500 (3,000 Class A, 500 Class B) shares authorized as of March 31,</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1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2021 and December 31, 2020; 618 (501 Class A, 117 Class B) and 587 (478 Class A, 109 Class B) shares</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18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issued and outstanding as of March 31, 2021 and December 31, 2020</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780" w:type="dxa"/>
            <w:vAlign w:val="bottom"/>
            <w:gridSpan w:val="2"/>
            <w:shd w:val="clear" w:color="auto" w:fill="CFF0FC"/>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18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3,243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3,210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income (loss)</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w:t>
            </w: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tcPr>
          <w:p>
            <w:pPr>
              <w:ind w:left="260"/>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4"/>
                <w:szCs w:val="14"/>
                <w:color w:val="auto"/>
              </w:rPr>
              <w:t>(2,312)</w:t>
            </w:r>
          </w:p>
        </w:tc>
        <w:tc>
          <w:tcPr>
            <w:tcW w:w="160" w:type="dxa"/>
            <w:vAlign w:val="bottom"/>
          </w:tcPr>
          <w:p>
            <w:pPr>
              <w:spacing w:after="0"/>
              <w:rPr>
                <w:sz w:val="15"/>
                <w:szCs w:val="15"/>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4"/>
                <w:szCs w:val="14"/>
                <w:color w:val="auto"/>
              </w:rPr>
              <w:t>(2,184)</w:t>
            </w:r>
          </w:p>
        </w:tc>
        <w:tc>
          <w:tcPr>
            <w:tcW w:w="0" w:type="dxa"/>
            <w:vAlign w:val="bottom"/>
          </w:tcPr>
          <w:p>
            <w:pPr>
              <w:spacing w:after="0"/>
              <w:rPr>
                <w:sz w:val="1"/>
                <w:szCs w:val="1"/>
                <w:color w:val="auto"/>
              </w:rPr>
            </w:pPr>
          </w:p>
        </w:tc>
      </w:tr>
      <w:tr>
        <w:trPr>
          <w:trHeight w:val="169"/>
        </w:trPr>
        <w:tc>
          <w:tcPr>
            <w:tcW w:w="7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930</w:t>
            </w: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1,027</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18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1,999</w:t>
            </w:r>
          </w:p>
        </w:tc>
        <w:tc>
          <w:tcPr>
            <w:tcW w:w="2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2,397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(in millions,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90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5"/>
        </w:trPr>
        <w:tc>
          <w:tcPr>
            <w:tcW w:w="77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March 31,</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77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6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8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FF0FC"/>
            </w:tcBorders>
          </w:tcPr>
          <w:p>
            <w:pPr>
              <w:spacing w:after="0"/>
              <w:rPr>
                <w:sz w:val="18"/>
                <w:szCs w:val="18"/>
                <w:color w:val="auto"/>
              </w:rPr>
            </w:pPr>
          </w:p>
        </w:tc>
      </w:tr>
      <w:tr>
        <w:trPr>
          <w:trHeight w:val="21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Product development</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8"/>
                <w:szCs w:val="18"/>
                <w:color w:val="auto"/>
              </w:rPr>
            </w:pPr>
          </w:p>
        </w:tc>
      </w:tr>
      <w:tr>
        <w:trPr>
          <w:trHeight w:val="210"/>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28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(126)</w:t>
            </w: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7"/>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net</w:t>
            </w:r>
          </w:p>
        </w:tc>
        <w:tc>
          <w:tcPr>
            <w:tcW w:w="106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300"/>
              <w:spacing w:after="0"/>
              <w:rPr>
                <w:sz w:val="20"/>
                <w:szCs w:val="20"/>
                <w:color w:val="auto"/>
              </w:rPr>
            </w:pPr>
            <w:r>
              <w:rPr>
                <w:rFonts w:ascii="Arial" w:cs="Arial" w:eastAsia="Arial" w:hAnsi="Arial"/>
                <w:sz w:val="22"/>
                <w:szCs w:val="22"/>
                <w:color w:val="auto"/>
              </w:rPr>
              <w:t>—</w:t>
            </w:r>
          </w:p>
        </w:tc>
        <w:tc>
          <w:tcPr>
            <w:tcW w:w="10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2"/>
                <w:szCs w:val="22"/>
                <w:color w:val="auto"/>
              </w:rPr>
            </w:pPr>
          </w:p>
        </w:tc>
      </w:tr>
      <w:tr>
        <w:trPr>
          <w:trHeight w:val="257"/>
        </w:trPr>
        <w:tc>
          <w:tcPr>
            <w:tcW w:w="7720" w:type="dxa"/>
            <w:vAlign w:val="bottom"/>
          </w:tcPr>
          <w:p>
            <w:pPr>
              <w:spacing w:after="0"/>
              <w:rPr>
                <w:sz w:val="20"/>
                <w:szCs w:val="20"/>
                <w:color w:val="auto"/>
              </w:rPr>
            </w:pPr>
            <w:r>
              <w:rPr>
                <w:rFonts w:ascii="Arial" w:cs="Arial" w:eastAsia="Arial" w:hAnsi="Arial"/>
                <w:sz w:val="18"/>
                <w:szCs w:val="18"/>
                <w:color w:val="auto"/>
              </w:rPr>
              <w:t>Remeasurement of redeemable convertible preferred stock warrant liability</w:t>
            </w:r>
          </w:p>
        </w:tc>
        <w:tc>
          <w:tcPr>
            <w:tcW w:w="10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0"/>
        </w:trPr>
        <w:tc>
          <w:tcPr>
            <w:tcW w:w="77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10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(126)</w:t>
            </w: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(128)</w:t>
            </w: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w:t>
            </w: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36"/>
        </w:trPr>
        <w:tc>
          <w:tcPr>
            <w:tcW w:w="772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1060" w:type="dxa"/>
            <w:vAlign w:val="bottom"/>
          </w:tcPr>
          <w:p>
            <w:pPr>
              <w:jc w:val="right"/>
              <w:ind w:right="85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(0.21)</w:t>
            </w:r>
          </w:p>
        </w:tc>
        <w:tc>
          <w:tcPr>
            <w:tcW w:w="106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(0.62)</w:t>
            </w:r>
          </w:p>
        </w:tc>
      </w:tr>
      <w:tr>
        <w:trPr>
          <w:trHeight w:val="197"/>
        </w:trPr>
        <w:tc>
          <w:tcPr>
            <w:tcW w:w="7720" w:type="dxa"/>
            <w:vAlign w:val="bottom"/>
            <w:tcBorders>
              <w:top w:val="single" w:sz="8" w:color="CFF0FC"/>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Weighted-average shares used in computing net loss per share, basic and diluted</w:t>
            </w:r>
          </w:p>
        </w:tc>
        <w:tc>
          <w:tcPr>
            <w:tcW w:w="1060" w:type="dxa"/>
            <w:vAlign w:val="bottom"/>
            <w:tcBorders>
              <w:top w:val="single" w:sz="8" w:color="auto"/>
              <w:bottom w:val="single" w:sz="8" w:color="auto"/>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619</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106</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ind w:left="5120"/>
        <w:spacing w:after="0" w:line="234" w:lineRule="auto"/>
        <w:rPr>
          <w:sz w:val="20"/>
          <w:szCs w:val="20"/>
          <w:color w:val="auto"/>
        </w:rPr>
      </w:pPr>
      <w:r>
        <w:rPr>
          <w:rFonts w:ascii="Arial" w:cs="Arial" w:eastAsia="Arial" w:hAnsi="Arial"/>
          <w:sz w:val="18"/>
          <w:szCs w:val="18"/>
          <w:b w:val="1"/>
          <w:bCs w:val="1"/>
          <w:color w:val="auto"/>
        </w:rPr>
        <w:t>(in millions)</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9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5"/>
        </w:trPr>
        <w:tc>
          <w:tcPr>
            <w:tcW w:w="77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March 31,</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772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(128)</w:t>
            </w:r>
          </w:p>
        </w:tc>
        <w:tc>
          <w:tcPr>
            <w:tcW w:w="114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holding losses on derivatives</w:t>
            </w:r>
          </w:p>
        </w:tc>
        <w:tc>
          <w:tcPr>
            <w:tcW w:w="10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11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77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720" w:type="dxa"/>
            <w:vAlign w:val="bottom"/>
          </w:tcPr>
          <w:p>
            <w:pPr>
              <w:spacing w:after="0"/>
              <w:rPr>
                <w:sz w:val="20"/>
                <w:szCs w:val="20"/>
                <w:color w:val="auto"/>
              </w:rPr>
            </w:pPr>
            <w:r>
              <w:rPr>
                <w:rFonts w:ascii="Arial" w:cs="Arial" w:eastAsia="Arial" w:hAnsi="Arial"/>
                <w:sz w:val="18"/>
                <w:szCs w:val="18"/>
                <w:color w:val="auto"/>
              </w:rPr>
              <w:t>Comprehensive loss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r>
      <w:tr>
        <w:trPr>
          <w:trHeight w:val="20"/>
        </w:trPr>
        <w:tc>
          <w:tcPr>
            <w:tcW w:w="77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ind w:left="5120"/>
        <w:spacing w:after="0" w:line="234" w:lineRule="auto"/>
        <w:rPr>
          <w:sz w:val="20"/>
          <w:szCs w:val="20"/>
          <w:color w:val="auto"/>
        </w:rPr>
      </w:pPr>
      <w:r>
        <w:rPr>
          <w:rFonts w:ascii="Arial" w:cs="Arial" w:eastAsia="Arial" w:hAnsi="Arial"/>
          <w:sz w:val="18"/>
          <w:szCs w:val="18"/>
          <w:b w:val="1"/>
          <w:bCs w:val="1"/>
          <w:color w:val="auto"/>
        </w:rPr>
        <w:t>(in millions)</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14"/>
          </w:tcPr>
          <w:p>
            <w:pPr>
              <w:jc w:val="right"/>
              <w:ind w:right="700"/>
              <w:spacing w:after="0"/>
              <w:rPr>
                <w:sz w:val="20"/>
                <w:szCs w:val="20"/>
                <w:color w:val="auto"/>
              </w:rPr>
            </w:pPr>
            <w:r>
              <w:rPr>
                <w:rFonts w:ascii="Arial" w:cs="Arial" w:eastAsia="Arial" w:hAnsi="Arial"/>
                <w:sz w:val="18"/>
                <w:szCs w:val="18"/>
                <w:b w:val="1"/>
                <w:bCs w:val="1"/>
                <w:color w:val="auto"/>
              </w:rPr>
              <w:t>Three Months Ended March 31, 2021</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3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5"/>
          </w:tcPr>
          <w:p>
            <w:pPr>
              <w:spacing w:after="0" w:line="187" w:lineRule="exact"/>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6"/>
                <w:szCs w:val="16"/>
                <w:color w:val="auto"/>
              </w:rPr>
            </w:pPr>
          </w:p>
        </w:tc>
        <w:tc>
          <w:tcPr>
            <w:tcW w:w="1460" w:type="dxa"/>
            <w:vAlign w:val="bottom"/>
            <w:gridSpan w:val="5"/>
          </w:tcPr>
          <w:p>
            <w:pPr>
              <w:jc w:val="right"/>
              <w:ind w:right="240"/>
              <w:spacing w:after="0" w:line="187" w:lineRule="exact"/>
              <w:rPr>
                <w:sz w:val="20"/>
                <w:szCs w:val="20"/>
                <w:color w:val="auto"/>
              </w:rPr>
            </w:pPr>
            <w:r>
              <w:rPr>
                <w:rFonts w:ascii="Arial" w:cs="Arial" w:eastAsia="Arial" w:hAnsi="Arial"/>
                <w:sz w:val="18"/>
                <w:szCs w:val="18"/>
                <w:b w:val="1"/>
                <w:bCs w:val="1"/>
                <w:color w:val="auto"/>
              </w:rPr>
              <w:t>Accumulated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70"/>
              <w:spacing w:after="0" w:line="187" w:lineRule="exact"/>
              <w:rPr>
                <w:sz w:val="20"/>
                <w:szCs w:val="20"/>
                <w:color w:val="auto"/>
              </w:rPr>
            </w:pPr>
            <w:r>
              <w:rPr>
                <w:rFonts w:ascii="Arial" w:cs="Arial" w:eastAsia="Arial" w:hAnsi="Arial"/>
                <w:sz w:val="18"/>
                <w:szCs w:val="18"/>
                <w:b w:val="1"/>
                <w:bCs w:val="1"/>
                <w:color w:val="auto"/>
                <w:w w:val="97"/>
              </w:rPr>
              <w:t>Total</w:t>
            </w:r>
          </w:p>
        </w:tc>
        <w:tc>
          <w:tcPr>
            <w:tcW w:w="80" w:type="dxa"/>
            <w:vAlign w:val="bottom"/>
          </w:tcPr>
          <w:p>
            <w:pPr>
              <w:spacing w:after="0"/>
              <w:rPr>
                <w:sz w:val="16"/>
                <w:szCs w:val="16"/>
                <w:color w:val="auto"/>
              </w:rPr>
            </w:pPr>
          </w:p>
        </w:tc>
      </w:tr>
      <w:tr>
        <w:trPr>
          <w:trHeight w:val="225"/>
        </w:trPr>
        <w:tc>
          <w:tcPr>
            <w:tcW w:w="3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9"/>
              </w:rPr>
              <w:t>Paid-in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4"/>
          </w:tcPr>
          <w:p>
            <w:pPr>
              <w:ind w:left="180"/>
              <w:spacing w:after="0"/>
              <w:rPr>
                <w:sz w:val="20"/>
                <w:szCs w:val="20"/>
                <w:color w:val="auto"/>
              </w:rPr>
            </w:pPr>
            <w:r>
              <w:rPr>
                <w:rFonts w:ascii="Arial" w:cs="Arial" w:eastAsia="Arial" w:hAnsi="Arial"/>
                <w:sz w:val="18"/>
                <w:szCs w:val="18"/>
                <w:b w:val="1"/>
                <w:bCs w:val="1"/>
                <w:color w:val="auto"/>
              </w:rPr>
              <w:t>Other</w:t>
            </w:r>
          </w:p>
        </w:tc>
        <w:tc>
          <w:tcPr>
            <w:tcW w:w="6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Stockholders’</w:t>
            </w:r>
          </w:p>
        </w:tc>
      </w:tr>
      <w:tr>
        <w:trPr>
          <w:trHeight w:val="187"/>
        </w:trPr>
        <w:tc>
          <w:tcPr>
            <w:tcW w:w="3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6"/>
          </w:tcPr>
          <w:p>
            <w:pPr>
              <w:ind w:left="80"/>
              <w:spacing w:after="0" w:line="187" w:lineRule="exact"/>
              <w:rPr>
                <w:sz w:val="20"/>
                <w:szCs w:val="20"/>
                <w:color w:val="auto"/>
              </w:rPr>
            </w:pPr>
            <w:r>
              <w:rPr>
                <w:rFonts w:ascii="Arial" w:cs="Arial" w:eastAsia="Arial" w:hAnsi="Arial"/>
                <w:sz w:val="18"/>
                <w:szCs w:val="18"/>
                <w:b w:val="1"/>
                <w:bCs w:val="1"/>
                <w:color w:val="auto"/>
              </w:rPr>
              <w:t>Comprehensive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5"/>
        </w:trPr>
        <w:tc>
          <w:tcPr>
            <w:tcW w:w="3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9"/>
              </w:rPr>
              <w:t>Shares</w:t>
            </w:r>
          </w:p>
        </w:tc>
        <w:tc>
          <w:tcPr>
            <w:tcW w:w="680" w:type="dxa"/>
            <w:vAlign w:val="bottom"/>
            <w:gridSpan w:val="4"/>
          </w:tcPr>
          <w:p>
            <w:pPr>
              <w:jc w:val="right"/>
              <w:spacing w:after="0"/>
              <w:rPr>
                <w:sz w:val="20"/>
                <w:szCs w:val="20"/>
                <w:color w:val="auto"/>
              </w:rPr>
            </w:pPr>
            <w:r>
              <w:rPr>
                <w:rFonts w:ascii="Arial" w:cs="Arial" w:eastAsia="Arial" w:hAnsi="Arial"/>
                <w:sz w:val="18"/>
                <w:szCs w:val="18"/>
                <w:b w:val="1"/>
                <w:bCs w:val="1"/>
                <w:color w:val="auto"/>
                <w:w w:val="97"/>
              </w:rPr>
              <w:t>Amount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9"/>
              </w:rPr>
              <w:t>Capital</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Income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19"/>
                <w:szCs w:val="19"/>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Equity</w:t>
            </w:r>
          </w:p>
        </w:tc>
      </w:tr>
      <w:tr>
        <w:trPr>
          <w:trHeight w:val="209"/>
        </w:trPr>
        <w:tc>
          <w:tcPr>
            <w:tcW w:w="3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Balances as of December 31, 2020</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3,210</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left w:val="single" w:sz="8" w:color="CFF0FC"/>
            </w:tcBorders>
            <w:shd w:val="clear" w:color="auto" w:fill="CFF0FC"/>
          </w:tcPr>
          <w:p>
            <w:pPr>
              <w:spacing w:after="0"/>
              <w:rPr>
                <w:sz w:val="18"/>
                <w:szCs w:val="18"/>
                <w:color w:val="auto"/>
              </w:rPr>
            </w:pP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(2,184)</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80" w:type="dxa"/>
            <w:vAlign w:val="bottom"/>
            <w:shd w:val="clear" w:color="auto" w:fill="CFF0FC"/>
          </w:tcPr>
          <w:p>
            <w:pPr>
              <w:spacing w:after="0"/>
              <w:rPr>
                <w:sz w:val="18"/>
                <w:szCs w:val="18"/>
                <w:color w:val="auto"/>
              </w:rPr>
            </w:pPr>
          </w:p>
        </w:tc>
      </w:tr>
      <w:tr>
        <w:trPr>
          <w:trHeight w:val="215"/>
        </w:trPr>
        <w:tc>
          <w:tcPr>
            <w:tcW w:w="3860" w:type="dxa"/>
            <w:vAlign w:val="bottom"/>
          </w:tcPr>
          <w:p>
            <w:pPr>
              <w:ind w:left="260"/>
              <w:spacing w:after="0"/>
              <w:rPr>
                <w:sz w:val="20"/>
                <w:szCs w:val="20"/>
                <w:color w:val="auto"/>
              </w:rPr>
            </w:pPr>
            <w:r>
              <w:rPr>
                <w:rFonts w:ascii="Arial" w:cs="Arial" w:eastAsia="Arial" w:hAnsi="Arial"/>
                <w:sz w:val="18"/>
                <w:szCs w:val="18"/>
                <w:color w:val="auto"/>
              </w:rPr>
              <w:t>Issuance of common stock upon exercise of</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3860" w:type="dxa"/>
            <w:vAlign w:val="bottom"/>
          </w:tcPr>
          <w:p>
            <w:pPr>
              <w:ind w:left="260"/>
              <w:spacing w:after="0" w:line="203" w:lineRule="exact"/>
              <w:rPr>
                <w:sz w:val="20"/>
                <w:szCs w:val="20"/>
                <w:color w:val="auto"/>
              </w:rPr>
            </w:pPr>
            <w:r>
              <w:rPr>
                <w:rFonts w:ascii="Arial" w:cs="Arial" w:eastAsia="Arial" w:hAnsi="Arial"/>
                <w:sz w:val="18"/>
                <w:szCs w:val="18"/>
                <w:color w:val="auto"/>
              </w:rPr>
              <w:t>options for cash</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99"/>
              </w:rPr>
              <w:t>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r>
      <w:tr>
        <w:trPr>
          <w:trHeight w:val="215"/>
        </w:trPr>
        <w:tc>
          <w:tcPr>
            <w:tcW w:w="4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Issuance of common stock upon settlement of</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tcBorders>
              <w:left w:val="single" w:sz="8" w:color="CFF0FC"/>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3860" w:type="dxa"/>
            <w:vAlign w:val="bottom"/>
            <w:shd w:val="clear" w:color="auto" w:fill="CFF0FC"/>
          </w:tcPr>
          <w:p>
            <w:pPr>
              <w:ind w:left="260"/>
              <w:spacing w:after="0" w:line="203" w:lineRule="exact"/>
              <w:rPr>
                <w:sz w:val="20"/>
                <w:szCs w:val="20"/>
                <w:color w:val="auto"/>
              </w:rPr>
            </w:pPr>
            <w:r>
              <w:rPr>
                <w:rFonts w:ascii="Arial" w:cs="Arial" w:eastAsia="Arial" w:hAnsi="Arial"/>
                <w:sz w:val="18"/>
                <w:szCs w:val="18"/>
                <w:color w:val="auto"/>
              </w:rPr>
              <w:t>restricted stock units, net of tax</w:t>
            </w: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29</w:t>
            </w:r>
          </w:p>
        </w:tc>
        <w:tc>
          <w:tcPr>
            <w:tcW w:w="1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(5)</w:t>
            </w:r>
          </w:p>
        </w:tc>
      </w:tr>
      <w:tr>
        <w:trPr>
          <w:trHeight w:val="216"/>
        </w:trPr>
        <w:tc>
          <w:tcPr>
            <w:tcW w:w="386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r>
      <w:tr>
        <w:trPr>
          <w:trHeight w:val="216"/>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net</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38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r>
      <w:tr>
        <w:trPr>
          <w:trHeight w:val="20"/>
        </w:trPr>
        <w:tc>
          <w:tcPr>
            <w:tcW w:w="386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Balances as of March 31, 2021</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3,243</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(2,312)</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FF0FC"/>
          </w:tcPr>
          <w:p>
            <w:pPr>
              <w:spacing w:after="0"/>
              <w:rPr>
                <w:sz w:val="18"/>
                <w:szCs w:val="18"/>
                <w:color w:val="auto"/>
              </w:rPr>
            </w:pP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r>
        <w:trPr>
          <w:trHeight w:val="696"/>
        </w:trPr>
        <w:tc>
          <w:tcPr>
            <w:tcW w:w="38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16"/>
          </w:tcPr>
          <w:p>
            <w:pPr>
              <w:jc w:val="right"/>
              <w:ind w:right="900"/>
              <w:spacing w:after="0"/>
              <w:rPr>
                <w:sz w:val="20"/>
                <w:szCs w:val="20"/>
                <w:color w:val="auto"/>
              </w:rPr>
            </w:pPr>
            <w:r>
              <w:rPr>
                <w:rFonts w:ascii="Arial" w:cs="Arial" w:eastAsia="Arial" w:hAnsi="Arial"/>
                <w:sz w:val="18"/>
                <w:szCs w:val="18"/>
                <w:b w:val="1"/>
                <w:bCs w:val="1"/>
                <w:color w:val="auto"/>
              </w:rPr>
              <w:t>Three Months Ended March 31, 2020</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3860" w:type="dxa"/>
            <w:vAlign w:val="bottom"/>
          </w:tcPr>
          <w:p>
            <w:pPr>
              <w:spacing w:after="0"/>
              <w:rPr>
                <w:sz w:val="16"/>
                <w:szCs w:val="16"/>
                <w:color w:val="auto"/>
              </w:rPr>
            </w:pPr>
          </w:p>
        </w:tc>
        <w:tc>
          <w:tcPr>
            <w:tcW w:w="1560" w:type="dxa"/>
            <w:vAlign w:val="bottom"/>
            <w:gridSpan w:val="7"/>
          </w:tcPr>
          <w:p>
            <w:pPr>
              <w:jc w:val="center"/>
              <w:spacing w:after="0" w:line="187" w:lineRule="exact"/>
              <w:rPr>
                <w:sz w:val="20"/>
                <w:szCs w:val="20"/>
                <w:color w:val="auto"/>
              </w:rPr>
            </w:pPr>
            <w:r>
              <w:rPr>
                <w:rFonts w:ascii="Arial" w:cs="Arial" w:eastAsia="Arial" w:hAnsi="Arial"/>
                <w:sz w:val="18"/>
                <w:szCs w:val="18"/>
                <w:b w:val="1"/>
                <w:bCs w:val="1"/>
                <w:color w:val="auto"/>
                <w:w w:val="99"/>
              </w:rPr>
              <w:t>Redeemable</w:t>
            </w:r>
          </w:p>
        </w:tc>
        <w:tc>
          <w:tcPr>
            <w:tcW w:w="2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3860" w:type="dxa"/>
            <w:vAlign w:val="bottom"/>
          </w:tcPr>
          <w:p>
            <w:pPr>
              <w:spacing w:after="0"/>
              <w:rPr>
                <w:sz w:val="17"/>
                <w:szCs w:val="17"/>
                <w:color w:val="auto"/>
              </w:rPr>
            </w:pPr>
          </w:p>
        </w:tc>
        <w:tc>
          <w:tcPr>
            <w:tcW w:w="1300" w:type="dxa"/>
            <w:vAlign w:val="bottom"/>
            <w:gridSpan w:val="6"/>
          </w:tcPr>
          <w:p>
            <w:pPr>
              <w:jc w:val="center"/>
              <w:ind w:left="150"/>
              <w:spacing w:after="0" w:line="202" w:lineRule="exact"/>
              <w:rPr>
                <w:sz w:val="20"/>
                <w:szCs w:val="20"/>
                <w:color w:val="auto"/>
              </w:rPr>
            </w:pPr>
            <w:r>
              <w:rPr>
                <w:rFonts w:ascii="Arial" w:cs="Arial" w:eastAsia="Arial" w:hAnsi="Arial"/>
                <w:sz w:val="18"/>
                <w:szCs w:val="18"/>
                <w:b w:val="1"/>
                <w:bCs w:val="1"/>
                <w:color w:val="auto"/>
                <w:w w:val="98"/>
              </w:rPr>
              <w:t>Convertible</w:t>
            </w:r>
          </w:p>
        </w:tc>
        <w:tc>
          <w:tcPr>
            <w:tcW w:w="2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4"/>
          </w:tcPr>
          <w:p>
            <w:pPr>
              <w:ind w:left="180"/>
              <w:spacing w:after="0" w:line="202" w:lineRule="exact"/>
              <w:rPr>
                <w:sz w:val="20"/>
                <w:szCs w:val="20"/>
                <w:color w:val="auto"/>
              </w:rPr>
            </w:pPr>
            <w:r>
              <w:rPr>
                <w:rFonts w:ascii="Arial" w:cs="Arial" w:eastAsia="Arial" w:hAnsi="Arial"/>
                <w:sz w:val="18"/>
                <w:szCs w:val="18"/>
                <w:b w:val="1"/>
                <w:bCs w:val="1"/>
                <w:color w:val="auto"/>
              </w:rPr>
              <w:t>Additional</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7"/>
              </w:rPr>
              <w:t>Total</w:t>
            </w:r>
          </w:p>
        </w:tc>
      </w:tr>
      <w:tr>
        <w:trPr>
          <w:trHeight w:val="225"/>
        </w:trPr>
        <w:tc>
          <w:tcPr>
            <w:tcW w:w="3860" w:type="dxa"/>
            <w:vAlign w:val="bottom"/>
          </w:tcPr>
          <w:p>
            <w:pPr>
              <w:spacing w:after="0"/>
              <w:rPr>
                <w:sz w:val="19"/>
                <w:szCs w:val="19"/>
                <w:color w:val="auto"/>
              </w:rPr>
            </w:pPr>
          </w:p>
        </w:tc>
        <w:tc>
          <w:tcPr>
            <w:tcW w:w="15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9"/>
              </w:rPr>
              <w:t>Preferred Stock</w:t>
            </w:r>
          </w:p>
        </w:tc>
        <w:tc>
          <w:tcPr>
            <w:tcW w:w="2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8"/>
                <w:szCs w:val="18"/>
                <w:b w:val="1"/>
                <w:bCs w:val="1"/>
                <w:color w:val="auto"/>
                <w:w w:val="99"/>
              </w:rPr>
              <w:t>Common Stock</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Paid-in</w:t>
            </w:r>
          </w:p>
        </w:tc>
        <w:tc>
          <w:tcPr>
            <w:tcW w:w="1400" w:type="dxa"/>
            <w:vAlign w:val="bottom"/>
            <w:gridSpan w:val="4"/>
          </w:tcPr>
          <w:p>
            <w:pPr>
              <w:ind w:left="40"/>
              <w:spacing w:after="0"/>
              <w:rPr>
                <w:sz w:val="20"/>
                <w:szCs w:val="20"/>
                <w:color w:val="auto"/>
              </w:rPr>
            </w:pPr>
            <w:r>
              <w:rPr>
                <w:rFonts w:ascii="Arial" w:cs="Arial" w:eastAsia="Arial" w:hAnsi="Arial"/>
                <w:sz w:val="18"/>
                <w:szCs w:val="18"/>
                <w:b w:val="1"/>
                <w:bCs w:val="1"/>
                <w:color w:val="auto"/>
              </w:rPr>
              <w:t>Accumulated</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7"/>
              </w:rPr>
              <w:t>Stockholders’</w:t>
            </w:r>
          </w:p>
        </w:tc>
      </w:tr>
      <w:tr>
        <w:trPr>
          <w:trHeight w:val="209"/>
        </w:trPr>
        <w:tc>
          <w:tcPr>
            <w:tcW w:w="38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5"/>
          </w:tcPr>
          <w:p>
            <w:pPr>
              <w:ind w:left="60"/>
              <w:spacing w:after="0"/>
              <w:rPr>
                <w:sz w:val="20"/>
                <w:szCs w:val="20"/>
                <w:color w:val="auto"/>
              </w:rPr>
            </w:pPr>
            <w:r>
              <w:rPr>
                <w:rFonts w:ascii="Arial" w:cs="Arial" w:eastAsia="Arial" w:hAnsi="Arial"/>
                <w:sz w:val="18"/>
                <w:szCs w:val="18"/>
                <w:b w:val="1"/>
                <w:bCs w:val="1"/>
                <w:color w:val="auto"/>
              </w:rPr>
              <w:t>Shares</w:t>
            </w:r>
          </w:p>
        </w:tc>
        <w:tc>
          <w:tcPr>
            <w:tcW w:w="700" w:type="dxa"/>
            <w:vAlign w:val="bottom"/>
            <w:gridSpan w:val="4"/>
          </w:tcPr>
          <w:p>
            <w:pPr>
              <w:jc w:val="right"/>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Capital</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Deficit</w:t>
            </w:r>
          </w:p>
        </w:tc>
      </w:tr>
      <w:tr>
        <w:trPr>
          <w:trHeight w:val="210"/>
        </w:trPr>
        <w:tc>
          <w:tcPr>
            <w:tcW w:w="38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Balances as of December 31, 2019</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2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103</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(1,439)</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(1,439)</w:t>
            </w:r>
          </w:p>
        </w:tc>
      </w:tr>
      <w:tr>
        <w:trPr>
          <w:trHeight w:val="215"/>
        </w:trPr>
        <w:tc>
          <w:tcPr>
            <w:tcW w:w="3860" w:type="dxa"/>
            <w:vAlign w:val="bottom"/>
          </w:tcPr>
          <w:p>
            <w:pPr>
              <w:ind w:left="260"/>
              <w:spacing w:after="0"/>
              <w:rPr>
                <w:sz w:val="20"/>
                <w:szCs w:val="20"/>
                <w:color w:val="auto"/>
              </w:rPr>
            </w:pPr>
            <w:r>
              <w:rPr>
                <w:rFonts w:ascii="Arial" w:cs="Arial" w:eastAsia="Arial" w:hAnsi="Arial"/>
                <w:sz w:val="18"/>
                <w:szCs w:val="18"/>
                <w:color w:val="auto"/>
              </w:rPr>
              <w:t>Issuance of common stock upon exercise of</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3860" w:type="dxa"/>
            <w:vAlign w:val="bottom"/>
          </w:tcPr>
          <w:p>
            <w:pPr>
              <w:ind w:left="260"/>
              <w:spacing w:after="0" w:line="203" w:lineRule="exact"/>
              <w:rPr>
                <w:sz w:val="20"/>
                <w:szCs w:val="20"/>
                <w:color w:val="auto"/>
              </w:rPr>
            </w:pPr>
            <w:r>
              <w:rPr>
                <w:rFonts w:ascii="Arial" w:cs="Arial" w:eastAsia="Arial" w:hAnsi="Arial"/>
                <w:sz w:val="18"/>
                <w:szCs w:val="18"/>
                <w:color w:val="auto"/>
              </w:rPr>
              <w:t>options for cash</w:t>
            </w:r>
          </w:p>
        </w:tc>
        <w:tc>
          <w:tcPr>
            <w:tcW w:w="4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r>
      <w:tr>
        <w:trPr>
          <w:trHeight w:val="216"/>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and comprehensive loss</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FF0FC"/>
            </w:tcBorders>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r>
      <w:tr>
        <w:trPr>
          <w:trHeight w:val="20"/>
        </w:trPr>
        <w:tc>
          <w:tcPr>
            <w:tcW w:w="38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860" w:type="dxa"/>
            <w:vAlign w:val="bottom"/>
          </w:tcPr>
          <w:p>
            <w:pPr>
              <w:spacing w:after="0"/>
              <w:rPr>
                <w:sz w:val="20"/>
                <w:szCs w:val="20"/>
                <w:color w:val="auto"/>
              </w:rPr>
            </w:pPr>
            <w:r>
              <w:rPr>
                <w:rFonts w:ascii="Arial" w:cs="Arial" w:eastAsia="Arial" w:hAnsi="Arial"/>
                <w:sz w:val="18"/>
                <w:szCs w:val="18"/>
                <w:color w:val="auto"/>
              </w:rPr>
              <w:t>Balances as of March 31, 2020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1,536</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106</w:t>
            </w:r>
          </w:p>
        </w:tc>
        <w:tc>
          <w:tcPr>
            <w:tcW w:w="18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(1,505)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(1,504)</w:t>
            </w:r>
          </w:p>
        </w:tc>
      </w:tr>
      <w:tr>
        <w:trPr>
          <w:trHeight w:val="20"/>
        </w:trPr>
        <w:tc>
          <w:tcPr>
            <w:tcW w:w="3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ind w:left="5120"/>
        <w:spacing w:after="0" w:line="234" w:lineRule="auto"/>
        <w:rPr>
          <w:sz w:val="20"/>
          <w:szCs w:val="20"/>
          <w:color w:val="auto"/>
        </w:rPr>
      </w:pPr>
      <w:r>
        <w:rPr>
          <w:rFonts w:ascii="Arial" w:cs="Arial" w:eastAsia="Arial" w:hAnsi="Arial"/>
          <w:sz w:val="18"/>
          <w:szCs w:val="18"/>
          <w:b w:val="1"/>
          <w:bCs w:val="1"/>
          <w:color w:val="auto"/>
        </w:rPr>
        <w:t>(in millions)</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0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8"/>
                <w:szCs w:val="18"/>
                <w:b w:val="1"/>
                <w:bCs w:val="1"/>
                <w:color w:val="auto"/>
              </w:rPr>
              <w:t>March 31,</w:t>
            </w:r>
          </w:p>
        </w:tc>
        <w:tc>
          <w:tcPr>
            <w:tcW w:w="4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6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10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lease expense</w:t>
            </w: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Remeasurement of redeemable convertible preferred stock warrant liability</w:t>
            </w: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Funds receivable</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other current and noncurrent assets</w:t>
            </w: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Merchants payable</w:t>
            </w: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Accrued and refund liabilities</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liabilities</w:t>
            </w: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Other current and noncurrent liabilities</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48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9"/>
        </w:trPr>
        <w:tc>
          <w:tcPr>
            <w:tcW w:w="74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marketable securities</w:t>
            </w: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Maturities of marketable securities</w:t>
            </w:r>
          </w:p>
        </w:tc>
        <w:tc>
          <w:tcPr>
            <w:tcW w:w="56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investing activities</w:t>
            </w:r>
          </w:p>
        </w:tc>
        <w:tc>
          <w:tcPr>
            <w:tcW w:w="560" w:type="dxa"/>
            <w:vAlign w:val="bottom"/>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taxes related to RSU settlement and other financing activities, net</w:t>
            </w: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56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1,965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42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1,620</w:t>
            </w: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Reconciliation of cash, cash equivalents, and restricted cash to the condensed</w:t>
            </w:r>
          </w:p>
        </w:tc>
        <w:tc>
          <w:tcPr>
            <w:tcW w:w="5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4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480" w:type="dxa"/>
            <w:vAlign w:val="bottom"/>
          </w:tcPr>
          <w:p>
            <w:pPr>
              <w:spacing w:after="0"/>
              <w:rPr>
                <w:sz w:val="20"/>
                <w:szCs w:val="20"/>
                <w:color w:val="auto"/>
              </w:rPr>
            </w:pPr>
            <w:r>
              <w:rPr>
                <w:rFonts w:ascii="Arial" w:cs="Arial" w:eastAsia="Arial" w:hAnsi="Arial"/>
                <w:sz w:val="18"/>
                <w:szCs w:val="18"/>
                <w:b w:val="1"/>
                <w:bCs w:val="1"/>
                <w:color w:val="auto"/>
              </w:rPr>
              <w:t>consolidated balance sheets:</w:t>
            </w: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2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1,620</w:t>
            </w: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included in other assets in the condensed consolidated balance sheets</w:t>
            </w:r>
          </w:p>
        </w:tc>
        <w:tc>
          <w:tcPr>
            <w:tcW w:w="56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142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1,620</w:t>
            </w: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Supplemental cash flow disclosures:</w:t>
            </w:r>
          </w:p>
        </w:tc>
        <w:tc>
          <w:tcPr>
            <w:tcW w:w="5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taxes, net of refunds</w:t>
            </w:r>
          </w:p>
        </w:tc>
        <w:tc>
          <w:tcPr>
            <w:tcW w:w="142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BASIS OF PRESENTATION AND SIGNIFICANT ACCOUNTING POLICIES</w:t>
      </w:r>
    </w:p>
    <w:p>
      <w:pPr>
        <w:spacing w:after="0" w:line="85"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ContextLogic Inc. (“Wish” or the “Company”) is an ecommerce company that provides a shopping experience that is mobile-first and discovery-based, which connects merchants’ products to users based on user preferences. The Company generates revenue from marketplace and logistics services provided to merchants.</w:t>
      </w:r>
    </w:p>
    <w:p>
      <w:pPr>
        <w:spacing w:after="0" w:line="149"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18"/>
          <w:szCs w:val="18"/>
          <w:color w:val="auto"/>
        </w:rPr>
        <w:t>The Company was incorporated in the state of Delaware in June 2010 and is headquartered in San Francisco, California, with operations in Canada, China and the Netherlands.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80"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In December 2020, the Company completed its initial public offering (“IPO”) of Class A common stock, in which it sold 46 million shares. The shares were sold at an IPO price of $24.00 per share for net proceeds of approximately $1.1 billion, after deducting underwriting discounts and commissions of approximately $52 million. Additionally, the Company incurred approximately $6 million of offering costs, net of reimbursements. Following the IPO, the Company has two classes of authorized common stock, Class A common stock, which entitles holders to one vote per share, and Class B common stock, which entitles holders to 20 votes per share.</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80"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United States generally accepted accounting principles (“U.S. GAAP”). The condensed consolidated financial statements include the accounts of the Company and its wholly owned subsidiaries. All intercompany balances and transactions have been eliminated in consolidation. The condensed consolidated financial statements are unaudited, but include all adjustments of a normal recurring nature necessary for a fair presentation of our quarterly results. The consolidated balance sheet as of December 31, 2020 is derived from audited financial statements, however, it does not include all of the information and footnotes required by U.S. GAAP for complete financial statements. These condensed consolidated financial statements should be read in conjunction with the consolidated financial statements and related notes in our Annual Report on Form 10-K for the year ended December 31, 2020, which was filed with the Securities and Exchange Commission (“SEC”) on March 25, 2021.</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85"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and assumptions that affect the reported amounts of assets and liabilities, disclosures of contingent assets and liabilities at the date of the condensed consolidated financial statements, and the reported amounts of revenue and expenses during the reporting period. These estimates form the basis for judgments the Company makes about the carrying values of its assets and liabilities that are not readily available from other sources. These estimates include, but are not limited to, fair value of financial instruments, useful lives of long-lived assets, fair value of derivative instruments, incremental borrowing rate applied to lease accounting, contingent liabilities, redemption probabilities associated with Wish Cash, allowances for refunds and chargebacks and uncertain tax positions. As of March 31, 2021, the effects of the ongoing COVID-19 pandemic on the Company’s business, results of operations, and financial condition continue to evolve. As a result, many of the Company’s estimates and assumptions required increased judgment and these estimates may change materially in future periods.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Segments</w:t>
      </w:r>
    </w:p>
    <w:p>
      <w:pPr>
        <w:spacing w:after="0" w:line="99"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makes operating decisions, assesses financial performance and allocates resources based on condensed consolidated financial information. As such, the Company has determined that it operates in one reportable segment.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ind w:left="64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81" w:lineRule="exact"/>
        <w:rPr>
          <w:sz w:val="20"/>
          <w:szCs w:val="20"/>
          <w:color w:val="auto"/>
        </w:rPr>
      </w:pPr>
    </w:p>
    <w:p>
      <w:pPr>
        <w:jc w:val="both"/>
        <w:ind w:firstLine="637"/>
        <w:spacing w:after="0" w:line="239" w:lineRule="auto"/>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Financial instruments that potentially subject the Company to concentrations of credit risk consist primarily of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funds receivable, marketable securities and derivative financial instruments. The Company’s cash and cash equivalents are held on deposit with creditworthy institutions. Although the Company’s deposits exceed federally insured limits, the Company has not experienced any losses in such accounts. The Company invests its excess cash in money market accounts, U.S. Treasury notes, U.S. Treasury bills, commercial paper and corporate bonds. The Company is exposed to credit risk in the event of a default by the financial institutions holding its cash, cash equivalents and marketable securities for the amounts reflected on the condensed consolidated balance sheets. The Company’s investment policy limits investments to certain types of debt securities issued by the U.S. government, its agencies and institutions with investment-grade credit ratings and places restrictions on maturities and concentration by type and issuer.</w:t>
      </w:r>
    </w:p>
    <w:p>
      <w:pPr>
        <w:spacing w:after="0" w:line="57"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The Company's derivative financial instruments expose it to credit risk to the extent that the counterparties may be unable to meet the terms of the arrangement. The Company seeks to mitigate such risk by limiting its counterparties to, and by spreading the risk across, major financial institutions. In addition, the potential risk of loss with any one counterparty resulting from this type of credit risk is monitored on a monthly basis. The Company is not required to pledge, nor is it entitled to receive, collateral related to its foreign exchange derivative transactions.</w:t>
      </w:r>
    </w:p>
    <w:p>
      <w:pPr>
        <w:spacing w:after="0" w:line="148" w:lineRule="exact"/>
        <w:rPr>
          <w:sz w:val="20"/>
          <w:szCs w:val="20"/>
          <w:color w:val="auto"/>
        </w:rPr>
      </w:pPr>
    </w:p>
    <w:p>
      <w:pPr>
        <w:jc w:val="both"/>
        <w:ind w:right="20" w:firstLine="637"/>
        <w:spacing w:after="0"/>
        <w:rPr>
          <w:sz w:val="20"/>
          <w:szCs w:val="20"/>
          <w:color w:val="auto"/>
        </w:rPr>
      </w:pPr>
      <w:r>
        <w:rPr>
          <w:rFonts w:ascii="Arial" w:cs="Arial" w:eastAsia="Arial" w:hAnsi="Arial"/>
          <w:sz w:val="18"/>
          <w:szCs w:val="18"/>
          <w:color w:val="auto"/>
        </w:rPr>
        <w:t>The Company is exposed to credit risk in the event of a default by its Payment Service Providers (“PSPs”). The Company does not generate revenue from PSPs. Significant changes in the Company’s relationship with its PSPs could adversely affect users’ ability to process transactions on the Company’s marketplaces, thereby impacting the Company’s operating results.</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PSPs each represented 10% or more of the Company’s funds receivable balance: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240" w:type="dxa"/>
            <w:vAlign w:val="bottom"/>
          </w:tcPr>
          <w:p>
            <w:pPr>
              <w:jc w:val="center"/>
              <w:ind w:left="170"/>
              <w:spacing w:after="0"/>
              <w:rPr>
                <w:sz w:val="20"/>
                <w:szCs w:val="20"/>
                <w:color w:val="auto"/>
              </w:rPr>
            </w:pPr>
            <w:r>
              <w:rPr>
                <w:rFonts w:ascii="Arial" w:cs="Arial" w:eastAsia="Arial" w:hAnsi="Arial"/>
                <w:sz w:val="18"/>
                <w:szCs w:val="18"/>
                <w:b w:val="1"/>
                <w:bCs w:val="1"/>
                <w:color w:val="auto"/>
                <w:w w:val="98"/>
              </w:rPr>
              <w:t>March 31,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68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FF0FC"/>
            </w:tcBorders>
          </w:tcPr>
          <w:p>
            <w:pPr>
              <w:spacing w:after="0"/>
              <w:rPr>
                <w:sz w:val="19"/>
                <w:szCs w:val="19"/>
                <w:color w:val="auto"/>
              </w:rPr>
            </w:pPr>
          </w:p>
        </w:tc>
      </w:tr>
      <w:tr>
        <w:trPr>
          <w:trHeight w:val="210"/>
        </w:trPr>
        <w:tc>
          <w:tcPr>
            <w:tcW w:w="8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PSP 1</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61%</w:t>
            </w: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w:t>
            </w:r>
          </w:p>
        </w:tc>
      </w:tr>
      <w:tr>
        <w:trPr>
          <w:trHeight w:val="229"/>
        </w:trPr>
        <w:tc>
          <w:tcPr>
            <w:tcW w:w="8920" w:type="dxa"/>
            <w:vAlign w:val="bottom"/>
            <w:gridSpan w:val="2"/>
          </w:tcPr>
          <w:p>
            <w:pPr>
              <w:spacing w:after="0"/>
              <w:rPr>
                <w:sz w:val="20"/>
                <w:szCs w:val="20"/>
                <w:color w:val="auto"/>
              </w:rPr>
            </w:pPr>
            <w:r>
              <w:rPr>
                <w:rFonts w:ascii="Arial" w:cs="Arial" w:eastAsia="Arial" w:hAnsi="Arial"/>
                <w:sz w:val="18"/>
                <w:szCs w:val="18"/>
                <w:color w:val="auto"/>
              </w:rPr>
              <w:t>PSP 2</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bl>
    <w:p>
      <w:pPr>
        <w:spacing w:after="0" w:line="211"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i w:val="1"/>
          <w:iCs w:val="1"/>
          <w:color w:val="auto"/>
        </w:rPr>
        <w:t xml:space="preserve">Services Risk </w:t>
      </w:r>
      <w:r>
        <w:rPr>
          <w:rFonts w:ascii="Arial" w:cs="Arial" w:eastAsia="Arial" w:hAnsi="Arial"/>
          <w:sz w:val="18"/>
          <w:szCs w:val="18"/>
          <w:color w:val="auto"/>
        </w:rPr>
        <w:t>— The Company serves all of its users using third-party data center and hosting providers. The Company has disaster</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protocols at the third-party service providers. Even with these procedures for disaster recovery in place, access to the Company’s service could be significantly interrupted, resulting in an adverse effect on its operating results and financial position. No significant interruptions of service were known to have occurred during the three months ended March 31, 2021 and 2020.</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80"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There have been no changes to the Company’s significant accounting policies described in its Annual Report on Form 10-K for the year ended December 31, 2020, filed with the SEC on March 25, 2021, that have had a material impact on its condensed consolidated financial statements.</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80"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18"/>
          <w:szCs w:val="18"/>
          <w:color w:val="auto"/>
        </w:rPr>
        <w:t>The Company has reviewed recent accounting pronouncements and concluded they are either not applicable to the business or no material impact is expected on the condensed consolidated financial statements as a result of future adoption.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DISAGGREGATION OF REVENUE</w:t>
      </w:r>
    </w:p>
    <w:p>
      <w:pPr>
        <w:spacing w:after="0" w:line="180"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The Company generates revenue from marketplace and logistics services provided to merchants. Revenue is recognized as the Company transfers control of promised goods or services to its users in an amount that reflects the consideration the Company expects to be entitled to in exchange for those goods or services. The Company considers both the merchant and the user to be customers. The Company evaluates whether it is appropriate to recognize revenue on a gross or net basis based upon its evaluation of whether the Company obtains control of the specified goods or services by considering if it is primarily responsible for fulfillment of the promise, has inventory risk, has latitude in establishing pricing and selecting suppliers, among other factors. Based on these factors, marketplace revenue is generally recognized on a net basis and logistics revenue is generally recognized on a gross basis. Revenue excludes any amounts collected on behalf of third parties, including indirect taxes.</w:t>
      </w:r>
    </w:p>
    <w:p>
      <w:pPr>
        <w:spacing w:after="0" w:line="154"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Marketplace revenue includes commission fees collected in connection with user purchases of the merchants’ products. The commission fees vary depending on factors such as user location, demand, product type, and dynamic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10" w:name="page11"/>
    <w:bookmarkEnd w:id="10"/>
    <w:p>
      <w:pPr>
        <w:jc w:val="both"/>
        <w:spacing w:after="0" w:line="238" w:lineRule="auto"/>
        <w:rPr>
          <w:sz w:val="20"/>
          <w:szCs w:val="20"/>
          <w:color w:val="auto"/>
        </w:rPr>
      </w:pPr>
      <w:r>
        <w:rPr>
          <w:rFonts w:ascii="Arial" w:cs="Arial" w:eastAsia="Arial" w:hAnsi="Arial"/>
          <w:sz w:val="18"/>
          <w:szCs w:val="18"/>
          <w:color w:val="auto"/>
        </w:rPr>
        <w:t>pricing. The Company recognizes revenue when a user’s order is processed and the related order information has been made available to the merchant. Commission fees are recognized net of estimated refunds and chargebacks. Marketplace revenue also includes ProductBoost revenue for displaying a merchant’s selected products in preferential locations within the Company’s marketplace. The Company recognizes revenue when the merchants’ selected products are displayed. The Company refers to its marketplace revenue, excluding ProductBoost revenue, as its core marketplace revenue.</w:t>
      </w:r>
    </w:p>
    <w:p>
      <w:pPr>
        <w:spacing w:after="0" w:line="54" w:lineRule="exact"/>
        <w:rPr>
          <w:sz w:val="20"/>
          <w:szCs w:val="20"/>
          <w:color w:val="auto"/>
        </w:rPr>
      </w:pPr>
    </w:p>
    <w:p>
      <w:pPr>
        <w:jc w:val="both"/>
        <w:ind w:firstLine="832"/>
        <w:spacing w:after="0" w:line="238" w:lineRule="auto"/>
        <w:rPr>
          <w:sz w:val="20"/>
          <w:szCs w:val="20"/>
          <w:color w:val="auto"/>
        </w:rPr>
      </w:pPr>
      <w:r>
        <w:rPr>
          <w:rFonts w:ascii="Arial" w:cs="Arial" w:eastAsia="Arial" w:hAnsi="Arial"/>
          <w:sz w:val="18"/>
          <w:szCs w:val="18"/>
          <w:color w:val="auto"/>
        </w:rPr>
        <w:t>The Company’s logistics offering for merchants is designed for direct end-to-end single order shipment from a merchant’s location to the user. Logistics services include transportation and delivery of the merchant’s products to the user. Merchants are required to prepay for logistics services on a per order basis. The Company recognizes revenue over time as the merchant simultaneously receives and consumes the logistics services benefit as the services are performed. The Company uses an output method of progress based on days in transit as it best depicts the Company’s progress toward complete satisfaction of the performance obligation.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disaggregated revenue for the applicable periods: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5"/>
        </w:trPr>
        <w:tc>
          <w:tcPr>
            <w:tcW w:w="4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March 31,</w:t>
            </w:r>
          </w:p>
        </w:tc>
        <w:tc>
          <w:tcPr>
            <w:tcW w:w="1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r>
      <w:tr>
        <w:trPr>
          <w:trHeight w:val="209"/>
        </w:trPr>
        <w:tc>
          <w:tcPr>
            <w:tcW w:w="4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Core marketplace revenue</w:t>
            </w:r>
          </w:p>
        </w:tc>
        <w:tc>
          <w:tcPr>
            <w:tcW w:w="3380" w:type="dxa"/>
            <w:vAlign w:val="bottom"/>
            <w:gridSpan w:val="2"/>
            <w:shd w:val="clear" w:color="auto" w:fill="CFF0FC"/>
          </w:tcPr>
          <w:p>
            <w:pPr>
              <w:jc w:val="right"/>
              <w:ind w:right="1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FF0FC"/>
          </w:tcPr>
          <w:p>
            <w:pPr>
              <w:spacing w:after="0"/>
              <w:rPr>
                <w:sz w:val="18"/>
                <w:szCs w:val="18"/>
                <w:color w:val="auto"/>
              </w:rPr>
            </w:pPr>
          </w:p>
        </w:tc>
      </w:tr>
      <w:tr>
        <w:trPr>
          <w:trHeight w:val="216"/>
        </w:trPr>
        <w:tc>
          <w:tcPr>
            <w:tcW w:w="4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ProductBoost revenue</w:t>
            </w:r>
          </w:p>
        </w:tc>
        <w:tc>
          <w:tcPr>
            <w:tcW w:w="202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2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FF0FC"/>
            </w:tcBorders>
          </w:tcPr>
          <w:p>
            <w:pPr>
              <w:spacing w:after="0"/>
              <w:rPr>
                <w:sz w:val="18"/>
                <w:szCs w:val="18"/>
                <w:color w:val="auto"/>
              </w:rPr>
            </w:pP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Marketplace revenue</w:t>
            </w:r>
          </w:p>
        </w:tc>
        <w:tc>
          <w:tcPr>
            <w:tcW w:w="20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FF0FC"/>
          </w:tcPr>
          <w:p>
            <w:pPr>
              <w:spacing w:after="0"/>
              <w:rPr>
                <w:sz w:val="18"/>
                <w:szCs w:val="18"/>
                <w:color w:val="auto"/>
              </w:rPr>
            </w:pPr>
          </w:p>
        </w:tc>
      </w:tr>
      <w:tr>
        <w:trPr>
          <w:trHeight w:val="216"/>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Logistics revenue</w:t>
            </w:r>
          </w:p>
        </w:tc>
        <w:tc>
          <w:tcPr>
            <w:tcW w:w="202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42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FF0FC"/>
            </w:tcBorders>
          </w:tcPr>
          <w:p>
            <w:pPr>
              <w:spacing w:after="0"/>
              <w:rPr>
                <w:sz w:val="18"/>
                <w:szCs w:val="18"/>
                <w:color w:val="auto"/>
              </w:rPr>
            </w:pPr>
          </w:p>
        </w:tc>
      </w:tr>
      <w:tr>
        <w:trPr>
          <w:trHeight w:val="209"/>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Revenue</w:t>
            </w:r>
          </w:p>
        </w:tc>
        <w:tc>
          <w:tcPr>
            <w:tcW w:w="3380" w:type="dxa"/>
            <w:vAlign w:val="bottom"/>
            <w:gridSpan w:val="2"/>
            <w:shd w:val="clear" w:color="auto" w:fill="CFF0FC"/>
          </w:tcPr>
          <w:p>
            <w:pPr>
              <w:jc w:val="right"/>
              <w:ind w:right="1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FF0FC"/>
          </w:tcPr>
          <w:p>
            <w:pPr>
              <w:spacing w:after="0"/>
              <w:rPr>
                <w:sz w:val="18"/>
                <w:szCs w:val="18"/>
                <w:color w:val="auto"/>
              </w:rPr>
            </w:pP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20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Refer to Note 11 – Geographical Information for the disaggregated revenue by geographical location.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FINANCIAL INSTRUMENTS AND FAIR VALUE MEASUREMENT</w:t>
      </w:r>
    </w:p>
    <w:p>
      <w:pPr>
        <w:spacing w:after="0" w:line="99"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The Company’s financial instruments consist of cash equivalents, marketable securities, funds receivable, derivative instruments, accounts payable, accrued liabilities and merchants payable. Cash equivalents’ carrying value approximates fair value at the balance sheet dates, due to the short period of time to maturity. Marketable securities and derivative instruments are recognized at fair value. Funds receivable, accounts payable, accrued liabilities and merchants payable carrying values approximate fair value due to the short time to the expected receipt or payment date.</w:t>
      </w:r>
    </w:p>
    <w:p>
      <w:pPr>
        <w:spacing w:after="0" w:line="148"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Assets and liabilities recognized at fair value on a recurring basis in the condensed consolidated balance sheets consisting of cash equivalents, marketable securities and derivative instruments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 w:name="page12"/>
    <w:bookmarkEnd w:id="11"/>
    <w:p>
      <w:pPr>
        <w:jc w:val="both"/>
        <w:ind w:firstLine="637"/>
        <w:spacing w:after="0" w:line="246" w:lineRule="auto"/>
        <w:rPr>
          <w:sz w:val="20"/>
          <w:szCs w:val="20"/>
          <w:color w:val="auto"/>
        </w:rPr>
      </w:pPr>
      <w:r>
        <w:rPr>
          <w:rFonts w:ascii="Arial" w:cs="Arial" w:eastAsia="Arial" w:hAnsi="Arial"/>
          <w:sz w:val="18"/>
          <w:szCs w:val="18"/>
          <w:color w:val="auto"/>
        </w:rPr>
        <w:t>Financial assets and liabilities subject to fair value measurements on a recurring basis and the level of inputs used in such measurements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7"/>
          </w:tcPr>
          <w:p>
            <w:pPr>
              <w:jc w:val="center"/>
              <w:ind w:right="420"/>
              <w:spacing w:after="0"/>
              <w:rPr>
                <w:sz w:val="20"/>
                <w:szCs w:val="20"/>
                <w:color w:val="auto"/>
              </w:rPr>
            </w:pPr>
            <w:r>
              <w:rPr>
                <w:rFonts w:ascii="Arial" w:cs="Arial" w:eastAsia="Arial" w:hAnsi="Arial"/>
                <w:sz w:val="18"/>
                <w:szCs w:val="18"/>
                <w:b w:val="1"/>
                <w:bCs w:val="1"/>
                <w:color w:val="auto"/>
                <w:w w:val="99"/>
              </w:rPr>
              <w:t>March 31, 2021</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58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8"/>
                <w:szCs w:val="18"/>
                <w:color w:val="auto"/>
              </w:rPr>
            </w:pPr>
          </w:p>
        </w:tc>
      </w:tr>
      <w:tr>
        <w:trPr>
          <w:trHeight w:val="210"/>
        </w:trPr>
        <w:tc>
          <w:tcPr>
            <w:tcW w:w="5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Cash equivalents: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Marketable securities:</w:t>
            </w: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bills</w:t>
            </w: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Non-US government</w:t>
            </w: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tcPr>
          <w:p>
            <w:pPr>
              <w:spacing w:after="0"/>
              <w:rPr>
                <w:sz w:val="18"/>
                <w:szCs w:val="18"/>
                <w:color w:val="auto"/>
              </w:rPr>
            </w:pPr>
          </w:p>
        </w:tc>
      </w:tr>
      <w:tr>
        <w:trPr>
          <w:trHeight w:val="21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marketable securities</w:t>
            </w: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154</w:t>
            </w: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8"/>
                <w:szCs w:val="18"/>
                <w:color w:val="auto"/>
              </w:rPr>
            </w:pPr>
          </w:p>
        </w:tc>
      </w:tr>
      <w:tr>
        <w:trPr>
          <w:trHeight w:val="249"/>
        </w:trPr>
        <w:tc>
          <w:tcPr>
            <w:tcW w:w="5820" w:type="dxa"/>
            <w:vAlign w:val="bottom"/>
          </w:tcPr>
          <w:p>
            <w:pPr>
              <w:ind w:left="500"/>
              <w:spacing w:after="0"/>
              <w:rPr>
                <w:sz w:val="20"/>
                <w:szCs w:val="20"/>
                <w:color w:val="auto"/>
              </w:rPr>
            </w:pPr>
            <w:r>
              <w:rPr>
                <w:rFonts w:ascii="Arial" w:cs="Arial" w:eastAsia="Arial" w:hAnsi="Arial"/>
                <w:sz w:val="18"/>
                <w:szCs w:val="18"/>
                <w:color w:val="auto"/>
              </w:rPr>
              <w:t>Total financial assets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197"/>
        </w:trPr>
        <w:tc>
          <w:tcPr>
            <w:tcW w:w="58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80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Accrued liabilities: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Derivative liabilities</w:t>
            </w: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8"/>
                <w:szCs w:val="18"/>
                <w:color w:val="auto"/>
              </w:rPr>
            </w:pPr>
          </w:p>
        </w:tc>
      </w:tr>
      <w:tr>
        <w:trPr>
          <w:trHeight w:val="210"/>
        </w:trPr>
        <w:tc>
          <w:tcPr>
            <w:tcW w:w="5820" w:type="dxa"/>
            <w:vAlign w:val="bottom"/>
          </w:tcPr>
          <w:p>
            <w:pPr>
              <w:ind w:left="500"/>
              <w:spacing w:after="0"/>
              <w:rPr>
                <w:sz w:val="20"/>
                <w:szCs w:val="20"/>
                <w:color w:val="auto"/>
              </w:rPr>
            </w:pPr>
            <w:r>
              <w:rPr>
                <w:rFonts w:ascii="Arial" w:cs="Arial" w:eastAsia="Arial" w:hAnsi="Arial"/>
                <w:sz w:val="18"/>
                <w:szCs w:val="18"/>
                <w:color w:val="auto"/>
              </w:rPr>
              <w:t>Total financial liabilities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0"/>
        </w:trPr>
        <w:tc>
          <w:tcPr>
            <w:tcW w:w="5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b w:val="1"/>
                <w:bCs w:val="1"/>
                <w:color w:val="auto"/>
                <w:w w:val="99"/>
              </w:rPr>
              <w:t>December 31, 2020</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8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r>
      <w:tr>
        <w:trPr>
          <w:trHeight w:val="210"/>
        </w:trPr>
        <w:tc>
          <w:tcPr>
            <w:tcW w:w="5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Cash equivalents: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U.S. Treasury bills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8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Pr>
          <w:p>
            <w:pPr>
              <w:ind w:left="500"/>
              <w:spacing w:after="0"/>
              <w:rPr>
                <w:sz w:val="20"/>
                <w:szCs w:val="20"/>
                <w:color w:val="auto"/>
              </w:rPr>
            </w:pPr>
            <w:r>
              <w:rPr>
                <w:rFonts w:ascii="Arial" w:cs="Arial" w:eastAsia="Arial" w:hAnsi="Arial"/>
                <w:sz w:val="18"/>
                <w:szCs w:val="18"/>
                <w:color w:val="auto"/>
              </w:rPr>
              <w:t>Total cash equivalents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8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U.S. Treasury bills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Corporate bonds</w:t>
            </w: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8"/>
                <w:szCs w:val="18"/>
                <w:color w:val="auto"/>
              </w:rPr>
            </w:pPr>
          </w:p>
        </w:tc>
      </w:tr>
      <w:tr>
        <w:trPr>
          <w:trHeight w:val="20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marketable securities</w:t>
            </w: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Prepaid and other current assets:</w:t>
            </w: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Derivative assets</w:t>
            </w: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49"/>
        </w:trPr>
        <w:tc>
          <w:tcPr>
            <w:tcW w:w="5820" w:type="dxa"/>
            <w:vAlign w:val="bottom"/>
          </w:tcPr>
          <w:p>
            <w:pPr>
              <w:ind w:left="260"/>
              <w:spacing w:after="0"/>
              <w:rPr>
                <w:sz w:val="20"/>
                <w:szCs w:val="20"/>
                <w:color w:val="auto"/>
              </w:rPr>
            </w:pPr>
            <w:r>
              <w:rPr>
                <w:rFonts w:ascii="Arial" w:cs="Arial" w:eastAsia="Arial" w:hAnsi="Arial"/>
                <w:sz w:val="18"/>
                <w:szCs w:val="18"/>
                <w:color w:val="auto"/>
              </w:rPr>
              <w:t>Total financial assets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245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197"/>
        </w:trPr>
        <w:tc>
          <w:tcPr>
            <w:tcW w:w="58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80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Accrued liabilities: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Derivative liabilities</w:t>
            </w: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09"/>
        </w:trPr>
        <w:tc>
          <w:tcPr>
            <w:tcW w:w="5820" w:type="dxa"/>
            <w:vAlign w:val="bottom"/>
          </w:tcPr>
          <w:p>
            <w:pPr>
              <w:ind w:left="500"/>
              <w:spacing w:after="0"/>
              <w:rPr>
                <w:sz w:val="20"/>
                <w:szCs w:val="20"/>
                <w:color w:val="auto"/>
              </w:rPr>
            </w:pPr>
            <w:r>
              <w:rPr>
                <w:rFonts w:ascii="Arial" w:cs="Arial" w:eastAsia="Arial" w:hAnsi="Arial"/>
                <w:sz w:val="18"/>
                <w:szCs w:val="18"/>
                <w:color w:val="auto"/>
              </w:rPr>
              <w:t>Total financial liabilities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0"/>
        </w:trPr>
        <w:tc>
          <w:tcPr>
            <w:tcW w:w="5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 Company classifies cash equivalents and marketable securities within Level 1 or Level 2 because the Company uses quoted market prices or alternative pricing sources and models utilizing market observable inputs to determine their fair value. The derivative asset and liability related to the Company’s foreign currency derivative contracts are classified within Level 2 of the fair value hierarchy as the valuation inputs are based on quoted prices and market observable data of similar instruments in active markets, including currency spot and forward rates.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 w:name="page13"/>
    <w:bookmarkEnd w:id="12"/>
    <w:p>
      <w:pPr>
        <w:ind w:left="640"/>
        <w:spacing w:after="0"/>
        <w:rPr>
          <w:sz w:val="20"/>
          <w:szCs w:val="20"/>
          <w:color w:val="auto"/>
        </w:rPr>
      </w:pPr>
      <w:r>
        <w:rPr>
          <w:rFonts w:ascii="Arial" w:cs="Arial" w:eastAsia="Arial" w:hAnsi="Arial"/>
          <w:sz w:val="18"/>
          <w:szCs w:val="18"/>
          <w:color w:val="auto"/>
        </w:rPr>
        <w:t>The following table summarizes the contractual maturities of the Company’s marketable securities: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5"/>
          </w:tcPr>
          <w:p>
            <w:pPr>
              <w:ind w:left="74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2540" w:type="dxa"/>
            <w:vAlign w:val="bottom"/>
            <w:gridSpan w:val="5"/>
          </w:tcPr>
          <w:p>
            <w:pPr>
              <w:ind w:left="58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5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10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50"/>
              <w:spacing w:after="0" w:line="187" w:lineRule="exact"/>
              <w:rPr>
                <w:sz w:val="20"/>
                <w:szCs w:val="20"/>
                <w:color w:val="auto"/>
              </w:rPr>
            </w:pPr>
            <w:r>
              <w:rPr>
                <w:rFonts w:ascii="Arial" w:cs="Arial" w:eastAsia="Arial" w:hAnsi="Arial"/>
                <w:sz w:val="18"/>
                <w:szCs w:val="18"/>
                <w:b w:val="1"/>
                <w:bCs w:val="1"/>
                <w:color w:val="auto"/>
                <w:w w:val="99"/>
              </w:rPr>
              <w:t>Amortized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73"/>
              <w:spacing w:after="0" w:line="187" w:lineRule="exact"/>
              <w:rPr>
                <w:sz w:val="20"/>
                <w:szCs w:val="20"/>
                <w:color w:val="auto"/>
              </w:rPr>
            </w:pPr>
            <w:r>
              <w:rPr>
                <w:rFonts w:ascii="Arial" w:cs="Arial" w:eastAsia="Arial" w:hAnsi="Arial"/>
                <w:sz w:val="18"/>
                <w:szCs w:val="18"/>
                <w:b w:val="1"/>
                <w:bCs w:val="1"/>
                <w:color w:val="auto"/>
                <w:w w:val="99"/>
              </w:rPr>
              <w:t>Estimated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50"/>
              <w:spacing w:after="0" w:line="187" w:lineRule="exact"/>
              <w:rPr>
                <w:sz w:val="20"/>
                <w:szCs w:val="20"/>
                <w:color w:val="auto"/>
              </w:rPr>
            </w:pPr>
            <w:r>
              <w:rPr>
                <w:rFonts w:ascii="Arial" w:cs="Arial" w:eastAsia="Arial" w:hAnsi="Arial"/>
                <w:sz w:val="18"/>
                <w:szCs w:val="18"/>
                <w:b w:val="1"/>
                <w:bCs w:val="1"/>
                <w:color w:val="auto"/>
                <w:w w:val="99"/>
              </w:rPr>
              <w:t>Amortized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70"/>
              <w:spacing w:after="0" w:line="187" w:lineRule="exact"/>
              <w:rPr>
                <w:sz w:val="20"/>
                <w:szCs w:val="20"/>
                <w:color w:val="auto"/>
              </w:rPr>
            </w:pPr>
            <w:r>
              <w:rPr>
                <w:rFonts w:ascii="Arial" w:cs="Arial" w:eastAsia="Arial" w:hAnsi="Arial"/>
                <w:sz w:val="18"/>
                <w:szCs w:val="18"/>
                <w:b w:val="1"/>
                <w:bCs w:val="1"/>
                <w:color w:val="auto"/>
                <w:w w:val="99"/>
              </w:rPr>
              <w:t>Estimated</w:t>
            </w:r>
          </w:p>
        </w:tc>
        <w:tc>
          <w:tcPr>
            <w:tcW w:w="100" w:type="dxa"/>
            <w:vAlign w:val="bottom"/>
          </w:tcPr>
          <w:p>
            <w:pPr>
              <w:spacing w:after="0"/>
              <w:rPr>
                <w:sz w:val="16"/>
                <w:szCs w:val="16"/>
                <w:color w:val="auto"/>
              </w:rPr>
            </w:pPr>
          </w:p>
        </w:tc>
      </w:tr>
      <w:tr>
        <w:trPr>
          <w:trHeight w:val="225"/>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Fair Value</w:t>
            </w:r>
          </w:p>
        </w:tc>
      </w:tr>
      <w:tr>
        <w:trPr>
          <w:trHeight w:val="210"/>
        </w:trPr>
        <w:tc>
          <w:tcPr>
            <w:tcW w:w="5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4"/>
          </w:tcPr>
          <w:p>
            <w:pPr>
              <w:jc w:val="right"/>
              <w:ind w:right="79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18"/>
                <w:szCs w:val="18"/>
                <w:color w:val="auto"/>
              </w:rPr>
            </w:pPr>
          </w:p>
        </w:tc>
      </w:tr>
      <w:tr>
        <w:trPr>
          <w:trHeight w:val="21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marketable securities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18"/>
                <w:szCs w:val="18"/>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All of the Company’s available-for-sale marketable securities are subject to a periodic evaluation for a credit loss allowance and impairment review. The Company did not identify any of its available-for-sale marketable securities requiring an allowance for credit loss or as other-than-temporarily impaired in any of the periods presented. Additionally, the unrealized net gain and net loss on available-for-sale marketable securities as of March 31, 2021 and December 31, 2020 were immaterial.</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00" w:type="dxa"/>
            <w:vAlign w:val="bottom"/>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700" w:type="dxa"/>
            <w:vAlign w:val="bottom"/>
          </w:tcPr>
          <w:p>
            <w:pPr>
              <w:spacing w:after="0"/>
              <w:rPr>
                <w:sz w:val="20"/>
                <w:szCs w:val="20"/>
                <w:color w:val="auto"/>
              </w:rPr>
            </w:pPr>
            <w:r>
              <w:rPr>
                <w:rFonts w:ascii="Arial" w:cs="Arial" w:eastAsia="Arial" w:hAnsi="Arial"/>
                <w:sz w:val="18"/>
                <w:szCs w:val="18"/>
                <w:i w:val="1"/>
                <w:iCs w:val="1"/>
                <w:color w:val="auto"/>
              </w:rPr>
              <w:t>Accrued Liabilities</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7700" w:type="dxa"/>
            <w:vAlign w:val="bottom"/>
          </w:tcPr>
          <w:p>
            <w:pPr>
              <w:ind w:left="640"/>
              <w:spacing w:after="0"/>
              <w:rPr>
                <w:sz w:val="20"/>
                <w:szCs w:val="20"/>
                <w:color w:val="auto"/>
              </w:rPr>
            </w:pPr>
            <w:r>
              <w:rPr>
                <w:rFonts w:ascii="Arial" w:cs="Arial" w:eastAsia="Arial" w:hAnsi="Arial"/>
                <w:sz w:val="18"/>
                <w:szCs w:val="18"/>
                <w:color w:val="auto"/>
              </w:rPr>
              <w:t>Accrued liabilities consist of the following:</w:t>
            </w:r>
          </w:p>
        </w:tc>
        <w:tc>
          <w:tcPr>
            <w:tcW w:w="1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409"/>
        </w:trPr>
        <w:tc>
          <w:tcPr>
            <w:tcW w:w="77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700" w:type="dxa"/>
            <w:vAlign w:val="bottom"/>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09"/>
        </w:trPr>
        <w:tc>
          <w:tcPr>
            <w:tcW w:w="7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2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w w:val="96"/>
              </w:rPr>
              <w:t>(in millions)</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Vendor services</w:t>
            </w:r>
          </w:p>
        </w:tc>
        <w:tc>
          <w:tcPr>
            <w:tcW w:w="1200" w:type="dxa"/>
            <w:vAlign w:val="bottom"/>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Deferred revenue</w:t>
            </w:r>
          </w:p>
        </w:tc>
        <w:tc>
          <w:tcPr>
            <w:tcW w:w="1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Wish Cash liability</w:t>
            </w:r>
          </w:p>
        </w:tc>
        <w:tc>
          <w:tcPr>
            <w:tcW w:w="120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FF0FC"/>
            </w:tcBorders>
          </w:tcPr>
          <w:p>
            <w:pPr>
              <w:spacing w:after="0"/>
              <w:rPr>
                <w:sz w:val="18"/>
                <w:szCs w:val="18"/>
                <w:color w:val="auto"/>
              </w:rPr>
            </w:pPr>
          </w:p>
        </w:tc>
      </w:tr>
      <w:tr>
        <w:trPr>
          <w:trHeight w:val="237"/>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accrued liabilities</w:t>
            </w:r>
          </w:p>
        </w:tc>
        <w:tc>
          <w:tcPr>
            <w:tcW w:w="1200" w:type="dxa"/>
            <w:vAlign w:val="bottom"/>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FF0FC"/>
          </w:tcPr>
          <w:p>
            <w:pPr>
              <w:spacing w:after="0"/>
              <w:rPr>
                <w:sz w:val="20"/>
                <w:szCs w:val="20"/>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FINANCIAL INSTRUMENTS</w:t>
      </w:r>
    </w:p>
    <w:p>
      <w:pPr>
        <w:spacing w:after="0" w:line="382" w:lineRule="exact"/>
        <w:rPr>
          <w:sz w:val="20"/>
          <w:szCs w:val="20"/>
          <w:color w:val="auto"/>
        </w:rPr>
      </w:pPr>
    </w:p>
    <w:p>
      <w:pPr>
        <w:jc w:val="both"/>
        <w:ind w:firstLine="744"/>
        <w:spacing w:after="0" w:line="236" w:lineRule="auto"/>
        <w:rPr>
          <w:sz w:val="20"/>
          <w:szCs w:val="20"/>
          <w:color w:val="auto"/>
        </w:rPr>
      </w:pPr>
      <w:r>
        <w:rPr>
          <w:rFonts w:ascii="Arial" w:cs="Arial" w:eastAsia="Arial" w:hAnsi="Arial"/>
          <w:sz w:val="18"/>
          <w:szCs w:val="18"/>
          <w:color w:val="auto"/>
        </w:rPr>
        <w:t>The Company conducts business in certain foreign currencies throughout its worldwide operations, and various entities hold monetary assets or liabilities, earn revenues, or incur costs in currencies other than the entity’s functional currency. As a result, the Company is exposed to foreign exchange gains or losses which impact the Company’s operating results. The Company bills its users based on their local currencies, primarily in U.S. dollars and Euros, and the Company makes payments to the merchants in China for products sold on the Wish platform in Renminbi, which creates exposure to currency rate fluctuations. The Company hedges these cash flow exposures to reduce the risk that its earnings and cash flows will be adversely affected by changes in exchange rates. As part of the Company’s foreign currency risk mitigation strategy, the Company enters into derivative contracts and foreign exchange forward contracts with up to twelve months in duration to hedge exposures for variability in U.S.-dollar equivalent of non-U.S.-dollar denominated cash flows associated with its forecasted revenue related transactions.</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derivatives transactions are not collateralized and do not include collateralization agreements with counterparties.</w:t>
      </w:r>
    </w:p>
    <w:p>
      <w:pPr>
        <w:spacing w:after="0"/>
        <w:rPr>
          <w:sz w:val="20"/>
          <w:szCs w:val="20"/>
          <w:color w:val="auto"/>
        </w:rPr>
      </w:pPr>
      <w:r>
        <w:rPr>
          <w:rFonts w:ascii="Arial" w:cs="Arial" w:eastAsia="Arial" w:hAnsi="Arial"/>
          <w:sz w:val="18"/>
          <w:szCs w:val="18"/>
          <w:color w:val="auto"/>
        </w:rPr>
        <w:t>The Company does not use derivative financial instruments for speculative or trading purposes.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Volume of Derivative Activity</w:t>
      </w:r>
    </w:p>
    <w:p>
      <w:pPr>
        <w:spacing w:after="0" w:line="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gross notional amounts for outstanding derivatives (recognized at fair value) as of the end of period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5"/>
          </w:tcPr>
          <w:p>
            <w:pPr>
              <w:ind w:left="100"/>
              <w:spacing w:after="0"/>
              <w:rPr>
                <w:sz w:val="20"/>
                <w:szCs w:val="20"/>
                <w:color w:val="auto"/>
              </w:rPr>
            </w:pPr>
            <w:r>
              <w:rPr>
                <w:rFonts w:ascii="Arial" w:cs="Arial" w:eastAsia="Arial" w:hAnsi="Arial"/>
                <w:sz w:val="18"/>
                <w:szCs w:val="18"/>
                <w:b w:val="1"/>
                <w:bCs w:val="1"/>
                <w:color w:val="auto"/>
              </w:rPr>
              <w:t>March 31,</w:t>
            </w:r>
          </w:p>
        </w:tc>
        <w:tc>
          <w:tcPr>
            <w:tcW w:w="1680" w:type="dxa"/>
            <w:vAlign w:val="bottom"/>
            <w:gridSpan w:val="6"/>
          </w:tcPr>
          <w:p>
            <w:pPr>
              <w:ind w:left="2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5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4"/>
          </w:tcPr>
          <w:p>
            <w:pPr>
              <w:ind w:left="160"/>
              <w:spacing w:after="0"/>
              <w:rPr>
                <w:sz w:val="20"/>
                <w:szCs w:val="20"/>
                <w:color w:val="auto"/>
              </w:rPr>
            </w:pPr>
            <w:r>
              <w:rPr>
                <w:rFonts w:ascii="Arial" w:cs="Arial" w:eastAsia="Arial" w:hAnsi="Arial"/>
                <w:sz w:val="16"/>
                <w:szCs w:val="16"/>
                <w:b w:val="1"/>
                <w:bCs w:val="1"/>
                <w:color w:val="auto"/>
              </w:rPr>
              <w:t>(in millions)</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Cash flow hedges</w:t>
            </w: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9"/>
              </w:rPr>
              <w:t>250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Non-designated hedges</w:t>
            </w:r>
          </w:p>
        </w:tc>
        <w:tc>
          <w:tcPr>
            <w:tcW w:w="10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219</w:t>
            </w:r>
          </w:p>
        </w:tc>
        <w:tc>
          <w:tcPr>
            <w:tcW w:w="2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9"/>
              </w:rPr>
              <w:t>469</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i w:val="1"/>
                <w:iCs w:val="1"/>
                <w:color w:val="auto"/>
              </w:rPr>
              <w:t>Fair Value of Derivative Financial Instruments</w:t>
            </w:r>
          </w:p>
        </w:tc>
        <w:tc>
          <w:tcPr>
            <w:tcW w:w="10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0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March 31, 2021</w:t>
            </w:r>
          </w:p>
        </w:tc>
        <w:tc>
          <w:tcPr>
            <w:tcW w:w="4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ind w:left="28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15"/>
                <w:szCs w:val="15"/>
                <w:b w:val="1"/>
                <w:bCs w:val="1"/>
                <w:color w:val="auto"/>
              </w:rPr>
              <w:t>(1)</w:t>
            </w:r>
          </w:p>
        </w:tc>
        <w:tc>
          <w:tcPr>
            <w:tcW w:w="240" w:type="dxa"/>
            <w:vAlign w:val="bottom"/>
          </w:tcPr>
          <w:p>
            <w:pPr>
              <w:spacing w:after="0"/>
              <w:rPr>
                <w:sz w:val="20"/>
                <w:szCs w:val="20"/>
                <w:color w:val="auto"/>
              </w:rPr>
            </w:pPr>
          </w:p>
        </w:tc>
        <w:tc>
          <w:tcPr>
            <w:tcW w:w="1300" w:type="dxa"/>
            <w:vAlign w:val="bottom"/>
            <w:gridSpan w:val="4"/>
          </w:tcPr>
          <w:p>
            <w:pPr>
              <w:ind w:left="20"/>
              <w:spacing w:after="0"/>
              <w:rPr>
                <w:sz w:val="20"/>
                <w:szCs w:val="20"/>
                <w:color w:val="auto"/>
              </w:rPr>
            </w:pPr>
            <w:r>
              <w:rPr>
                <w:rFonts w:ascii="Arial" w:cs="Arial" w:eastAsia="Arial" w:hAnsi="Arial"/>
                <w:sz w:val="18"/>
                <w:szCs w:val="18"/>
                <w:b w:val="1"/>
                <w:bCs w:val="1"/>
                <w:color w:val="auto"/>
              </w:rPr>
              <w:t>Liabilities</w:t>
            </w:r>
            <w:r>
              <w:rPr>
                <w:rFonts w:ascii="Arial" w:cs="Arial" w:eastAsia="Arial" w:hAnsi="Arial"/>
                <w:sz w:val="15"/>
                <w:szCs w:val="15"/>
                <w:b w:val="1"/>
                <w:bCs w:val="1"/>
                <w:color w:val="auto"/>
              </w:rPr>
              <w:t>(2)</w:t>
            </w:r>
          </w:p>
        </w:tc>
        <w:tc>
          <w:tcPr>
            <w:tcW w:w="160" w:type="dxa"/>
            <w:vAlign w:val="bottom"/>
          </w:tcPr>
          <w:p>
            <w:pPr>
              <w:spacing w:after="0"/>
              <w:rPr>
                <w:sz w:val="20"/>
                <w:szCs w:val="20"/>
                <w:color w:val="auto"/>
              </w:rPr>
            </w:pPr>
          </w:p>
        </w:tc>
        <w:tc>
          <w:tcPr>
            <w:tcW w:w="1300" w:type="dxa"/>
            <w:vAlign w:val="bottom"/>
            <w:gridSpan w:val="4"/>
          </w:tcPr>
          <w:p>
            <w:pPr>
              <w:ind w:left="60"/>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15"/>
                <w:szCs w:val="15"/>
                <w:b w:val="1"/>
                <w:bCs w:val="1"/>
                <w:color w:val="auto"/>
              </w:rPr>
              <w:t>(1)</w:t>
            </w:r>
          </w:p>
        </w:tc>
        <w:tc>
          <w:tcPr>
            <w:tcW w:w="1140" w:type="dxa"/>
            <w:vAlign w:val="bottom"/>
            <w:gridSpan w:val="4"/>
          </w:tcPr>
          <w:p>
            <w:pPr>
              <w:spacing w:after="0"/>
              <w:rPr>
                <w:sz w:val="20"/>
                <w:szCs w:val="20"/>
                <w:color w:val="auto"/>
              </w:rPr>
            </w:pPr>
            <w:r>
              <w:rPr>
                <w:rFonts w:ascii="Arial" w:cs="Arial" w:eastAsia="Arial" w:hAnsi="Arial"/>
                <w:sz w:val="18"/>
                <w:szCs w:val="18"/>
                <w:b w:val="1"/>
                <w:bCs w:val="1"/>
                <w:color w:val="auto"/>
              </w:rPr>
              <w:t>Liabilities</w:t>
            </w: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209"/>
        </w:trPr>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Derivative designated as hedging instruments</w:t>
            </w: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60"/>
              <w:spacing w:after="0"/>
              <w:rPr>
                <w:sz w:val="20"/>
                <w:szCs w:val="20"/>
                <w:color w:val="auto"/>
              </w:rPr>
            </w:pPr>
            <w:r>
              <w:rPr>
                <w:rFonts w:ascii="Arial" w:cs="Arial" w:eastAsia="Arial" w:hAnsi="Arial"/>
                <w:sz w:val="18"/>
                <w:szCs w:val="18"/>
                <w:color w:val="auto"/>
              </w:rPr>
              <w:t>Cash flow hedges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 not designated as hedging instruments</w:t>
            </w:r>
          </w:p>
        </w:tc>
        <w:tc>
          <w:tcPr>
            <w:tcW w:w="10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60"/>
              <w:spacing w:after="0"/>
              <w:rPr>
                <w:sz w:val="20"/>
                <w:szCs w:val="20"/>
                <w:color w:val="auto"/>
              </w:rPr>
            </w:pPr>
            <w:r>
              <w:rPr>
                <w:rFonts w:ascii="Arial" w:cs="Arial" w:eastAsia="Arial" w:hAnsi="Arial"/>
                <w:sz w:val="18"/>
                <w:szCs w:val="18"/>
                <w:color w:val="auto"/>
              </w:rPr>
              <w:t>Foreign currency forward contracts</w:t>
            </w:r>
          </w:p>
        </w:tc>
        <w:tc>
          <w:tcPr>
            <w:tcW w:w="10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Total derivatives</w:t>
            </w: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980" w:hanging="223"/>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Derivative assets are included in prepaid and other current assets in the condensed consolidated balance sheets.</w:t>
      </w:r>
    </w:p>
    <w:p>
      <w:pPr>
        <w:spacing w:after="0" w:line="1" w:lineRule="exact"/>
        <w:rPr>
          <w:rFonts w:ascii="Arial" w:cs="Arial" w:eastAsia="Arial" w:hAnsi="Arial"/>
          <w:sz w:val="14"/>
          <w:szCs w:val="14"/>
          <w:color w:val="auto"/>
        </w:rPr>
      </w:pPr>
    </w:p>
    <w:p>
      <w:pPr>
        <w:ind w:left="980" w:hanging="223"/>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Derivative liabilities are included in accrued liabilities in the condensed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in Cash Flow Hedging Relationships</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8"/>
          <w:szCs w:val="18"/>
          <w:color w:val="262626"/>
        </w:rPr>
        <w:t>The changes in accumulated other comprehensive income resulting from cash flow hedging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As of March</w:t>
            </w:r>
          </w:p>
        </w:tc>
        <w:tc>
          <w:tcPr>
            <w:tcW w:w="1820" w:type="dxa"/>
            <w:vAlign w:val="bottom"/>
            <w:gridSpan w:val="3"/>
          </w:tcPr>
          <w:p>
            <w:pPr>
              <w:spacing w:after="0"/>
              <w:rPr>
                <w:sz w:val="20"/>
                <w:szCs w:val="20"/>
                <w:color w:val="auto"/>
              </w:rPr>
            </w:pPr>
            <w:r>
              <w:rPr>
                <w:rFonts w:ascii="Arial" w:cs="Arial" w:eastAsia="Arial" w:hAnsi="Arial"/>
                <w:sz w:val="18"/>
                <w:szCs w:val="18"/>
                <w:b w:val="1"/>
                <w:bCs w:val="1"/>
                <w:color w:val="auto"/>
              </w:rPr>
              <w:t>As of December 31,</w:t>
            </w:r>
          </w:p>
        </w:tc>
      </w:tr>
      <w:tr>
        <w:trPr>
          <w:trHeight w:val="225"/>
        </w:trPr>
        <w:tc>
          <w:tcPr>
            <w:tcW w:w="7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31, 2021</w:t>
            </w: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10"/>
        </w:trPr>
        <w:tc>
          <w:tcPr>
            <w:tcW w:w="7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3"/>
          </w:tcPr>
          <w:p>
            <w:pPr>
              <w:ind w:left="110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the period</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r>
      <w:tr>
        <w:trPr>
          <w:trHeight w:val="215"/>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Amounts recognized in core marketplace revenue and reclassified out of</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9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(9)</w:t>
            </w:r>
          </w:p>
        </w:tc>
        <w:tc>
          <w:tcPr>
            <w:tcW w:w="5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(7)</w:t>
            </w:r>
          </w:p>
        </w:tc>
      </w:tr>
      <w:tr>
        <w:trPr>
          <w:trHeight w:val="209"/>
        </w:trPr>
        <w:tc>
          <w:tcPr>
            <w:tcW w:w="7900" w:type="dxa"/>
            <w:vAlign w:val="bottom"/>
          </w:tcPr>
          <w:p>
            <w:pPr>
              <w:spacing w:after="0"/>
              <w:rPr>
                <w:sz w:val="20"/>
                <w:szCs w:val="20"/>
                <w:color w:val="auto"/>
              </w:rPr>
            </w:pPr>
            <w:r>
              <w:rPr>
                <w:rFonts w:ascii="Arial" w:cs="Arial" w:eastAsia="Arial" w:hAnsi="Arial"/>
                <w:sz w:val="18"/>
                <w:szCs w:val="18"/>
                <w:color w:val="auto"/>
              </w:rPr>
              <w:t>Balance at the end of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262626"/>
        </w:rPr>
        <w:t>The Company recognizes changes in fair value of the cash flow hedges of foreign currency denominated merchants payable in accumulated other comprehensive loss in its consolidated balance sheets until the forecasted transaction occurs. When the forecasted transaction affects earnings, the Company reclassifies the related gain or loss on the cash flow hedge to core marketplace revenue. All amounts in other comprehensive income at period end are expected to be reclassified to earnings within 12 months. In the event the underlying forecasted transaction does not occur, or it becomes probable that it will not occur, the Company reclassifies the gain or loss on the related cash flow hedge from accumulated other comprehensive loss to core marketplace revenue. For the three months ended March 31, 2021, there were no net gains or losses recognized in core marketplace revenue relating to hedges of forecasted transactions that did not occur. The Company did not have a hedging program during the three months ended March 31, 2020.</w:t>
      </w:r>
    </w:p>
    <w:p>
      <w:pPr>
        <w:spacing w:after="0" w:line="46" w:lineRule="exact"/>
        <w:rPr>
          <w:sz w:val="20"/>
          <w:szCs w:val="20"/>
          <w:color w:val="auto"/>
        </w:rPr>
      </w:pPr>
    </w:p>
    <w:p>
      <w:pPr>
        <w:jc w:val="both"/>
        <w:ind w:right="20" w:firstLine="749"/>
        <w:spacing w:after="0" w:line="246" w:lineRule="auto"/>
        <w:rPr>
          <w:sz w:val="20"/>
          <w:szCs w:val="20"/>
          <w:color w:val="auto"/>
        </w:rPr>
      </w:pPr>
      <w:r>
        <w:rPr>
          <w:rFonts w:ascii="Arial" w:cs="Arial" w:eastAsia="Arial" w:hAnsi="Arial"/>
          <w:sz w:val="18"/>
          <w:szCs w:val="18"/>
          <w:color w:val="auto"/>
        </w:rPr>
        <w:t>The Company classifies cash flows related to its cash flow hedges as operating activities in its condensed consolidated statements of cash flows.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262626"/>
        </w:rPr>
        <w:t>Derivatives Not Designated as Hedging Instruments</w:t>
      </w:r>
    </w:p>
    <w:p>
      <w:pPr>
        <w:spacing w:after="0" w:line="9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The net gains on the change in fair value of the Company’s foreign exchange forward contracts not designated as hedging instruments were approximately $4 million for the three months ended March 31, 2021 and were recognized in other income (expense), net in the condensed consolidated statement of operations. The Company did not have a hedging program during the three months ended March 31, 2020.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14" w:name="page15"/>
    <w:bookmarkEnd w:id="14"/>
    <w:p>
      <w:pPr>
        <w:jc w:val="both"/>
        <w:ind w:right="20" w:firstLine="637"/>
        <w:spacing w:after="0" w:line="246" w:lineRule="auto"/>
        <w:rPr>
          <w:sz w:val="20"/>
          <w:szCs w:val="20"/>
          <w:color w:val="auto"/>
        </w:rPr>
      </w:pPr>
      <w:r>
        <w:rPr>
          <w:rFonts w:ascii="Arial" w:cs="Arial" w:eastAsia="Arial" w:hAnsi="Arial"/>
          <w:sz w:val="18"/>
          <w:szCs w:val="18"/>
          <w:color w:val="auto"/>
        </w:rPr>
        <w:t>The Company classifies cash flows related to its non-designated hedging instruments as operating activities in its condensed consolidated statements of cash flows.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OPERATING LEASES</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leases its facilities and data center co-locations under operating leases with various expiration dates through 2025.</w:t>
      </w:r>
    </w:p>
    <w:p>
      <w:pPr>
        <w:spacing w:after="0" w:line="158"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18"/>
          <w:szCs w:val="18"/>
          <w:color w:val="auto"/>
        </w:rPr>
        <w:t>Total operating lease cost was $4 million and $ 3 million for the three months ended March 31, 2021 and 2020, respectively. Short-term lease costs and variable lease costs and sublease income were not material.</w:t>
      </w:r>
    </w:p>
    <w:p>
      <w:pPr>
        <w:spacing w:after="0" w:line="197"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As of March 31, 2021 and December 31, 2020, the Company’s condensed consolidated balance sheets included right-of-use assets in the amount of $39 million and $43 million, respectively, and lease liabilities in the amount of $14 million and $14 million in accrued liabilities, respectively, and $34 million and $38 million in lease liabilities, non-current, respectively.</w:t>
      </w:r>
    </w:p>
    <w:p>
      <w:pPr>
        <w:spacing w:after="0" w:line="149"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18"/>
          <w:szCs w:val="18"/>
          <w:color w:val="auto"/>
        </w:rPr>
        <w:t>As of March 31, 2021 and December 31, 2020, the weighted-average remaining lease term was 3.7 years and 3.9 years, respectively, and the weighted-average discount rate used to determine the net present value of the lease liabilities was 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00" w:type="dxa"/>
            <w:vAlign w:val="bottom"/>
            <w:gridSpan w:val="2"/>
          </w:tcPr>
          <w:p>
            <w:pPr>
              <w:ind w:left="640"/>
              <w:spacing w:after="0"/>
              <w:rPr>
                <w:sz w:val="20"/>
                <w:szCs w:val="20"/>
                <w:color w:val="auto"/>
              </w:rPr>
            </w:pPr>
            <w:r>
              <w:rPr>
                <w:rFonts w:ascii="Arial" w:cs="Arial" w:eastAsia="Arial" w:hAnsi="Arial"/>
                <w:sz w:val="18"/>
                <w:szCs w:val="18"/>
                <w:color w:val="auto"/>
                <w:w w:val="99"/>
              </w:rPr>
              <w:t>Supplemental cash flow information for the Company’s operating leases were as follows: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4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rPr>
              <w:t>March 31,</w:t>
            </w: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Borders>
              <w:bottom w:val="single" w:sz="8" w:color="auto"/>
            </w:tcBorders>
          </w:tcPr>
          <w:p>
            <w:pPr>
              <w:jc w:val="center"/>
              <w:ind w:left="175"/>
              <w:spacing w:after="0"/>
              <w:rPr>
                <w:sz w:val="20"/>
                <w:szCs w:val="20"/>
                <w:color w:val="auto"/>
              </w:rPr>
            </w:pPr>
            <w:r>
              <w:rPr>
                <w:rFonts w:ascii="Arial" w:cs="Arial" w:eastAsia="Arial" w:hAnsi="Arial"/>
                <w:sz w:val="18"/>
                <w:szCs w:val="18"/>
                <w:b w:val="1"/>
                <w:bCs w:val="1"/>
                <w:color w:val="auto"/>
                <w:w w:val="98"/>
              </w:rPr>
              <w:t>March 31,</w:t>
            </w:r>
          </w:p>
        </w:tc>
        <w:tc>
          <w:tcPr>
            <w:tcW w:w="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00" w:type="dxa"/>
            <w:vAlign w:val="bottom"/>
            <w:gridSpan w:val="5"/>
          </w:tcPr>
          <w:p>
            <w:pPr>
              <w:jc w:val="right"/>
              <w:ind w:right="955"/>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gridSpan w:val="2"/>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400" w:type="dxa"/>
            <w:vAlign w:val="bottom"/>
            <w:gridSpan w:val="2"/>
          </w:tcPr>
          <w:p>
            <w:pPr>
              <w:jc w:val="right"/>
              <w:ind w:right="109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7700" w:type="dxa"/>
            <w:vAlign w:val="bottom"/>
            <w:gridSpan w:val="2"/>
          </w:tcPr>
          <w:p>
            <w:pPr>
              <w:ind w:left="640"/>
              <w:spacing w:after="0"/>
              <w:rPr>
                <w:sz w:val="20"/>
                <w:szCs w:val="20"/>
                <w:color w:val="auto"/>
              </w:rPr>
            </w:pPr>
            <w:r>
              <w:rPr>
                <w:rFonts w:ascii="Arial" w:cs="Arial" w:eastAsia="Arial" w:hAnsi="Arial"/>
                <w:sz w:val="18"/>
                <w:szCs w:val="18"/>
                <w:color w:val="auto"/>
              </w:rPr>
              <w:t>The maturities of the Company’s operating lease liabilities are as follows:</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2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ending December 31,</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2021</w:t>
            </w: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700" w:type="dxa"/>
            <w:vAlign w:val="bottom"/>
            <w:gridSpan w:val="2"/>
            <w:vMerge w:val="continue"/>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240" w:type="dxa"/>
            <w:vAlign w:val="bottom"/>
            <w:shd w:val="clear" w:color="auto" w:fill="000000"/>
          </w:tcPr>
          <w:p>
            <w:pPr>
              <w:spacing w:after="0"/>
              <w:rPr>
                <w:sz w:val="2"/>
                <w:szCs w:val="2"/>
                <w:color w:val="auto"/>
              </w:rPr>
            </w:pPr>
          </w:p>
        </w:tc>
        <w:tc>
          <w:tcPr>
            <w:tcW w:w="5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2021 (remaining nine months)</w:t>
            </w:r>
          </w:p>
        </w:tc>
        <w:tc>
          <w:tcPr>
            <w:tcW w:w="124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60"/>
              <w:spacing w:after="0"/>
              <w:rPr>
                <w:sz w:val="20"/>
                <w:szCs w:val="20"/>
                <w:color w:val="auto"/>
              </w:rPr>
            </w:pPr>
            <w:r>
              <w:rPr>
                <w:rFonts w:ascii="Arial" w:cs="Arial" w:eastAsia="Arial" w:hAnsi="Arial"/>
                <w:sz w:val="18"/>
                <w:szCs w:val="18"/>
                <w:color w:val="auto"/>
              </w:rPr>
              <w:t>2022</w:t>
            </w:r>
          </w:p>
        </w:tc>
        <w:tc>
          <w:tcPr>
            <w:tcW w:w="5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2023</w:t>
            </w:r>
          </w:p>
        </w:tc>
        <w:tc>
          <w:tcPr>
            <w:tcW w:w="54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60"/>
              <w:spacing w:after="0"/>
              <w:rPr>
                <w:sz w:val="20"/>
                <w:szCs w:val="20"/>
                <w:color w:val="auto"/>
              </w:rPr>
            </w:pPr>
            <w:r>
              <w:rPr>
                <w:rFonts w:ascii="Arial" w:cs="Arial" w:eastAsia="Arial" w:hAnsi="Arial"/>
                <w:sz w:val="18"/>
                <w:szCs w:val="18"/>
                <w:color w:val="auto"/>
              </w:rPr>
              <w:t>2024</w:t>
            </w:r>
          </w:p>
        </w:tc>
        <w:tc>
          <w:tcPr>
            <w:tcW w:w="5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2025</w:t>
            </w:r>
          </w:p>
        </w:tc>
        <w:tc>
          <w:tcPr>
            <w:tcW w:w="54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gridSpan w:val="2"/>
          </w:tcPr>
          <w:p>
            <w:pPr>
              <w:ind w:left="500"/>
              <w:spacing w:after="0"/>
              <w:rPr>
                <w:sz w:val="20"/>
                <w:szCs w:val="20"/>
                <w:color w:val="auto"/>
              </w:rPr>
            </w:pPr>
            <w:r>
              <w:rPr>
                <w:rFonts w:ascii="Arial" w:cs="Arial" w:eastAsia="Arial" w:hAnsi="Arial"/>
                <w:sz w:val="18"/>
                <w:szCs w:val="18"/>
                <w:color w:val="auto"/>
              </w:rPr>
              <w:t>Total lease payments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Less: imputed interest</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7700" w:type="dxa"/>
            <w:vAlign w:val="bottom"/>
            <w:gridSpan w:val="2"/>
          </w:tcPr>
          <w:p>
            <w:pPr>
              <w:ind w:left="500"/>
              <w:spacing w:after="0"/>
              <w:rPr>
                <w:sz w:val="20"/>
                <w:szCs w:val="20"/>
                <w:color w:val="auto"/>
              </w:rPr>
            </w:pPr>
            <w:r>
              <w:rPr>
                <w:rFonts w:ascii="Arial" w:cs="Arial" w:eastAsia="Arial" w:hAnsi="Arial"/>
                <w:sz w:val="18"/>
                <w:szCs w:val="18"/>
                <w:color w:val="auto"/>
              </w:rPr>
              <w:t>Present value of lease liabilities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80"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In November 2020, the Company entered into a five-year $280 million senior secured revolving credit facility (the “Revolving Credit Facility”) to, among other things, permit the Company to increase its aggregate commitments by up to $100 million, if an accordion option is exercised and provided the Company is able to secure additional lender commitments and satisfy certain other conditions, and to enter into letters of credit from time to time, which reduces its borrowing capacity under the Revolving Credit Facility. Interest on any borrowings under the Revolving Credit Facility accrues at either adjusted LIBOR plus 1.50% or at an alternative base rate plus 0.50%, at the Company’s election, and the Company is required to pay a commitment fee that accrues at 0.25% per annum on the unused portion of the aggregate commitments under the Revolving Credit Facility. The Company is required to pay a fee that accrues at 1.50% per annum on the average daily amount available to be drawn under any letters of credit outstanding under the Revolving Credit Facility.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jc w:val="both"/>
        <w:ind w:firstLine="637"/>
        <w:spacing w:after="0" w:line="236" w:lineRule="auto"/>
        <w:rPr>
          <w:sz w:val="20"/>
          <w:szCs w:val="20"/>
          <w:color w:val="auto"/>
        </w:rPr>
      </w:pPr>
      <w:r>
        <w:rPr>
          <w:rFonts w:ascii="Arial" w:cs="Arial" w:eastAsia="Arial" w:hAnsi="Arial"/>
          <w:sz w:val="18"/>
          <w:szCs w:val="18"/>
          <w:color w:val="auto"/>
        </w:rPr>
        <w:t>The Revolving Credit Facility contains customary conditions to borrowing, events of default and covenants, including covenants that restrict the Company’s ability (and the ability of certain of the Company’s subsidiaries) to incur indebtedness, grant liens, make certain fundamental changes and asset sales, make distributions to stockholders, make investments or engage in transactions with affiliates. It also contains a minimum liquidity financial covenant of $350 million, which includes unrestricted cash and any available borrowing capacity under the Revolving Credit Facility. The obligations under the Revolving Credit Facility are secured by liens on substantially all of the Company’s domestic assets and are guaranteed by any material domestic subsidiaries, subject to customary exceptions. A standby letter of credit in the amount of approximately $10 million has been issued under the Revolving Credit Facility in conjunction with the lease of the Company’s headquarters in San Francisco, California. As of March 31, 2021, the Company had not made any borrowings under the Revolving Credit Facility and it was in compliance with the related covenants.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80"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During 2019, the Company amended a marketing arrangement which increased the total commitment under the agreement and extended the arrangement to July 31, 2021. As of March 31, 2021, the remaining commitment under the amended agreement was $5 million, which is payable in 2021.</w:t>
      </w:r>
    </w:p>
    <w:p>
      <w:pPr>
        <w:spacing w:after="0" w:line="149"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Effective September 1, 2019, the Company entered into an amendment to a colocation and cloud services arrangement committing the Company to make payments of $120 million for services over 3 years. As of March 31, 2021, the remaining commitment under this amended agreement was approximately $35 million and is payable within the next two years.</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80"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As of March 31, 2021 and December 31, 2020, there were no legal contingency matters that arose in the ordinary course of business, either individually or in aggregate, that would have a material adverse effect on the financial position, results of operations, or cash flows of the Company.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AWARD ACTIVITY AND STOCK-BASED COMPENSATION</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Award Activity</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activity under the equity plans and related information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Options Outstanding</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RSUs Outstanding</w:t>
            </w:r>
          </w:p>
        </w:tc>
      </w:tr>
      <w:tr>
        <w:trPr>
          <w:trHeight w:val="178"/>
        </w:trPr>
        <w:tc>
          <w:tcPr>
            <w:tcW w:w="448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Weighted-</w:t>
            </w:r>
          </w:p>
        </w:tc>
        <w:tc>
          <w:tcPr>
            <w:tcW w:w="24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4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Average</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Weighted-</w:t>
            </w: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Remaining</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Average</w:t>
            </w: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Contractual</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480" w:type="dxa"/>
            <w:vAlign w:val="bottom"/>
          </w:tcPr>
          <w:p>
            <w:pPr>
              <w:spacing w:after="0"/>
              <w:rPr>
                <w:sz w:val="16"/>
                <w:szCs w:val="16"/>
                <w:color w:val="auto"/>
              </w:rPr>
            </w:pPr>
          </w:p>
        </w:tc>
        <w:tc>
          <w:tcPr>
            <w:tcW w:w="1220" w:type="dxa"/>
            <w:vAlign w:val="bottom"/>
          </w:tcPr>
          <w:p>
            <w:pPr>
              <w:jc w:val="center"/>
              <w:ind w:left="182"/>
              <w:spacing w:after="0"/>
              <w:rPr>
                <w:sz w:val="20"/>
                <w:szCs w:val="20"/>
                <w:color w:val="auto"/>
              </w:rPr>
            </w:pPr>
            <w:r>
              <w:rPr>
                <w:rFonts w:ascii="Arial" w:cs="Arial" w:eastAsia="Arial" w:hAnsi="Arial"/>
                <w:sz w:val="16"/>
                <w:szCs w:val="16"/>
                <w:b w:val="1"/>
                <w:bCs w:val="1"/>
                <w:color w:val="auto"/>
                <w:w w:val="99"/>
              </w:rPr>
              <w:t>Number of</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Exercise</w:t>
            </w: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Term (In</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Number of</w:t>
            </w:r>
          </w:p>
        </w:tc>
      </w:tr>
      <w:tr>
        <w:trPr>
          <w:trHeight w:val="207"/>
        </w:trPr>
        <w:tc>
          <w:tcPr>
            <w:tcW w:w="4480" w:type="dxa"/>
            <w:vAlign w:val="bottom"/>
          </w:tcPr>
          <w:p>
            <w:pPr>
              <w:spacing w:after="0"/>
              <w:rPr>
                <w:sz w:val="18"/>
                <w:szCs w:val="18"/>
                <w:color w:val="auto"/>
              </w:rPr>
            </w:pPr>
          </w:p>
        </w:tc>
        <w:tc>
          <w:tcPr>
            <w:tcW w:w="1220" w:type="dxa"/>
            <w:vAlign w:val="bottom"/>
            <w:tcBorders>
              <w:bottom w:val="single" w:sz="8" w:color="auto"/>
            </w:tcBorders>
          </w:tcPr>
          <w:p>
            <w:pPr>
              <w:jc w:val="center"/>
              <w:ind w:left="182"/>
              <w:spacing w:after="0"/>
              <w:rPr>
                <w:sz w:val="20"/>
                <w:szCs w:val="20"/>
                <w:color w:val="auto"/>
              </w:rPr>
            </w:pPr>
            <w:r>
              <w:rPr>
                <w:rFonts w:ascii="Arial" w:cs="Arial" w:eastAsia="Arial" w:hAnsi="Arial"/>
                <w:sz w:val="16"/>
                <w:szCs w:val="16"/>
                <w:b w:val="1"/>
                <w:bCs w:val="1"/>
                <w:color w:val="auto"/>
                <w:w w:val="99"/>
              </w:rPr>
              <w:t>Options</w:t>
            </w: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Price</w:t>
            </w:r>
          </w:p>
        </w:tc>
        <w:tc>
          <w:tcPr>
            <w:tcW w:w="24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Years)</w:t>
            </w:r>
          </w:p>
        </w:tc>
        <w:tc>
          <w:tcPr>
            <w:tcW w:w="24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RSUs</w:t>
            </w:r>
          </w:p>
        </w:tc>
        <w:tc>
          <w:tcPr>
            <w:tcW w:w="100" w:type="dxa"/>
            <w:vAlign w:val="bottom"/>
          </w:tcPr>
          <w:p>
            <w:pPr>
              <w:spacing w:after="0"/>
              <w:rPr>
                <w:sz w:val="18"/>
                <w:szCs w:val="18"/>
                <w:color w:val="auto"/>
              </w:rPr>
            </w:pPr>
          </w:p>
        </w:tc>
      </w:tr>
      <w:tr>
        <w:trPr>
          <w:trHeight w:val="196"/>
        </w:trPr>
        <w:tc>
          <w:tcPr>
            <w:tcW w:w="4480" w:type="dxa"/>
            <w:vAlign w:val="bottom"/>
          </w:tcPr>
          <w:p>
            <w:pPr>
              <w:spacing w:after="0"/>
              <w:rPr>
                <w:sz w:val="17"/>
                <w:szCs w:val="17"/>
                <w:color w:val="auto"/>
              </w:rPr>
            </w:pPr>
          </w:p>
        </w:tc>
        <w:tc>
          <w:tcPr>
            <w:tcW w:w="1220" w:type="dxa"/>
            <w:vAlign w:val="bottom"/>
          </w:tcPr>
          <w:p>
            <w:pPr>
              <w:jc w:val="center"/>
              <w:ind w:left="182"/>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 millions)</w:t>
            </w:r>
          </w:p>
        </w:tc>
      </w:tr>
      <w:tr>
        <w:trPr>
          <w:trHeight w:val="203"/>
        </w:trPr>
        <w:tc>
          <w:tcPr>
            <w:tcW w:w="5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Balances at December 31, 2020</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0.234</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FF0FC"/>
          </w:tcPr>
          <w:p>
            <w:pPr>
              <w:spacing w:after="0"/>
              <w:rPr>
                <w:sz w:val="17"/>
                <w:szCs w:val="17"/>
                <w:color w:val="auto"/>
              </w:rPr>
            </w:pPr>
          </w:p>
        </w:tc>
      </w:tr>
      <w:tr>
        <w:trPr>
          <w:trHeight w:val="203"/>
        </w:trPr>
        <w:tc>
          <w:tcPr>
            <w:tcW w:w="570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r>
      <w:tr>
        <w:trPr>
          <w:trHeight w:val="203"/>
        </w:trPr>
        <w:tc>
          <w:tcPr>
            <w:tcW w:w="5700" w:type="dxa"/>
            <w:vAlign w:val="bottom"/>
            <w:gridSpan w:val="2"/>
            <w:shd w:val="clear" w:color="auto" w:fill="CFF0FC"/>
          </w:tcPr>
          <w:p>
            <w:pPr>
              <w:spacing w:after="0" w:line="202" w:lineRule="exact"/>
              <w:rPr>
                <w:sz w:val="20"/>
                <w:szCs w:val="20"/>
                <w:color w:val="auto"/>
              </w:rPr>
            </w:pPr>
            <w:r>
              <w:rPr>
                <w:rFonts w:ascii="Arial" w:cs="Arial" w:eastAsia="Arial" w:hAnsi="Arial"/>
                <w:sz w:val="14"/>
                <w:szCs w:val="14"/>
                <w:color w:val="auto"/>
              </w:rPr>
              <w:t>Vested</w:t>
            </w:r>
            <w:r>
              <w:rPr>
                <w:rFonts w:ascii="Arial" w:cs="Arial" w:eastAsia="Arial" w:hAnsi="Arial"/>
                <w:sz w:val="23"/>
                <w:szCs w:val="23"/>
                <w:color w:val="auto"/>
                <w:vertAlign w:val="superscript"/>
              </w:rPr>
              <w:t>(1)</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Exercised</w:t>
            </w:r>
          </w:p>
        </w:tc>
        <w:tc>
          <w:tcPr>
            <w:tcW w:w="122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0.154</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6"/>
        </w:trPr>
        <w:tc>
          <w:tcPr>
            <w:tcW w:w="4480" w:type="dxa"/>
            <w:vAlign w:val="bottom"/>
          </w:tcPr>
          <w:p>
            <w:pPr>
              <w:spacing w:after="0" w:line="195" w:lineRule="exact"/>
              <w:rPr>
                <w:sz w:val="20"/>
                <w:szCs w:val="20"/>
                <w:color w:val="auto"/>
              </w:rPr>
            </w:pPr>
            <w:r>
              <w:rPr>
                <w:rFonts w:ascii="Arial" w:cs="Arial" w:eastAsia="Arial" w:hAnsi="Arial"/>
                <w:sz w:val="14"/>
                <w:szCs w:val="14"/>
                <w:color w:val="auto"/>
              </w:rPr>
              <w:t>Balances at March 31, 2021</w:t>
            </w:r>
            <w:r>
              <w:rPr>
                <w:rFonts w:ascii="Arial" w:cs="Arial" w:eastAsia="Arial" w:hAnsi="Arial"/>
                <w:sz w:val="22"/>
                <w:szCs w:val="22"/>
                <w:color w:val="auto"/>
                <w:vertAlign w:val="superscript"/>
              </w:rPr>
              <w:t>(2)</w:t>
            </w:r>
          </w:p>
        </w:tc>
        <w:tc>
          <w:tcPr>
            <w:tcW w:w="12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0.236</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r>
      <w:tr>
        <w:trPr>
          <w:trHeight w:val="20"/>
        </w:trPr>
        <w:tc>
          <w:tcPr>
            <w:tcW w:w="44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740" w:hanging="368"/>
        <w:spacing w:after="0" w:line="244" w:lineRule="auto"/>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the three months ended March 31, 2021, approximately 3 million RSUs vested upon satisfying both the service and liquidity vesting conditions. The shares remained unreleased as of March 31, 2021 due to the lock-up provisions related to the Company’s IPO</w:t>
      </w:r>
      <w:r>
        <w:rPr>
          <w:rFonts w:ascii="Arial" w:cs="Arial" w:eastAsia="Arial" w:hAnsi="Arial"/>
          <w:sz w:val="16"/>
          <w:szCs w:val="16"/>
          <w:color w:val="auto"/>
        </w:rPr>
        <w:t>.</w:t>
      </w:r>
    </w:p>
    <w:p>
      <w:pPr>
        <w:ind w:left="740" w:hanging="368"/>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Outstanding RSUs as of March 31, 2021 include 10 million units of CEO Performance Award.</w:t>
      </w:r>
    </w:p>
    <w:p>
      <w:pPr>
        <w:spacing w:after="0" w:line="292" w:lineRule="exact"/>
        <w:rPr>
          <w:sz w:val="20"/>
          <w:szCs w:val="20"/>
          <w:color w:val="auto"/>
        </w:rPr>
      </w:pPr>
    </w:p>
    <w:p>
      <w:pPr>
        <w:ind w:right="20" w:firstLine="637"/>
        <w:spacing w:after="0" w:line="246" w:lineRule="auto"/>
        <w:rPr>
          <w:sz w:val="20"/>
          <w:szCs w:val="20"/>
          <w:color w:val="auto"/>
        </w:rPr>
      </w:pPr>
      <w:r>
        <w:rPr>
          <w:rFonts w:ascii="Arial" w:cs="Arial" w:eastAsia="Arial" w:hAnsi="Arial"/>
          <w:sz w:val="18"/>
          <w:szCs w:val="18"/>
          <w:color w:val="auto"/>
        </w:rPr>
        <w:t>The weighted-average grant date fair value of restricted stock units (“RSUs”) granted during the three months ended March 31, 2021 was $22.01 per share.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 w:name="page17"/>
    <w:bookmarkEnd w:id="16"/>
    <w:p>
      <w:pPr>
        <w:ind w:left="6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stock-based compensation expense included in the condensed consolidated statements of operations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304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9"/>
              </w:rPr>
              <w:t>Three Months Ended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5"/>
        </w:trPr>
        <w:tc>
          <w:tcPr>
            <w:tcW w:w="77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center"/>
              <w:ind w:right="720"/>
              <w:spacing w:after="0"/>
              <w:rPr>
                <w:sz w:val="20"/>
                <w:szCs w:val="20"/>
                <w:color w:val="auto"/>
              </w:rPr>
            </w:pPr>
            <w:r>
              <w:rPr>
                <w:rFonts w:ascii="Arial" w:cs="Arial" w:eastAsia="Arial" w:hAnsi="Arial"/>
                <w:sz w:val="18"/>
                <w:szCs w:val="18"/>
                <w:b w:val="1"/>
                <w:bCs w:val="1"/>
                <w:color w:val="auto"/>
              </w:rPr>
              <w:t>March 31,</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7700" w:type="dxa"/>
            <w:vAlign w:val="bottom"/>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7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6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8"/>
              </w:rPr>
              <w:t>(in millions)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80" w:type="dxa"/>
            <w:vAlign w:val="bottom"/>
            <w:gridSpan w:val="2"/>
            <w:shd w:val="clear" w:color="auto" w:fill="CFF0FC"/>
          </w:tcPr>
          <w:p>
            <w:pPr>
              <w:jc w:val="right"/>
              <w:ind w:right="10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Sales and marketing</w:t>
            </w: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6"/>
                <w:szCs w:val="16"/>
                <w:color w:val="auto"/>
              </w:rPr>
              <w:t>—</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10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stock-based compensation</w:t>
            </w: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480" w:type="dxa"/>
            <w:vAlign w:val="bottom"/>
            <w:gridSpan w:val="2"/>
            <w:shd w:val="clear" w:color="auto" w:fill="CFF0FC"/>
          </w:tcPr>
          <w:p>
            <w:pPr>
              <w:jc w:val="right"/>
              <w:ind w:right="10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64"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18"/>
          <w:szCs w:val="18"/>
          <w:color w:val="auto"/>
        </w:rPr>
        <w:t>The Company will recognize the remaining $134 million and $72 million of unrecognized stock-based compensation expense over a weighted-average period of approximately 1.32 years and 3.84 years related to RSUs and CEO Performance Award, respectively.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Employee Stock Purchase Plan</w:t>
      </w:r>
    </w:p>
    <w:p>
      <w:pPr>
        <w:spacing w:after="0" w:line="180" w:lineRule="exact"/>
        <w:rPr>
          <w:sz w:val="20"/>
          <w:szCs w:val="20"/>
          <w:color w:val="auto"/>
        </w:rPr>
      </w:pPr>
    </w:p>
    <w:p>
      <w:pPr>
        <w:jc w:val="both"/>
        <w:ind w:firstLine="832"/>
        <w:spacing w:after="0" w:line="238" w:lineRule="auto"/>
        <w:rPr>
          <w:sz w:val="20"/>
          <w:szCs w:val="20"/>
          <w:color w:val="auto"/>
        </w:rPr>
      </w:pPr>
      <w:r>
        <w:rPr>
          <w:rFonts w:ascii="Arial" w:cs="Arial" w:eastAsia="Arial" w:hAnsi="Arial"/>
          <w:sz w:val="18"/>
          <w:szCs w:val="18"/>
          <w:color w:val="auto"/>
        </w:rPr>
        <w:t>The Company’s Employee Stock Purchase Plan (“ESPP”) allows eligible employees to purchase shares of the Company’s Class A common stock at a discount through payroll deductions of up to 15% of eligible compensation, subject to caps of $25,000 in any calendar year and 2,500 shares on any purchase date. The ESPP provides for 24-month offering periods, generally beginning in November and May of each year, and each offering period consists of four six-month purchase periods. The initial offering period began on January 1, 2021 and will end in November 2022. The first purchase under the ESPP will be in May 2021.</w:t>
      </w:r>
    </w:p>
    <w:p>
      <w:pPr>
        <w:spacing w:after="0" w:line="148" w:lineRule="exact"/>
        <w:rPr>
          <w:sz w:val="20"/>
          <w:szCs w:val="20"/>
          <w:color w:val="auto"/>
        </w:rPr>
      </w:pPr>
    </w:p>
    <w:p>
      <w:pPr>
        <w:jc w:val="both"/>
        <w:ind w:firstLine="832"/>
        <w:spacing w:after="0" w:line="238" w:lineRule="auto"/>
        <w:rPr>
          <w:sz w:val="20"/>
          <w:szCs w:val="20"/>
          <w:color w:val="auto"/>
        </w:rPr>
      </w:pPr>
      <w:r>
        <w:rPr>
          <w:rFonts w:ascii="Arial" w:cs="Arial" w:eastAsia="Arial" w:hAnsi="Arial"/>
          <w:sz w:val="18"/>
          <w:szCs w:val="18"/>
          <w:color w:val="auto"/>
        </w:rPr>
        <w:t>On each purchase date, participating employees will purchase Class A common stock at a price per share equal to 85% of the lesser of the fair market value of the Company’s Class A common stock on (i) the first trading day of the applicable offering period and (2) the last trading day of each purchase period in the applicable offering period. If the stock price of the Company's Class A common stock on any purchase date in an offering period is lower than the stock price on the enrollment date of that offering period, the offering period will immediately reset after the purchase of shares on such purchase date and automatically roll into a new offering period.</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uses the Black-Scholes option pricing model to determine the fair value of shares to be purchased under the 2020</w:t>
      </w:r>
    </w:p>
    <w:p>
      <w:pPr>
        <w:spacing w:after="0"/>
        <w:rPr>
          <w:sz w:val="20"/>
          <w:szCs w:val="20"/>
          <w:color w:val="auto"/>
        </w:rPr>
      </w:pPr>
      <w:r>
        <w:rPr>
          <w:rFonts w:ascii="Arial" w:cs="Arial" w:eastAsia="Arial" w:hAnsi="Arial"/>
          <w:sz w:val="18"/>
          <w:szCs w:val="18"/>
          <w:color w:val="auto"/>
        </w:rPr>
        <w:t>Employee Stock Purchase Plan (“ESPP”) with the following assumptions on the date of grant: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4860" w:type="dxa"/>
            <w:vAlign w:val="bottom"/>
            <w:gridSpan w:val="2"/>
          </w:tcPr>
          <w:p>
            <w:pPr>
              <w:ind w:left="1480"/>
              <w:spacing w:after="0"/>
              <w:rPr>
                <w:sz w:val="20"/>
                <w:szCs w:val="20"/>
                <w:color w:val="auto"/>
              </w:rPr>
            </w:pPr>
            <w:r>
              <w:rPr>
                <w:rFonts w:ascii="Arial" w:cs="Arial" w:eastAsia="Arial" w:hAnsi="Arial"/>
                <w:sz w:val="18"/>
                <w:szCs w:val="18"/>
                <w:b w:val="1"/>
                <w:bCs w:val="1"/>
                <w:color w:val="auto"/>
              </w:rPr>
              <w:t>Three Months Ended</w:t>
            </w:r>
          </w:p>
        </w:tc>
      </w:tr>
      <w:tr>
        <w:trPr>
          <w:trHeight w:val="225"/>
        </w:trPr>
        <w:tc>
          <w:tcPr>
            <w:tcW w:w="6380" w:type="dxa"/>
            <w:vAlign w:val="bottom"/>
            <w:tcBorders>
              <w:bottom w:val="single" w:sz="8" w:color="CFF0FC"/>
            </w:tcBorders>
          </w:tcPr>
          <w:p>
            <w:pPr>
              <w:spacing w:after="0"/>
              <w:rPr>
                <w:sz w:val="19"/>
                <w:szCs w:val="19"/>
                <w:color w:val="auto"/>
              </w:rPr>
            </w:pPr>
          </w:p>
        </w:tc>
        <w:tc>
          <w:tcPr>
            <w:tcW w:w="4740" w:type="dxa"/>
            <w:vAlign w:val="bottom"/>
            <w:tcBorders>
              <w:bottom w:val="single" w:sz="8" w:color="auto"/>
            </w:tcBorders>
          </w:tcPr>
          <w:p>
            <w:pPr>
              <w:jc w:val="right"/>
              <w:ind w:right="1651"/>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Borders>
              <w:bottom w:val="single" w:sz="8" w:color="CFF0FC"/>
            </w:tcBorders>
          </w:tcPr>
          <w:p>
            <w:pPr>
              <w:spacing w:after="0"/>
              <w:rPr>
                <w:sz w:val="19"/>
                <w:szCs w:val="19"/>
                <w:color w:val="auto"/>
              </w:rPr>
            </w:pPr>
          </w:p>
        </w:tc>
      </w:tr>
      <w:tr>
        <w:trPr>
          <w:trHeight w:val="210"/>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4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0.38 to 1.88</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4860" w:type="dxa"/>
            <w:vAlign w:val="bottom"/>
            <w:gridSpan w:val="2"/>
          </w:tcPr>
          <w:p>
            <w:pPr>
              <w:jc w:val="right"/>
              <w:ind w:right="140"/>
              <w:spacing w:after="0"/>
              <w:rPr>
                <w:sz w:val="20"/>
                <w:szCs w:val="20"/>
                <w:color w:val="auto"/>
              </w:rPr>
            </w:pPr>
            <w:r>
              <w:rPr>
                <w:rFonts w:ascii="Arial" w:cs="Arial" w:eastAsia="Arial" w:hAnsi="Arial"/>
                <w:sz w:val="18"/>
                <w:szCs w:val="18"/>
                <w:color w:val="auto"/>
              </w:rPr>
              <w:t>0.09% to 0.13%</w:t>
            </w: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4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46.45% to 62.28%</w:t>
            </w:r>
          </w:p>
        </w:tc>
      </w:tr>
      <w:tr>
        <w:trPr>
          <w:trHeight w:val="256"/>
        </w:trPr>
        <w:tc>
          <w:tcPr>
            <w:tcW w:w="6380" w:type="dxa"/>
            <w:vAlign w:val="bottom"/>
          </w:tcPr>
          <w:p>
            <w:pPr>
              <w:spacing w:after="0"/>
              <w:rPr>
                <w:sz w:val="20"/>
                <w:szCs w:val="20"/>
                <w:color w:val="auto"/>
              </w:rPr>
            </w:pPr>
            <w:r>
              <w:rPr>
                <w:rFonts w:ascii="Arial" w:cs="Arial" w:eastAsia="Arial" w:hAnsi="Arial"/>
                <w:sz w:val="18"/>
                <w:szCs w:val="18"/>
                <w:color w:val="auto"/>
              </w:rPr>
              <w:t>Dividend yield</w:t>
            </w:r>
          </w:p>
        </w:tc>
        <w:tc>
          <w:tcPr>
            <w:tcW w:w="4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Estimated fair value per ESPP share</w:t>
            </w:r>
          </w:p>
        </w:tc>
        <w:tc>
          <w:tcPr>
            <w:tcW w:w="4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$4.14 to $8.05</w:t>
            </w: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61"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The Company’s tax provision for the interim periods is determined using an estimate of the annual effective tax rate, adjusted for discrete items, if any, that arise during the period. Each quarter, the Company assesses its estimate of the annual effective tax rate, and if the estimated annual effective tax rate changes, the Company makes a cumulative adjustment in the period of change.</w:t>
      </w:r>
    </w:p>
    <w:p>
      <w:pPr>
        <w:spacing w:after="0" w:line="20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8"/>
          <w:szCs w:val="18"/>
          <w:color w:val="auto"/>
        </w:rPr>
        <w:t>The Company’s quarterly tax provision and the estimate of the annual effective tax rate is subject to fluctuation due to several factors, including variability in pre-tax earnings, the geographic distribution of the pre-tax earnings, tax law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changes, non-deductible expenses, such as stock-based compensation, and changes in the estimate of the valuation allowance.</w:t>
      </w:r>
    </w:p>
    <w:p>
      <w:pPr>
        <w:spacing w:after="0" w:line="21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The provision for income taxes was $2 million for the three months ended March 31, 2021 and was insignificant for the three months ended March 31, 2020. The year-over-year increase in provision for income taxes was primarily related to international operations. The Company continues to maintain a valuation allowance on its domestic net deferred tax assets which is excluded from the annual effective tax rate estimate.</w:t>
      </w:r>
    </w:p>
    <w:p>
      <w:pPr>
        <w:spacing w:after="0" w:line="205"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The Company had immaterial unrecognized tax benefits as of March 31, 2021 and December 31, 2020, fully offset by a valuation allowance. These unrecognized tax benefits, if recognized, would not affect the effective tax rate. No interest or penalties were incurred during the years ended March 31, 2021 and 2020.</w:t>
      </w:r>
    </w:p>
    <w:p>
      <w:pPr>
        <w:spacing w:after="0" w:line="203"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The Company files income tax returns in the U.S. federal jurisdiction and various state and foreign jurisdictions. The Company is not currently under examination by income tax authorities in federal, state or other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10. NET LOSS PER SHARE</w:t>
      </w:r>
    </w:p>
    <w:p>
      <w:pPr>
        <w:spacing w:after="0" w:line="8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Basic net income (loss) per share is computed using the weighted average number of common shares outstanding during the period. Diluted net income (loss) per share is computed by giving effect to potentially dilutive common stock equivalents outstanding during the period, as their effect would be dilutive. Potentially dilutive common shares include participating securities and shares issuable upon the exercise of stock options, the exercise of common stock warrants, the vesting of RSUs and each purchase under the 2020 ESPP, under the treasury stock method.</w:t>
      </w:r>
    </w:p>
    <w:p>
      <w:pPr>
        <w:spacing w:after="0" w:line="67"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18"/>
          <w:szCs w:val="18"/>
          <w:color w:val="auto"/>
        </w:rPr>
        <w:t>In loss periods, basic net loss per share and diluted net loss per share are the same, as the effect of potential common shares is anti-dilutive and therefore excluded.</w:t>
      </w:r>
    </w:p>
    <w:p>
      <w:pPr>
        <w:spacing w:after="0" w:line="48"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The rights, including the liquidation and dividend rights, of the holders of Class A and Class B common stock are identical, except with respect to voting. As the liquidation and dividend rights are identical, the Company’s undistributed earnings or losses are allocated on a proportionate basis among the holders of both Class A and Class B common stock. As a result, the net income (loss) per share attributed to common stockholders will, therefore, be the same for both Class A and Class B common stock on an individual or combined basis.</w:t>
      </w:r>
    </w:p>
    <w:p>
      <w:pPr>
        <w:spacing w:after="0" w:line="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77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184"/>
        </w:trPr>
        <w:tc>
          <w:tcPr>
            <w:tcW w:w="7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millions, except per share data)</w:t>
            </w:r>
          </w:p>
        </w:tc>
      </w:tr>
      <w:tr>
        <w:trPr>
          <w:trHeight w:val="26"/>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56"/>
        </w:trPr>
        <w:tc>
          <w:tcPr>
            <w:tcW w:w="77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r>
      <w:tr>
        <w:trPr>
          <w:trHeight w:val="196"/>
        </w:trPr>
        <w:tc>
          <w:tcPr>
            <w:tcW w:w="77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24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5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Weighted-average shares used in computing net loss per share, basic and diluted</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FF0FC"/>
            </w:tcBorders>
          </w:tcPr>
          <w:p>
            <w:pPr>
              <w:spacing w:after="0"/>
              <w:rPr>
                <w:sz w:val="22"/>
                <w:szCs w:val="22"/>
                <w:color w:val="auto"/>
              </w:rPr>
            </w:pPr>
          </w:p>
        </w:tc>
      </w:tr>
      <w:tr>
        <w:trPr>
          <w:trHeight w:val="196"/>
        </w:trPr>
        <w:tc>
          <w:tcPr>
            <w:tcW w:w="7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(0.21)</w:t>
            </w:r>
          </w:p>
        </w:tc>
        <w:tc>
          <w:tcPr>
            <w:tcW w:w="46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(0.62)</w:t>
            </w: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because including them would have had an anti-dilutive effect:</w:t>
      </w:r>
    </w:p>
    <w:p>
      <w:pPr>
        <w:spacing w:after="0" w:line="202" w:lineRule="exact"/>
        <w:rPr>
          <w:sz w:val="20"/>
          <w:szCs w:val="20"/>
          <w:color w:val="auto"/>
        </w:rPr>
      </w:pPr>
    </w:p>
    <w:p>
      <w:pPr>
        <w:ind w:left="8760"/>
        <w:spacing w:after="0"/>
        <w:rPr>
          <w:sz w:val="20"/>
          <w:szCs w:val="20"/>
          <w:color w:val="auto"/>
        </w:rPr>
      </w:pPr>
      <w:r>
        <w:rPr>
          <w:rFonts w:ascii="Arial" w:cs="Arial" w:eastAsia="Arial" w:hAnsi="Arial"/>
          <w:sz w:val="18"/>
          <w:szCs w:val="18"/>
          <w:b w:val="1"/>
          <w:bCs w:val="1"/>
          <w:color w:val="auto"/>
        </w:rPr>
        <w:t>As of March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184"/>
        </w:trPr>
        <w:tc>
          <w:tcPr>
            <w:tcW w:w="7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gridSpan w:val="3"/>
          </w:tcPr>
          <w:p>
            <w:pPr>
              <w:ind w:left="18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Redeemable convertible preferred stock, all series</w:t>
            </w:r>
          </w:p>
        </w:tc>
        <w:tc>
          <w:tcPr>
            <w:tcW w:w="1140" w:type="dxa"/>
            <w:vAlign w:val="bottom"/>
            <w:gridSpan w:val="3"/>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FF0FC"/>
          </w:tcPr>
          <w:p>
            <w:pPr>
              <w:spacing w:after="0"/>
              <w:rPr>
                <w:sz w:val="18"/>
                <w:szCs w:val="18"/>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Series B warrant</w:t>
            </w:r>
          </w:p>
        </w:tc>
        <w:tc>
          <w:tcPr>
            <w:tcW w:w="114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r>
      <w:tr>
        <w:trPr>
          <w:trHeight w:val="216"/>
        </w:trPr>
        <w:tc>
          <w:tcPr>
            <w:tcW w:w="8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Warrant to purchase common stock</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8"/>
                <w:szCs w:val="18"/>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Common stock options outstanding</w:t>
            </w:r>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r>
      <w:tr>
        <w:trPr>
          <w:trHeight w:val="216"/>
        </w:trPr>
        <w:tc>
          <w:tcPr>
            <w:tcW w:w="8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RSUs outstanding</w:t>
            </w:r>
            <w:r>
              <w:rPr>
                <w:rFonts w:ascii="Arial" w:cs="Arial" w:eastAsia="Arial" w:hAnsi="Arial"/>
                <w:sz w:val="15"/>
                <w:szCs w:val="15"/>
                <w:color w:val="auto"/>
              </w:rPr>
              <w:t>(1)</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Employee Stock Purchase Plan</w:t>
            </w: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r>
      <w:tr>
        <w:trPr>
          <w:trHeight w:val="210"/>
        </w:trPr>
        <w:tc>
          <w:tcPr>
            <w:tcW w:w="8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FF0FC"/>
          </w:tcPr>
          <w:p>
            <w:pPr>
              <w:spacing w:after="0"/>
              <w:rPr>
                <w:sz w:val="18"/>
                <w:szCs w:val="18"/>
                <w:color w:val="auto"/>
              </w:rPr>
            </w:pPr>
          </w:p>
        </w:tc>
      </w:tr>
      <w:tr>
        <w:trPr>
          <w:trHeight w:val="20"/>
        </w:trPr>
        <w:tc>
          <w:tcPr>
            <w:tcW w:w="77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8" w:lineRule="exact"/>
        <w:rPr>
          <w:sz w:val="20"/>
          <w:szCs w:val="20"/>
          <w:color w:val="auto"/>
        </w:rPr>
      </w:pPr>
    </w:p>
    <w:p>
      <w:pPr>
        <w:ind w:left="740" w:hanging="368"/>
        <w:spacing w:after="0"/>
        <w:tabs>
          <w:tab w:leader="none" w:pos="740" w:val="left"/>
        </w:tabs>
        <w:numPr>
          <w:ilvl w:val="0"/>
          <w:numId w:val="5"/>
        </w:numPr>
        <w:rPr>
          <w:rFonts w:ascii="Arial" w:cs="Arial" w:eastAsia="Arial" w:hAnsi="Arial"/>
          <w:sz w:val="14"/>
          <w:szCs w:val="14"/>
          <w:color w:val="auto"/>
        </w:rPr>
      </w:pPr>
      <w:r>
        <w:rPr>
          <w:rFonts w:ascii="Arial" w:cs="Arial" w:eastAsia="Arial" w:hAnsi="Arial"/>
          <w:sz w:val="14"/>
          <w:szCs w:val="14"/>
          <w:color w:val="auto"/>
        </w:rPr>
        <w:t>Unvested RSUs outstanding as of March 31, 2021 included 10 million units of CEO Performance Award.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11. GEOGRAPHICAL INFORMATION</w:t>
      </w:r>
    </w:p>
    <w:p>
      <w:pPr>
        <w:spacing w:after="0" w:line="85" w:lineRule="exact"/>
        <w:rPr>
          <w:sz w:val="20"/>
          <w:szCs w:val="20"/>
          <w:color w:val="auto"/>
        </w:rPr>
      </w:pPr>
    </w:p>
    <w:p>
      <w:pPr>
        <w:ind w:firstLine="637"/>
        <w:spacing w:after="0" w:line="246" w:lineRule="auto"/>
        <w:rPr>
          <w:sz w:val="20"/>
          <w:szCs w:val="20"/>
          <w:color w:val="auto"/>
        </w:rPr>
      </w:pPr>
      <w:r>
        <w:rPr>
          <w:rFonts w:ascii="Arial" w:cs="Arial" w:eastAsia="Arial" w:hAnsi="Arial"/>
          <w:sz w:val="18"/>
          <w:szCs w:val="18"/>
          <w:color w:val="auto"/>
        </w:rPr>
        <w:t>The Company believes it is relevant to disclose geographical revenue information on both a demand basis, determined by the ship-to address of the user, and on a supply basis, determined by the location of the merchants’ operations.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Core marketplace revenue by geographic area based on the ship-to address of the user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140"/>
              <w:spacing w:after="0"/>
              <w:rPr>
                <w:sz w:val="20"/>
                <w:szCs w:val="20"/>
                <w:color w:val="auto"/>
              </w:rPr>
            </w:pPr>
            <w:r>
              <w:rPr>
                <w:rFonts w:ascii="Arial" w:cs="Arial" w:eastAsia="Arial" w:hAnsi="Arial"/>
                <w:sz w:val="18"/>
                <w:szCs w:val="18"/>
                <w:b w:val="1"/>
                <w:bCs w:val="1"/>
                <w:color w:val="auto"/>
              </w:rPr>
              <w:t>Three Months Ended March 31,</w:t>
            </w:r>
          </w:p>
        </w:tc>
        <w:tc>
          <w:tcPr>
            <w:tcW w:w="8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3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2021</w:t>
            </w: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8"/>
                <w:szCs w:val="18"/>
                <w:b w:val="1"/>
                <w:bCs w:val="1"/>
                <w:color w:val="auto"/>
              </w:rPr>
              <w:t>2020</w:t>
            </w:r>
          </w:p>
        </w:tc>
        <w:tc>
          <w:tcPr>
            <w:tcW w:w="8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84"/>
        </w:trPr>
        <w:tc>
          <w:tcPr>
            <w:tcW w:w="3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6"/>
        </w:trPr>
        <w:tc>
          <w:tcPr>
            <w:tcW w:w="3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70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3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North America</w:t>
            </w:r>
            <w:r>
              <w:rPr>
                <w:rFonts w:ascii="Arial" w:cs="Arial" w:eastAsia="Arial" w:hAnsi="Arial"/>
                <w:sz w:val="15"/>
                <w:szCs w:val="15"/>
                <w:color w:val="auto"/>
              </w:rPr>
              <w:t>(1)</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South America</w:t>
            </w:r>
          </w:p>
        </w:tc>
        <w:tc>
          <w:tcPr>
            <w:tcW w:w="10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7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0"/>
        </w:trPr>
        <w:tc>
          <w:tcPr>
            <w:tcW w:w="338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Core marketplace revenue</w:t>
            </w:r>
          </w:p>
        </w:tc>
        <w:tc>
          <w:tcPr>
            <w:tcW w:w="170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3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33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9030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4" w:lineRule="exact"/>
        <w:rPr>
          <w:sz w:val="20"/>
          <w:szCs w:val="20"/>
          <w:color w:val="auto"/>
        </w:rPr>
      </w:pPr>
    </w:p>
    <w:p>
      <w:pPr>
        <w:ind w:left="1120" w:right="20" w:hanging="370"/>
        <w:spacing w:after="0" w:line="313"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United States accounted for $156 million and $103 million of core marketplace revenue for the three months ended March 31, 2021 and 2020, respectively.</w:t>
      </w:r>
    </w:p>
    <w:p>
      <w:pPr>
        <w:spacing w:after="0" w:line="11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8"/>
          <w:szCs w:val="18"/>
          <w:color w:val="auto"/>
        </w:rPr>
        <w:t>China accounted for substantially all of marketplace and logistics revenue during the three months ended March 31, 2021 and 2020 based on the location of the merchants’ operations.</w:t>
      </w:r>
    </w:p>
    <w:p>
      <w:pPr>
        <w:spacing w:after="0" w:line="143"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The Company’s long-lived tangible assets, which consist of property and equipment, net and operating lease right-of-use assets, net, located in the United States were 87% of the total long-lived tangible assets as of March 31, 2021 and December 31, 2020. The long-lived tangible assets outside the United States were located in China, Canada and the Netherlands.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The following discussion and analysis of our financial condition, results of operations and cash flows should be read in conjunction with</w:t>
      </w:r>
    </w:p>
    <w:p>
      <w:pPr>
        <w:spacing w:after="0" w:line="14" w:lineRule="exact"/>
        <w:rPr>
          <w:sz w:val="20"/>
          <w:szCs w:val="20"/>
          <w:color w:val="auto"/>
        </w:rPr>
      </w:pPr>
    </w:p>
    <w:p>
      <w:pPr>
        <w:jc w:val="both"/>
        <w:ind w:firstLine="8"/>
        <w:spacing w:after="0" w:line="237" w:lineRule="auto"/>
        <w:tabs>
          <w:tab w:leader="none" w:pos="278"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unaudited condensed consolidated financial statements and the related notes thereto included elsewhere in this Quarterly Report on Form 10-Q and (2) the audited condensed consolidated financial statements and notes thereto and management’s discussion and analysis of financial condition and results of operations for the year ended December 31, 2020 included in our Annual Report on Form 10-K filed on March 25, 2021.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heading "Risk Factors" in Part I, Item 1A of our Annual Report on Form 10-K for our year ended December 31, 2020. See also "Special Note Regarding Forward-Looking Statements" above.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Three Months Ended March 31, 2021</w:t>
      </w:r>
    </w:p>
    <w:p>
      <w:pPr>
        <w:spacing w:after="0" w:line="85" w:lineRule="exact"/>
        <w:rPr>
          <w:sz w:val="20"/>
          <w:szCs w:val="20"/>
          <w:color w:val="auto"/>
        </w:rPr>
      </w:pPr>
    </w:p>
    <w:p>
      <w:pPr>
        <w:ind w:left="1000" w:hanging="25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revenue was $772 million, an increase of 75% year-over-year.</w:t>
      </w:r>
    </w:p>
    <w:p>
      <w:pPr>
        <w:spacing w:after="0" w:line="76" w:lineRule="exact"/>
        <w:rPr>
          <w:rFonts w:ascii="Arial" w:cs="Arial" w:eastAsia="Arial" w:hAnsi="Arial"/>
          <w:sz w:val="18"/>
          <w:szCs w:val="18"/>
          <w:color w:val="auto"/>
        </w:rPr>
      </w:pPr>
    </w:p>
    <w:p>
      <w:pPr>
        <w:ind w:left="1000" w:right="20" w:hanging="250"/>
        <w:spacing w:after="0" w:line="246"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cost of revenue and expenses were $898 million, including stock-based compensation expense of $37 million and $7 million of employer payroll taxes related to stock-based compensation.</w:t>
      </w:r>
    </w:p>
    <w:p>
      <w:pPr>
        <w:spacing w:after="0" w:line="48" w:lineRule="exact"/>
        <w:rPr>
          <w:rFonts w:ascii="Arial" w:cs="Arial" w:eastAsia="Arial" w:hAnsi="Arial"/>
          <w:sz w:val="18"/>
          <w:szCs w:val="18"/>
          <w:color w:val="auto"/>
        </w:rPr>
      </w:pPr>
    </w:p>
    <w:p>
      <w:pPr>
        <w:ind w:left="1000" w:hanging="25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from operations was $126 million.</w:t>
      </w:r>
    </w:p>
    <w:p>
      <w:pPr>
        <w:spacing w:after="0" w:line="76" w:lineRule="exact"/>
        <w:rPr>
          <w:rFonts w:ascii="Arial" w:cs="Arial" w:eastAsia="Arial" w:hAnsi="Arial"/>
          <w:sz w:val="18"/>
          <w:szCs w:val="18"/>
          <w:color w:val="auto"/>
        </w:rPr>
      </w:pPr>
    </w:p>
    <w:p>
      <w:pPr>
        <w:ind w:left="1000" w:hanging="25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loss was $128 million.</w:t>
      </w:r>
    </w:p>
    <w:p>
      <w:pPr>
        <w:spacing w:after="0" w:line="76" w:lineRule="exact"/>
        <w:rPr>
          <w:rFonts w:ascii="Arial" w:cs="Arial" w:eastAsia="Arial" w:hAnsi="Arial"/>
          <w:sz w:val="18"/>
          <w:szCs w:val="18"/>
          <w:color w:val="auto"/>
        </w:rPr>
      </w:pPr>
    </w:p>
    <w:p>
      <w:pPr>
        <w:ind w:left="1000" w:hanging="25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was a loss of $79 million or 10% of total revenue.</w:t>
      </w:r>
    </w:p>
    <w:p>
      <w:pPr>
        <w:spacing w:after="0" w:line="76" w:lineRule="exact"/>
        <w:rPr>
          <w:rFonts w:ascii="Arial" w:cs="Arial" w:eastAsia="Arial" w:hAnsi="Arial"/>
          <w:sz w:val="18"/>
          <w:szCs w:val="18"/>
          <w:color w:val="auto"/>
        </w:rPr>
      </w:pPr>
    </w:p>
    <w:p>
      <w:pPr>
        <w:ind w:left="1000" w:hanging="25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and cash equivalents and marketable securities were $1.8 billion.</w:t>
      </w:r>
    </w:p>
    <w:p>
      <w:pPr>
        <w:spacing w:after="0" w:line="171"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As of March 31, 2021, we had an accumulated deficit of $2.3 billion. We expect losses from operations to continue for the foreseeable future as we incur costs and expenses related to brand development, expansion of market share, continued development of our mobile shopping marketplace infrastructure and development of other businesses.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8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The outbreak of coronavirus disease 2019 (“COVID-19”) has affected businesses worldwide, as of the date of filing of this Quarterly Report, and continues to impact the major markets in which we operate. The COVID-19 pandemic has resulted in significant governmental measures being implemented to control the spread of the virus, and our operations as well as the operations of our third-party merchants and users have been and will continue to be disrupted by varying individual and governmental responses to COVID-19 around the world, such as business shutdowns, stay-at-home directives, travel restrictions, border closures, and other travel or health-related restrictions as well as by absenteeism, quarantines, self-isolations, office and factory closures, delays on deliveries, and disruptions to ports and other freight infrastructure. These restrictions may cause consumers and businesses to reduce their activities and their spending, have caused a slowdown in the global economy and have had, and may continue to have, a negative impact on our operations. If these conditions continue, sales volumes may decrease and we may, among other issues, experience or continue to experience delays in product development, a decreased ability to support our merchants, disruptions in sales, delivery and logistics, each of which could have a negative impact on our ability to meet shipment commitments and on our revenue and profitability.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Model</w:t>
      </w:r>
    </w:p>
    <w:p>
      <w:pPr>
        <w:spacing w:after="0" w:line="8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Our business benefits from powerful network effects, fueled by our data advantage and massive scale. As more users join Wish, attracted by our affordable value proposition and shopping experience, we are able to increase revenue potential for our merchants. As more merchants succeed on Wish, more merchants join the platform and grow their businesses with Wish, broadening our product selection, which in turn improves user experience. By developing a strategy focused on users and merchants, we align user and merchant success with the success of our financial model. The growth in users and merchants generates more data, further strengthens our data advantage and creates an even better experience for everyone on our platform, in turn attracting more users and high-quality merchants.</w:t>
      </w:r>
    </w:p>
    <w:p>
      <w:pPr>
        <w:spacing w:after="0" w:line="151"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Our model relies on cost-effectively adding new users, converting those users into buyers and improving engagement and monetization of those buyers on Wish over time as well as adding new merchants, delivering economic success for those merchants, and having those merchants use more of our end-to-end platform.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Key Financial and Performance Metrics</w:t>
      </w:r>
    </w:p>
    <w:p>
      <w:pPr>
        <w:spacing w:after="0" w:line="9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8"/>
          <w:szCs w:val="18"/>
          <w:color w:val="auto"/>
        </w:rPr>
        <w:t>In addition to the measures presented in our condensed consolidated financial statements, we monitor the following key metrics and other financial information to measure our performance, identify trends affecting our business, and make strategic decisions.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5"/>
        </w:trPr>
        <w:tc>
          <w:tcPr>
            <w:tcW w:w="614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March 31,</w:t>
            </w:r>
          </w:p>
        </w:tc>
        <w:tc>
          <w:tcPr>
            <w:tcW w:w="14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09"/>
        </w:trPr>
        <w:tc>
          <w:tcPr>
            <w:tcW w:w="6140" w:type="dxa"/>
            <w:vAlign w:val="bottom"/>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r>
      <w:tr>
        <w:trPr>
          <w:trHeight w:val="210"/>
        </w:trPr>
        <w:tc>
          <w:tcPr>
            <w:tcW w:w="6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MAU</w:t>
            </w:r>
          </w:p>
        </w:tc>
        <w:tc>
          <w:tcPr>
            <w:tcW w:w="14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272"/>
              <w:spacing w:after="0"/>
              <w:rPr>
                <w:sz w:val="20"/>
                <w:szCs w:val="20"/>
                <w:color w:val="auto"/>
              </w:rPr>
            </w:pPr>
            <w:r>
              <w:rPr>
                <w:rFonts w:ascii="Arial" w:cs="Arial" w:eastAsia="Arial" w:hAnsi="Arial"/>
                <w:sz w:val="18"/>
                <w:szCs w:val="18"/>
                <w:color w:val="auto"/>
              </w:rPr>
              <w:t>101</w:t>
            </w:r>
          </w:p>
        </w:tc>
        <w:tc>
          <w:tcPr>
            <w:tcW w:w="9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LTM Active Buyers</w:t>
            </w:r>
          </w:p>
        </w:tc>
        <w:tc>
          <w:tcPr>
            <w:tcW w:w="1400" w:type="dxa"/>
            <w:vAlign w:val="bottom"/>
          </w:tcPr>
          <w:p>
            <w:pPr>
              <w:spacing w:after="0"/>
              <w:rPr>
                <w:sz w:val="18"/>
                <w:szCs w:val="18"/>
                <w:color w:val="auto"/>
              </w:rPr>
            </w:pP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61</w:t>
            </w: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400" w:type="dxa"/>
            <w:vAlign w:val="bottom"/>
            <w:shd w:val="clear" w:color="auto" w:fill="CFF0FC"/>
          </w:tcPr>
          <w:p>
            <w:pPr>
              <w:jc w:val="right"/>
              <w:ind w:right="12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(79)</w:t>
            </w:r>
          </w:p>
        </w:tc>
        <w:tc>
          <w:tcPr>
            <w:tcW w:w="90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Adjusted EBITDA Margin</w:t>
            </w:r>
          </w:p>
        </w:tc>
        <w:tc>
          <w:tcPr>
            <w:tcW w:w="140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90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1400" w:type="dxa"/>
            <w:vAlign w:val="bottom"/>
            <w:shd w:val="clear" w:color="auto" w:fill="CFF0FC"/>
          </w:tcPr>
          <w:p>
            <w:pPr>
              <w:jc w:val="right"/>
              <w:ind w:right="12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(354)</w:t>
            </w:r>
          </w:p>
        </w:tc>
        <w:tc>
          <w:tcPr>
            <w:tcW w:w="90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(129)</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 Active Users</w:t>
      </w:r>
    </w:p>
    <w:p>
      <w:pPr>
        <w:spacing w:after="0" w:line="8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We define MAUs as the number of unique users that visited the Wish platform, either on our mobile app, mobile web, or on a desktop, during the month. MAUs for a given reporting period equal the average of the MAUs for that period. An active user is identified by a unique email-address; a single person can have multiple user accounts via multiple email addresses. The change in MAUs in a reported period captures both the inflow of new users as well as the outflow of existing users who did not visit the platform in a given month. We view the number of MAUs as key driver of revenue growth as well as a key indicator of user engagement and awareness of our brand.</w:t>
      </w:r>
    </w:p>
    <w:p>
      <w:pPr>
        <w:spacing w:after="0" w:line="54"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MAUs decreased approximately 7% from the three months ended March 31, 2020 to the three months ended March 31, 2021, primarily driven by the decision to de-emphasize user acquisition in some emerging markets outside of Europe and North America where we faced logistical challenges due to the pandemic and to emphasize higher LTV users within the same value-conscious consumer category in many of the more developed markets.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LTM Active Buyers</w:t>
      </w:r>
    </w:p>
    <w:p>
      <w:pPr>
        <w:spacing w:after="0" w:line="8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As of the last date of each reported period, we determine our number of unique active buyers by counting the total number of individual users who have placed at least one order on the Wish platform, either on our mobile app, mobile web, or on a desktop, during the preceding 12 months. We, however, exclude from the computation those buyers whose order is cancelled before the item is shipped and the purchase price is refunded. The number of Active Buyers is an indicator of our ability to attract and monetize a large user base to our platform and of our ability to convert visits into purchases. We believe that increasing our Active Buyers will be a significant driver to our future revenue growth.</w:t>
      </w:r>
    </w:p>
    <w:p>
      <w:pPr>
        <w:spacing w:after="0" w:line="56" w:lineRule="exact"/>
        <w:rPr>
          <w:sz w:val="20"/>
          <w:szCs w:val="20"/>
          <w:color w:val="auto"/>
        </w:rPr>
      </w:pPr>
    </w:p>
    <w:p>
      <w:pPr>
        <w:jc w:val="both"/>
        <w:ind w:right="20" w:firstLine="637"/>
        <w:spacing w:after="0" w:line="246" w:lineRule="auto"/>
        <w:rPr>
          <w:sz w:val="20"/>
          <w:szCs w:val="20"/>
          <w:color w:val="auto"/>
        </w:rPr>
      </w:pPr>
      <w:r>
        <w:rPr>
          <w:rFonts w:ascii="Arial" w:cs="Arial" w:eastAsia="Arial" w:hAnsi="Arial"/>
          <w:sz w:val="18"/>
          <w:szCs w:val="18"/>
          <w:color w:val="auto"/>
        </w:rPr>
        <w:t>LTM Active Buyers decreased approximately 3% from the three months ended March 31, 2020 to the three months ended March 31, 2021, primarily due to our actions to de-emphasize low value items, which tend to have high conversion rates but unfavorable economics.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Metrics</w:t>
      </w:r>
    </w:p>
    <w:p>
      <w:pPr>
        <w:spacing w:after="0" w:line="8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numbers for some of our metrics, including MAUs, are calculated and tracked with internal tools, which are not independently verified by any third party. We use these metrics to assess the growth and health of our overall business. While these numbers are based on what we believe to be reasonable estimates of our user or merchant base for the applicable period of measurement, there are inherent challenges in measurement as the methodologies used require significant judgment and may be susceptible to algorithm or other technical errors. In addition, we regularly review and adjust our processes for calculating metrics to improve their accuracy, and our estimates may change due to improvements or changes in technology or our methodology.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Non-GAAP Financial Measures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8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provide Adjusted EBITDA, a non-GAAP financial measure that represents our net income (loss) adjusted to exclude; interest and other income (expense), net (which includes foreign exchange gain or loss, foreign exchange forward contracts gain or loss and gain or loss on one-time non-operating transactions); provision or benefit for income taxes;, depreciation and amortization; stock-based compensation expense and related payroll taxes; remeasurement of redeemable convertible preferred stock warrant liability and other items. Additionally, we provide Adjusted EBITDA Margin, a non-GAAP financial measure that represents Adjusted EBITDA divided by revenue. Below is a reconciliation of Adjusted EBITDA to net loss, the most directly comparable GAAP financial measure.</w:t>
      </w:r>
    </w:p>
    <w:p>
      <w:pPr>
        <w:spacing w:after="0" w:line="151"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We have included Adjusted EBITDA and Adjusted EBITDA Margin in this report because they are key measures used by our management and board of directors to understand and evaluate our operating performance and trends and how we are allocating internal resources, to prepare and approve our annual budget and to develop short- and long-term operating plans. We also believe that the exclusion of certain items in calculating Adjusted EBITDA can provide a useful measure for period-to-period comparisons of our business as it removes the impact of non-cash items and certain variable charges.</w:t>
      </w:r>
    </w:p>
    <w:p>
      <w:pPr>
        <w:spacing w:after="0" w:line="148"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18"/>
          <w:szCs w:val="18"/>
          <w:color w:val="auto"/>
        </w:rPr>
        <w:t>Adjusted EBITDA has limitations as an analytical measure, and you should not consider it in isolation or as a substitute for analysis of our results as reported under GAAP. Some of these limitations are:</w:t>
      </w:r>
    </w:p>
    <w:p>
      <w:pPr>
        <w:spacing w:after="0" w:line="48" w:lineRule="exact"/>
        <w:rPr>
          <w:sz w:val="20"/>
          <w:szCs w:val="20"/>
          <w:color w:val="auto"/>
        </w:rPr>
      </w:pPr>
    </w:p>
    <w:p>
      <w:pPr>
        <w:ind w:left="1000" w:right="40" w:hanging="358"/>
        <w:spacing w:after="0" w:line="223" w:lineRule="auto"/>
        <w:tabs>
          <w:tab w:leader="none" w:pos="1000" w:val="left"/>
        </w:tabs>
        <w:numPr>
          <w:ilvl w:val="0"/>
          <w:numId w:val="9"/>
        </w:numPr>
        <w:rPr>
          <w:rFonts w:ascii="Arial" w:cs="Arial" w:eastAsia="Arial" w:hAnsi="Arial"/>
          <w:sz w:val="22"/>
          <w:szCs w:val="22"/>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19" w:lineRule="exact"/>
        <w:rPr>
          <w:rFonts w:ascii="Arial" w:cs="Arial" w:eastAsia="Arial" w:hAnsi="Arial"/>
          <w:sz w:val="22"/>
          <w:szCs w:val="22"/>
          <w:color w:val="auto"/>
        </w:rPr>
      </w:pPr>
    </w:p>
    <w:p>
      <w:pPr>
        <w:ind w:left="1000" w:hanging="358"/>
        <w:spacing w:after="0"/>
        <w:tabs>
          <w:tab w:leader="none" w:pos="1000" w:val="left"/>
        </w:tabs>
        <w:numPr>
          <w:ilvl w:val="0"/>
          <w:numId w:val="9"/>
        </w:numPr>
        <w:rPr>
          <w:rFonts w:ascii="Arial" w:cs="Arial" w:eastAsia="Arial" w:hAnsi="Arial"/>
          <w:sz w:val="22"/>
          <w:szCs w:val="22"/>
          <w:color w:val="auto"/>
        </w:rPr>
      </w:pPr>
      <w:r>
        <w:rPr>
          <w:rFonts w:ascii="Arial" w:cs="Arial" w:eastAsia="Arial" w:hAnsi="Arial"/>
          <w:sz w:val="18"/>
          <w:szCs w:val="18"/>
          <w:color w:val="auto"/>
        </w:rPr>
        <w:t>Adjusted EBITDA does not reflect changes in, or cash requirements for, our working capital needs;</w:t>
      </w:r>
    </w:p>
    <w:p>
      <w:pPr>
        <w:spacing w:after="0" w:line="57" w:lineRule="exact"/>
        <w:rPr>
          <w:rFonts w:ascii="Arial" w:cs="Arial" w:eastAsia="Arial" w:hAnsi="Arial"/>
          <w:sz w:val="22"/>
          <w:szCs w:val="22"/>
          <w:color w:val="auto"/>
        </w:rPr>
      </w:pPr>
    </w:p>
    <w:p>
      <w:pPr>
        <w:ind w:left="1000" w:hanging="358"/>
        <w:spacing w:after="0"/>
        <w:tabs>
          <w:tab w:leader="none" w:pos="1000" w:val="left"/>
        </w:tabs>
        <w:numPr>
          <w:ilvl w:val="0"/>
          <w:numId w:val="9"/>
        </w:numPr>
        <w:rPr>
          <w:rFonts w:ascii="Arial" w:cs="Arial" w:eastAsia="Arial" w:hAnsi="Arial"/>
          <w:sz w:val="22"/>
          <w:szCs w:val="22"/>
          <w:color w:val="auto"/>
        </w:rPr>
      </w:pPr>
      <w:r>
        <w:rPr>
          <w:rFonts w:ascii="Arial" w:cs="Arial" w:eastAsia="Arial" w:hAnsi="Arial"/>
          <w:sz w:val="18"/>
          <w:szCs w:val="18"/>
          <w:color w:val="auto"/>
        </w:rPr>
        <w:t>Adjusted EBITDA does not consider the impact of stock-based compensation and related payroll taxes;</w:t>
      </w:r>
    </w:p>
    <w:p>
      <w:pPr>
        <w:spacing w:after="0" w:line="57" w:lineRule="exact"/>
        <w:rPr>
          <w:rFonts w:ascii="Arial" w:cs="Arial" w:eastAsia="Arial" w:hAnsi="Arial"/>
          <w:sz w:val="22"/>
          <w:szCs w:val="22"/>
          <w:color w:val="auto"/>
        </w:rPr>
      </w:pPr>
    </w:p>
    <w:p>
      <w:pPr>
        <w:ind w:left="1000" w:hanging="358"/>
        <w:spacing w:after="0"/>
        <w:tabs>
          <w:tab w:leader="none" w:pos="1000" w:val="left"/>
        </w:tabs>
        <w:numPr>
          <w:ilvl w:val="0"/>
          <w:numId w:val="9"/>
        </w:numPr>
        <w:rPr>
          <w:rFonts w:ascii="Arial" w:cs="Arial" w:eastAsia="Arial" w:hAnsi="Arial"/>
          <w:sz w:val="22"/>
          <w:szCs w:val="22"/>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93" w:lineRule="exact"/>
        <w:rPr>
          <w:rFonts w:ascii="Arial" w:cs="Arial" w:eastAsia="Arial" w:hAnsi="Arial"/>
          <w:sz w:val="22"/>
          <w:szCs w:val="22"/>
          <w:color w:val="auto"/>
        </w:rPr>
      </w:pPr>
    </w:p>
    <w:p>
      <w:pPr>
        <w:ind w:left="1000" w:right="160" w:hanging="358"/>
        <w:spacing w:after="0" w:line="218" w:lineRule="auto"/>
        <w:tabs>
          <w:tab w:leader="none" w:pos="1000" w:val="left"/>
        </w:tabs>
        <w:numPr>
          <w:ilvl w:val="0"/>
          <w:numId w:val="9"/>
        </w:numPr>
        <w:rPr>
          <w:rFonts w:ascii="Arial" w:cs="Arial" w:eastAsia="Arial" w:hAnsi="Arial"/>
          <w:sz w:val="22"/>
          <w:szCs w:val="22"/>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49" w:lineRule="exact"/>
        <w:rPr>
          <w:sz w:val="20"/>
          <w:szCs w:val="20"/>
          <w:color w:val="auto"/>
        </w:rPr>
      </w:pPr>
    </w:p>
    <w:p>
      <w:pPr>
        <w:ind w:firstLine="637"/>
        <w:spacing w:after="0" w:line="246" w:lineRule="auto"/>
        <w:rPr>
          <w:sz w:val="20"/>
          <w:szCs w:val="20"/>
          <w:color w:val="auto"/>
        </w:rPr>
      </w:pPr>
      <w:r>
        <w:rPr>
          <w:rFonts w:ascii="Arial" w:cs="Arial" w:eastAsia="Arial" w:hAnsi="Arial"/>
          <w:sz w:val="18"/>
          <w:szCs w:val="18"/>
          <w:color w:val="auto"/>
        </w:rPr>
        <w:t>Because of these limitations, you should consider Adjusted EBITDA and Adjusted EBITDA Margin alongside other financial performance measures, including various cash flow metrics, net income (loss) and our other GAAP results.</w:t>
      </w:r>
    </w:p>
    <w:p>
      <w:pPr>
        <w:spacing w:after="0" w:line="48" w:lineRule="exact"/>
        <w:rPr>
          <w:sz w:val="20"/>
          <w:szCs w:val="20"/>
          <w:color w:val="auto"/>
        </w:rPr>
      </w:pPr>
    </w:p>
    <w:p>
      <w:pPr>
        <w:ind w:firstLine="637"/>
        <w:spacing w:after="0" w:line="246" w:lineRule="auto"/>
        <w:rPr>
          <w:sz w:val="20"/>
          <w:szCs w:val="20"/>
          <w:color w:val="auto"/>
        </w:rPr>
      </w:pPr>
      <w:r>
        <w:rPr>
          <w:rFonts w:ascii="Arial" w:cs="Arial" w:eastAsia="Arial" w:hAnsi="Arial"/>
          <w:sz w:val="18"/>
          <w:szCs w:val="18"/>
          <w:color w:val="auto"/>
        </w:rPr>
        <w:t>The following table reflects the reconciliation of net loss to Adjusted EBITDA and net loss as a percentage of revenue to Adjusted EBITDA margin for each of the periods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320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9"/>
              </w:rPr>
              <w:t>Three Months Ended</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3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center"/>
              <w:ind w:right="530"/>
              <w:spacing w:after="0"/>
              <w:rPr>
                <w:sz w:val="20"/>
                <w:szCs w:val="20"/>
                <w:color w:val="auto"/>
              </w:rPr>
            </w:pPr>
            <w:r>
              <w:rPr>
                <w:rFonts w:ascii="Arial" w:cs="Arial" w:eastAsia="Arial" w:hAnsi="Arial"/>
                <w:sz w:val="18"/>
                <w:szCs w:val="18"/>
                <w:b w:val="1"/>
                <w:bCs w:val="1"/>
                <w:color w:val="auto"/>
              </w:rPr>
              <w:t>March 31,</w:t>
            </w:r>
          </w:p>
        </w:tc>
        <w:tc>
          <w:tcPr>
            <w:tcW w:w="4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8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180" w:type="dxa"/>
            <w:vAlign w:val="bottom"/>
            <w:gridSpan w:val="3"/>
          </w:tcPr>
          <w:p>
            <w:pPr>
              <w:jc w:val="center"/>
              <w:ind w:right="530"/>
              <w:spacing w:after="0"/>
              <w:rPr>
                <w:sz w:val="20"/>
                <w:szCs w:val="20"/>
                <w:color w:val="auto"/>
              </w:rPr>
            </w:pPr>
            <w:r>
              <w:rPr>
                <w:rFonts w:ascii="Arial" w:cs="Arial" w:eastAsia="Arial" w:hAnsi="Arial"/>
                <w:sz w:val="18"/>
                <w:szCs w:val="18"/>
                <w:b w:val="1"/>
                <w:bCs w:val="1"/>
                <w:color w:val="auto"/>
                <w:w w:val="98"/>
              </w:rPr>
              <w:t>(in millions)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6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(128)</w:t>
            </w:r>
          </w:p>
        </w:tc>
        <w:tc>
          <w:tcPr>
            <w:tcW w:w="10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Net loss as a percentage of revenue</w:t>
            </w:r>
          </w:p>
        </w:tc>
        <w:tc>
          <w:tcPr>
            <w:tcW w:w="10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(17)%</w:t>
            </w:r>
          </w:p>
        </w:tc>
        <w:tc>
          <w:tcPr>
            <w:tcW w:w="10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Excluding:</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expense (income), net</w:t>
            </w:r>
          </w:p>
        </w:tc>
        <w:tc>
          <w:tcPr>
            <w:tcW w:w="10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38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Employer payroll taxes related to stock-based compensation expense</w:t>
            </w:r>
          </w:p>
        </w:tc>
        <w:tc>
          <w:tcPr>
            <w:tcW w:w="10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tcPr>
          <w:p>
            <w:pPr>
              <w:ind w:left="260"/>
              <w:spacing w:after="0"/>
              <w:rPr>
                <w:sz w:val="20"/>
                <w:szCs w:val="20"/>
                <w:color w:val="auto"/>
              </w:rPr>
            </w:pPr>
            <w:r>
              <w:rPr>
                <w:rFonts w:ascii="Arial" w:cs="Arial" w:eastAsia="Arial" w:hAnsi="Arial"/>
                <w:sz w:val="18"/>
                <w:szCs w:val="18"/>
                <w:color w:val="auto"/>
              </w:rPr>
              <w:t>Remeasurement of redeemable convertible preferred stock warrant liability</w:t>
            </w:r>
          </w:p>
        </w:tc>
        <w:tc>
          <w:tcPr>
            <w:tcW w:w="102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Recurring other items</w:t>
            </w:r>
          </w:p>
        </w:tc>
        <w:tc>
          <w:tcPr>
            <w:tcW w:w="10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60"/>
              <w:spacing w:after="0"/>
              <w:rPr>
                <w:sz w:val="20"/>
                <w:szCs w:val="20"/>
                <w:color w:val="auto"/>
              </w:rPr>
            </w:pPr>
            <w:r>
              <w:rPr>
                <w:rFonts w:ascii="Arial" w:cs="Arial" w:eastAsia="Arial" w:hAnsi="Arial"/>
                <w:sz w:val="18"/>
                <w:szCs w:val="18"/>
                <w:color w:val="auto"/>
              </w:rPr>
              <w:t>Adjusted EBITDA</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(79)</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3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Adjusted EBITDA margin</w:t>
            </w:r>
          </w:p>
        </w:tc>
        <w:tc>
          <w:tcPr>
            <w:tcW w:w="10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60"/>
              <w:spacing w:after="0" w:line="196" w:lineRule="exact"/>
              <w:rPr>
                <w:sz w:val="20"/>
                <w:szCs w:val="20"/>
                <w:color w:val="auto"/>
              </w:rPr>
            </w:pPr>
            <w:r>
              <w:rPr>
                <w:rFonts w:ascii="Arial" w:cs="Arial" w:eastAsia="Arial" w:hAnsi="Arial"/>
                <w:sz w:val="18"/>
                <w:szCs w:val="18"/>
                <w:color w:val="auto"/>
              </w:rPr>
              <w:t>(10)%</w:t>
            </w:r>
          </w:p>
        </w:tc>
        <w:tc>
          <w:tcPr>
            <w:tcW w:w="10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380" w:type="dxa"/>
            <w:vAlign w:val="bottom"/>
            <w:tcBorders>
              <w:top w:val="single" w:sz="8" w:color="CFF0FC"/>
              <w:bottom w:val="single" w:sz="8" w:color="CFF0FC"/>
            </w:tcBorders>
            <w:vMerge w:val="restart"/>
          </w:tcPr>
          <w:p>
            <w:pPr>
              <w:ind w:left="5520"/>
              <w:spacing w:after="0"/>
              <w:rPr>
                <w:sz w:val="20"/>
                <w:szCs w:val="20"/>
                <w:color w:val="auto"/>
              </w:rPr>
            </w:pPr>
            <w:r>
              <w:rPr>
                <w:rFonts w:ascii="Arial" w:cs="Arial" w:eastAsia="Arial" w:hAnsi="Arial"/>
                <w:sz w:val="18"/>
                <w:szCs w:val="18"/>
                <w:color w:val="auto"/>
              </w:rPr>
              <w:t>20</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3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3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85"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We also provide Free Cash Flow, a non-GAAP financial measure that represents net cash provided by (used in) operating activities less purchases of property and equipment. We believe that Free Cash Flow is an important measure since we use third parties to host our services and therefore we do not incur significant capital expenditures to support revenue generating activities.</w:t>
      </w:r>
    </w:p>
    <w:p>
      <w:pPr>
        <w:spacing w:after="0" w:line="149"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18"/>
          <w:szCs w:val="18"/>
          <w:color w:val="auto"/>
        </w:rPr>
        <w:t>Free Cash Flow has limitations as an analytical measure, and you should not consider it in isolation or as a substitute for analysis of our results as reported under GAAP. Some of these limitations are:</w:t>
      </w:r>
    </w:p>
    <w:p>
      <w:pPr>
        <w:spacing w:after="0" w:line="62" w:lineRule="exact"/>
        <w:rPr>
          <w:sz w:val="20"/>
          <w:szCs w:val="20"/>
          <w:color w:val="auto"/>
        </w:rPr>
      </w:pPr>
    </w:p>
    <w:p>
      <w:pPr>
        <w:ind w:left="1000" w:hanging="35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is not a substitute for net cash provided by (used in) operating activities;</w:t>
      </w:r>
    </w:p>
    <w:p>
      <w:pPr>
        <w:spacing w:after="0" w:line="103" w:lineRule="exact"/>
        <w:rPr>
          <w:rFonts w:ascii="Arial" w:cs="Arial" w:eastAsia="Arial" w:hAnsi="Arial"/>
          <w:sz w:val="18"/>
          <w:szCs w:val="18"/>
          <w:color w:val="auto"/>
        </w:rPr>
      </w:pPr>
    </w:p>
    <w:p>
      <w:pPr>
        <w:ind w:left="1000" w:right="80" w:hanging="358"/>
        <w:spacing w:after="0" w:line="218" w:lineRule="auto"/>
        <w:tabs>
          <w:tab w:leader="none" w:pos="10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other companies may calculate Free Cash Flow or similarly titled non-GAAP measures differently or may use other measures to evaluate their performance, all of which could reduce the usefulness of free cash flow as a tool for comparison; and</w:t>
      </w:r>
    </w:p>
    <w:p>
      <w:pPr>
        <w:spacing w:after="0" w:line="54" w:lineRule="exact"/>
        <w:rPr>
          <w:rFonts w:ascii="Arial" w:cs="Arial" w:eastAsia="Arial" w:hAnsi="Arial"/>
          <w:sz w:val="22"/>
          <w:szCs w:val="22"/>
          <w:color w:val="auto"/>
        </w:rPr>
      </w:pPr>
    </w:p>
    <w:p>
      <w:pPr>
        <w:ind w:left="1000" w:right="120" w:hanging="358"/>
        <w:spacing w:after="0" w:line="218" w:lineRule="auto"/>
        <w:tabs>
          <w:tab w:leader="none" w:pos="10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utility of free cash flow is further limited as it does not reflect our future contractual commitments and does not represent the total increase or decrease in our cash balance for any given period.</w:t>
      </w:r>
    </w:p>
    <w:p>
      <w:pPr>
        <w:spacing w:after="0" w:line="136" w:lineRule="exact"/>
        <w:rPr>
          <w:sz w:val="20"/>
          <w:szCs w:val="20"/>
          <w:color w:val="auto"/>
        </w:rPr>
      </w:pPr>
    </w:p>
    <w:p>
      <w:pPr>
        <w:ind w:firstLine="637"/>
        <w:spacing w:after="0" w:line="246" w:lineRule="auto"/>
        <w:rPr>
          <w:sz w:val="20"/>
          <w:szCs w:val="20"/>
          <w:color w:val="auto"/>
        </w:rPr>
      </w:pPr>
      <w:r>
        <w:rPr>
          <w:rFonts w:ascii="Arial" w:cs="Arial" w:eastAsia="Arial" w:hAnsi="Arial"/>
          <w:sz w:val="18"/>
          <w:szCs w:val="18"/>
          <w:color w:val="auto"/>
        </w:rPr>
        <w:t>Because of these limitations, you should consider Free Cash Flow alongside other financial performance measures, such as net cash provided by (used in) operating activities, net income (loss) and our other GAAP results.</w:t>
      </w:r>
    </w:p>
    <w:p>
      <w:pPr>
        <w:spacing w:after="0" w:line="143" w:lineRule="exact"/>
        <w:rPr>
          <w:sz w:val="20"/>
          <w:szCs w:val="20"/>
          <w:color w:val="auto"/>
        </w:rPr>
      </w:pPr>
    </w:p>
    <w:p>
      <w:pPr>
        <w:ind w:right="140" w:firstLine="637"/>
        <w:spacing w:after="0" w:line="246" w:lineRule="auto"/>
        <w:rPr>
          <w:sz w:val="20"/>
          <w:szCs w:val="20"/>
          <w:color w:val="auto"/>
        </w:rPr>
      </w:pPr>
      <w:r>
        <w:rPr>
          <w:rFonts w:ascii="Arial" w:cs="Arial" w:eastAsia="Arial" w:hAnsi="Arial"/>
          <w:sz w:val="18"/>
          <w:szCs w:val="18"/>
          <w:color w:val="auto"/>
        </w:rPr>
        <w:t>The following table reflects the reconciliation of net cash provided by (used in) operating activities to Free Cash Flow for each of the periods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67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March 31,</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678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88"/>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6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gridSpan w:val="3"/>
          </w:tcPr>
          <w:p>
            <w:pPr>
              <w:jc w:val="center"/>
              <w:spacing w:after="0"/>
              <w:rPr>
                <w:sz w:val="20"/>
                <w:szCs w:val="20"/>
                <w:color w:val="auto"/>
              </w:rPr>
            </w:pPr>
            <w:r>
              <w:rPr>
                <w:rFonts w:ascii="Arial" w:cs="Arial" w:eastAsia="Arial" w:hAnsi="Arial"/>
                <w:sz w:val="16"/>
                <w:szCs w:val="16"/>
                <w:b w:val="1"/>
                <w:bCs w:val="1"/>
                <w:color w:val="auto"/>
              </w:rPr>
              <w:t>(in millions)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126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(354)</w:t>
            </w: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Less:</w:t>
            </w: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1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19"/>
                <w:szCs w:val="19"/>
                <w:color w:val="auto"/>
              </w:rPr>
            </w:pPr>
          </w:p>
        </w:tc>
      </w:tr>
      <w:tr>
        <w:trPr>
          <w:trHeight w:val="210"/>
        </w:trPr>
        <w:tc>
          <w:tcPr>
            <w:tcW w:w="6780" w:type="dxa"/>
            <w:vAlign w:val="bottom"/>
          </w:tcPr>
          <w:p>
            <w:pPr>
              <w:ind w:left="260"/>
              <w:spacing w:after="0"/>
              <w:rPr>
                <w:sz w:val="20"/>
                <w:szCs w:val="20"/>
                <w:color w:val="auto"/>
              </w:rPr>
            </w:pPr>
            <w:r>
              <w:rPr>
                <w:rFonts w:ascii="Arial" w:cs="Arial" w:eastAsia="Arial" w:hAnsi="Arial"/>
                <w:sz w:val="18"/>
                <w:szCs w:val="18"/>
                <w:color w:val="auto"/>
              </w:rPr>
              <w:t>Free Cash Flow</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(354)</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r>
      <w:tr>
        <w:trPr>
          <w:trHeight w:val="20"/>
        </w:trPr>
        <w:tc>
          <w:tcPr>
            <w:tcW w:w="67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5" w:lineRule="exact"/>
        <w:rPr>
          <w:sz w:val="20"/>
          <w:szCs w:val="20"/>
          <w:color w:val="auto"/>
        </w:rPr>
      </w:pPr>
    </w:p>
    <w:p>
      <w:pPr>
        <w:jc w:val="both"/>
        <w:ind w:right="20" w:firstLine="637"/>
        <w:spacing w:after="0" w:line="246" w:lineRule="auto"/>
        <w:rPr>
          <w:sz w:val="20"/>
          <w:szCs w:val="20"/>
          <w:color w:val="auto"/>
        </w:rPr>
      </w:pPr>
      <w:r>
        <w:rPr>
          <w:rFonts w:ascii="Arial" w:cs="Arial" w:eastAsia="Arial" w:hAnsi="Arial"/>
          <w:sz w:val="18"/>
          <w:szCs w:val="18"/>
          <w:color w:val="auto"/>
        </w:rPr>
        <w:t>The following table shows our results of operations for the periods presented and express the relationship of certain line items as a percentage of revenue for those periods. The period-to-period comparison of financial results is not necessarily indicative of future results.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22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Three Months Ended March 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360" w:type="dxa"/>
            <w:vAlign w:val="bottom"/>
          </w:tcPr>
          <w:p>
            <w:pPr>
              <w:spacing w:after="0"/>
              <w:rPr>
                <w:sz w:val="19"/>
                <w:szCs w:val="19"/>
                <w:color w:val="auto"/>
              </w:rPr>
            </w:pPr>
          </w:p>
        </w:tc>
        <w:tc>
          <w:tcPr>
            <w:tcW w:w="3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4"/>
          </w:tcPr>
          <w:p>
            <w:pPr>
              <w:jc w:val="right"/>
              <w:ind w:right="9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16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9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216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38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Operating expenses:</w:t>
            </w:r>
          </w:p>
        </w:tc>
        <w:tc>
          <w:tcPr>
            <w:tcW w:w="2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2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60"/>
              <w:spacing w:after="0"/>
              <w:rPr>
                <w:sz w:val="20"/>
                <w:szCs w:val="20"/>
                <w:color w:val="auto"/>
              </w:rPr>
            </w:pPr>
            <w:r>
              <w:rPr>
                <w:rFonts w:ascii="Arial" w:cs="Arial" w:eastAsia="Arial" w:hAnsi="Arial"/>
                <w:sz w:val="18"/>
                <w:szCs w:val="18"/>
                <w:color w:val="auto"/>
              </w:rPr>
              <w:t>Product development</w:t>
            </w:r>
            <w:r>
              <w:rPr>
                <w:rFonts w:ascii="Arial" w:cs="Arial" w:eastAsia="Arial" w:hAnsi="Arial"/>
                <w:sz w:val="15"/>
                <w:szCs w:val="15"/>
                <w:color w:val="auto"/>
              </w:rPr>
              <w:t>(1)</w:t>
            </w:r>
          </w:p>
        </w:tc>
        <w:tc>
          <w:tcPr>
            <w:tcW w:w="2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216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net</w:t>
            </w:r>
          </w:p>
        </w:tc>
        <w:tc>
          <w:tcPr>
            <w:tcW w:w="2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60"/>
              <w:spacing w:after="0"/>
              <w:rPr>
                <w:sz w:val="20"/>
                <w:szCs w:val="20"/>
                <w:color w:val="auto"/>
              </w:rPr>
            </w:pPr>
            <w:r>
              <w:rPr>
                <w:rFonts w:ascii="Arial" w:cs="Arial" w:eastAsia="Arial" w:hAnsi="Arial"/>
                <w:sz w:val="18"/>
                <w:szCs w:val="18"/>
                <w:color w:val="auto"/>
              </w:rPr>
              <w:t>Remeasurement of convertible preferred stock warrant liability</w:t>
            </w:r>
          </w:p>
        </w:tc>
        <w:tc>
          <w:tcPr>
            <w:tcW w:w="2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21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2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16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16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(128)</w:t>
            </w:r>
          </w:p>
        </w:tc>
        <w:tc>
          <w:tcPr>
            <w:tcW w:w="1380" w:type="dxa"/>
            <w:vAlign w:val="bottom"/>
            <w:gridSpan w:val="2"/>
            <w:shd w:val="clear" w:color="auto" w:fill="CFF0FC"/>
          </w:tcPr>
          <w:p>
            <w:pPr>
              <w:jc w:val="right"/>
              <w:ind w:right="9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2160" w:type="dxa"/>
            <w:vAlign w:val="bottom"/>
            <w:tcBorders>
              <w:top w:val="single" w:sz="8" w:color="CFF0FC"/>
              <w:bottom w:val="single" w:sz="8" w:color="CFF0FC"/>
            </w:tcBorders>
            <w:vMerge w:val="restart"/>
          </w:tcPr>
          <w:p>
            <w:pPr>
              <w:jc w:val="right"/>
              <w:ind w:right="1710"/>
              <w:spacing w:after="0"/>
              <w:rPr>
                <w:sz w:val="20"/>
                <w:szCs w:val="20"/>
                <w:color w:val="auto"/>
              </w:rPr>
            </w:pPr>
            <w:r>
              <w:rPr>
                <w:rFonts w:ascii="Arial" w:cs="Arial" w:eastAsia="Arial" w:hAnsi="Arial"/>
                <w:sz w:val="18"/>
                <w:szCs w:val="18"/>
                <w:color w:val="auto"/>
              </w:rPr>
              <w:t>21</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3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36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7"/>
        </w:trPr>
        <w:tc>
          <w:tcPr>
            <w:tcW w:w="7700" w:type="dxa"/>
            <w:vAlign w:val="bottom"/>
          </w:tcPr>
          <w:p>
            <w:pPr>
              <w:ind w:left="640"/>
              <w:spacing w:after="0"/>
              <w:rPr>
                <w:sz w:val="20"/>
                <w:szCs w:val="20"/>
                <w:color w:val="auto"/>
              </w:rPr>
            </w:pPr>
            <w:r>
              <w:rPr>
                <w:rFonts w:ascii="Arial" w:cs="Arial" w:eastAsia="Arial" w:hAnsi="Arial"/>
                <w:sz w:val="18"/>
                <w:szCs w:val="18"/>
                <w:color w:val="auto"/>
              </w:rPr>
              <w:t>(1)  Includes stock-based compensation expense as follows:</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3"/>
        </w:trPr>
        <w:tc>
          <w:tcPr>
            <w:tcW w:w="7700" w:type="dxa"/>
            <w:vAlign w:val="bottom"/>
          </w:tcPr>
          <w:p>
            <w:pPr>
              <w:spacing w:after="0"/>
              <w:rPr>
                <w:sz w:val="24"/>
                <w:szCs w:val="24"/>
                <w:color w:val="auto"/>
              </w:rPr>
            </w:pPr>
          </w:p>
        </w:tc>
        <w:tc>
          <w:tcPr>
            <w:tcW w:w="30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9"/>
              </w:rPr>
              <w:t>Three Months Ended</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5"/>
        </w:trPr>
        <w:tc>
          <w:tcPr>
            <w:tcW w:w="77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ind w:right="740"/>
              <w:spacing w:after="0"/>
              <w:rPr>
                <w:sz w:val="20"/>
                <w:szCs w:val="20"/>
                <w:color w:val="auto"/>
              </w:rPr>
            </w:pPr>
            <w:r>
              <w:rPr>
                <w:rFonts w:ascii="Arial" w:cs="Arial" w:eastAsia="Arial" w:hAnsi="Arial"/>
                <w:sz w:val="18"/>
                <w:szCs w:val="18"/>
                <w:b w:val="1"/>
                <w:bCs w:val="1"/>
                <w:color w:val="auto"/>
              </w:rPr>
              <w:t>March 31,</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7700" w:type="dxa"/>
            <w:vAlign w:val="bottom"/>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7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0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60" w:type="dxa"/>
            <w:vAlign w:val="bottom"/>
            <w:gridSpan w:val="2"/>
            <w:shd w:val="clear" w:color="auto" w:fill="CFF0FC"/>
          </w:tcPr>
          <w:p>
            <w:pPr>
              <w:jc w:val="right"/>
              <w:ind w:right="10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Sales and marketing</w:t>
            </w: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stock-based compensation</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460" w:type="dxa"/>
            <w:vAlign w:val="bottom"/>
            <w:gridSpan w:val="2"/>
            <w:shd w:val="clear" w:color="auto" w:fill="CFF0FC"/>
          </w:tcPr>
          <w:p>
            <w:pPr>
              <w:jc w:val="right"/>
              <w:ind w:right="10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components of our condensed consolidated statements of operations as a percentage of 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20" w:type="dxa"/>
            <w:vAlign w:val="bottom"/>
            <w:gridSpan w:val="9"/>
          </w:tcPr>
          <w:p>
            <w:pPr>
              <w:ind w:left="220"/>
              <w:spacing w:after="0"/>
              <w:rPr>
                <w:sz w:val="20"/>
                <w:szCs w:val="20"/>
                <w:color w:val="auto"/>
              </w:rPr>
            </w:pPr>
            <w:r>
              <w:rPr>
                <w:rFonts w:ascii="Arial" w:cs="Arial" w:eastAsia="Arial" w:hAnsi="Arial"/>
                <w:sz w:val="18"/>
                <w:szCs w:val="18"/>
                <w:b w:val="1"/>
                <w:bCs w:val="1"/>
                <w:color w:val="auto"/>
              </w:rPr>
              <w:t>Three Months Ended March 31,</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1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160" w:type="dxa"/>
            <w:vAlign w:val="bottom"/>
          </w:tcPr>
          <w:p>
            <w:pPr>
              <w:ind w:left="260"/>
              <w:spacing w:after="0"/>
              <w:rPr>
                <w:sz w:val="20"/>
                <w:szCs w:val="20"/>
                <w:color w:val="auto"/>
              </w:rPr>
            </w:pPr>
            <w:r>
              <w:rPr>
                <w:rFonts w:ascii="Arial" w:cs="Arial" w:eastAsia="Arial" w:hAnsi="Arial"/>
                <w:sz w:val="18"/>
                <w:szCs w:val="18"/>
                <w:color w:val="auto"/>
              </w:rPr>
              <w:t>Product development</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(expense), net</w:t>
            </w:r>
          </w:p>
        </w:tc>
        <w:tc>
          <w:tcPr>
            <w:tcW w:w="2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80" w:type="dxa"/>
            <w:vAlign w:val="bottom"/>
            <w:gridSpan w:val="3"/>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160" w:type="dxa"/>
            <w:vAlign w:val="bottom"/>
          </w:tcPr>
          <w:p>
            <w:pPr>
              <w:ind w:left="260"/>
              <w:spacing w:after="0"/>
              <w:rPr>
                <w:sz w:val="20"/>
                <w:szCs w:val="20"/>
                <w:color w:val="auto"/>
              </w:rPr>
            </w:pPr>
            <w:r>
              <w:rPr>
                <w:rFonts w:ascii="Arial" w:cs="Arial" w:eastAsia="Arial" w:hAnsi="Arial"/>
                <w:sz w:val="18"/>
                <w:szCs w:val="18"/>
                <w:color w:val="auto"/>
              </w:rPr>
              <w:t>Remeasurement of convertible preferred stock warrant liability</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1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Borders>
              <w:bottom w:val="single" w:sz="8" w:color="CFF0FC"/>
            </w:tcBorders>
          </w:tcPr>
          <w:p>
            <w:pPr>
              <w:spacing w:after="0"/>
              <w:rPr>
                <w:sz w:val="22"/>
                <w:szCs w:val="22"/>
                <w:color w:val="auto"/>
              </w:rPr>
            </w:pPr>
          </w:p>
        </w:tc>
        <w:tc>
          <w:tcPr>
            <w:tcW w:w="7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FF0FC"/>
            </w:tcBorders>
            <w:gridSpan w:val="2"/>
          </w:tcPr>
          <w:p>
            <w:pPr>
              <w:spacing w:after="0"/>
              <w:rPr>
                <w:sz w:val="22"/>
                <w:szCs w:val="22"/>
                <w:color w:val="auto"/>
              </w:rPr>
            </w:pPr>
          </w:p>
        </w:tc>
        <w:tc>
          <w:tcPr>
            <w:tcW w:w="38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i w:val="1"/>
                <w:iCs w:val="1"/>
                <w:color w:val="auto"/>
              </w:rPr>
              <w:t>Comparison of Three Months Ended March 31, 2021 and March 31, 2020</w:t>
            </w:r>
          </w:p>
        </w:tc>
        <w:tc>
          <w:tcPr>
            <w:tcW w:w="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1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16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gridSpan w:val="8"/>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Change</w:t>
            </w:r>
          </w:p>
        </w:tc>
        <w:tc>
          <w:tcPr>
            <w:tcW w:w="5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2020</w:t>
            </w: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right"/>
              <w:ind w:right="52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260"/>
              <w:spacing w:after="0" w:line="216" w:lineRule="exact"/>
              <w:rPr>
                <w:sz w:val="20"/>
                <w:szCs w:val="20"/>
                <w:color w:val="auto"/>
              </w:rPr>
            </w:pPr>
            <w:r>
              <w:rPr>
                <w:rFonts w:ascii="Arial" w:cs="Arial" w:eastAsia="Arial" w:hAnsi="Arial"/>
                <w:sz w:val="18"/>
                <w:szCs w:val="18"/>
                <w:color w:val="auto"/>
              </w:rPr>
              <w:t>Core marketplace revenue</w:t>
            </w:r>
            <w:r>
              <w:rPr>
                <w:rFonts w:ascii="Arial" w:cs="Arial" w:eastAsia="Arial" w:hAnsi="Arial"/>
                <w:sz w:val="24"/>
                <w:szCs w:val="24"/>
                <w:color w:val="auto"/>
                <w:vertAlign w:val="superscript"/>
              </w:rPr>
              <w:t>(1)</w:t>
            </w:r>
          </w:p>
        </w:tc>
        <w:tc>
          <w:tcPr>
            <w:tcW w:w="74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ProductBoost revenue</w:t>
            </w:r>
          </w:p>
        </w:tc>
        <w:tc>
          <w:tcPr>
            <w:tcW w:w="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Marketplace revenue</w:t>
            </w: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Logistics revenue</w:t>
            </w:r>
          </w:p>
        </w:tc>
        <w:tc>
          <w:tcPr>
            <w:tcW w:w="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0"/>
        </w:trPr>
        <w:tc>
          <w:tcPr>
            <w:tcW w:w="6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Revenue</w:t>
            </w:r>
          </w:p>
        </w:tc>
        <w:tc>
          <w:tcPr>
            <w:tcW w:w="74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740" w:hanging="368"/>
        <w:spacing w:after="0" w:line="258" w:lineRule="auto"/>
        <w:tabs>
          <w:tab w:leader="none" w:pos="7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Core marketplace revenue for the three months ended March 31, 2021 included approximately $9 million net gains from our cash flow hedging program. We did not have a hedging program during the three months ended March 31, 2020.</w:t>
      </w:r>
    </w:p>
    <w:p>
      <w:pPr>
        <w:spacing w:after="0" w:line="134" w:lineRule="exact"/>
        <w:rPr>
          <w:sz w:val="20"/>
          <w:szCs w:val="20"/>
          <w:color w:val="auto"/>
        </w:rPr>
      </w:pPr>
    </w:p>
    <w:p>
      <w:pPr>
        <w:ind w:firstLine="637"/>
        <w:spacing w:after="0" w:line="246" w:lineRule="auto"/>
        <w:rPr>
          <w:sz w:val="20"/>
          <w:szCs w:val="20"/>
          <w:color w:val="auto"/>
        </w:rPr>
      </w:pPr>
      <w:r>
        <w:rPr>
          <w:rFonts w:ascii="Arial" w:cs="Arial" w:eastAsia="Arial" w:hAnsi="Arial"/>
          <w:sz w:val="18"/>
          <w:szCs w:val="18"/>
          <w:color w:val="auto"/>
        </w:rPr>
        <w:t>Revenue increased $332 million, or 75%, to $772 million for the three months ended March 31, 2021 as compared to $440 million for the three months ended March 31, 2020. This increase was attributable to both increased marketplace and logistics revenue.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5" w:name="page26"/>
    <w:bookmarkEnd w:id="25"/>
    <w:p>
      <w:pPr>
        <w:jc w:val="both"/>
        <w:ind w:firstLine="637"/>
        <w:spacing w:after="0"/>
        <w:rPr>
          <w:sz w:val="20"/>
          <w:szCs w:val="20"/>
          <w:color w:val="auto"/>
        </w:rPr>
      </w:pPr>
      <w:r>
        <w:rPr>
          <w:rFonts w:ascii="Arial" w:cs="Arial" w:eastAsia="Arial" w:hAnsi="Arial"/>
          <w:sz w:val="18"/>
          <w:szCs w:val="18"/>
          <w:color w:val="auto"/>
        </w:rPr>
        <w:t>Marketplace revenue increased $143 million, or 37% to $527 million for the three months ended March 31, 2021, as compared to $384 million for the three months ended March 31, 2020. This increase was primarily due to our efforts to improve buyer monetization and lower refunds. This increase was also partially driven by increased merchant utilization of our ProductBoost service.</w:t>
      </w:r>
    </w:p>
    <w:p>
      <w:pPr>
        <w:spacing w:after="0" w:line="149"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Logistics revenue increased $189 million, or 338% to $245 million for the three months ended March 31, 2021, as compared to $56 million for the three months ended March 31, 2020. This increase was primarily due to accelerated merchant adoption of our logistics offerings, as well as the expansion of our A+ program, in which Wish manages first mile collection from merchants to warehousing operations all the way to last mile delivery to the buyer.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40" w:type="dxa"/>
            <w:vAlign w:val="bottom"/>
          </w:tcPr>
          <w:p>
            <w:pPr>
              <w:spacing w:after="0"/>
              <w:rPr>
                <w:sz w:val="20"/>
                <w:szCs w:val="20"/>
                <w:color w:val="auto"/>
              </w:rPr>
            </w:pPr>
            <w:r>
              <w:rPr>
                <w:rFonts w:ascii="Arial" w:cs="Arial" w:eastAsia="Arial" w:hAnsi="Arial"/>
                <w:sz w:val="18"/>
                <w:szCs w:val="18"/>
                <w:b w:val="1"/>
                <w:bCs w:val="1"/>
                <w:i w:val="1"/>
                <w:iCs w:val="1"/>
                <w:color w:val="auto"/>
              </w:rPr>
              <w:t>Cost of Revenue and Gross Margin</w:t>
            </w:r>
          </w:p>
        </w:tc>
        <w:tc>
          <w:tcPr>
            <w:tcW w:w="1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3"/>
        </w:trPr>
        <w:tc>
          <w:tcPr>
            <w:tcW w:w="4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8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9"/>
              </w:rPr>
              <w:t>Three Months Ended</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5"/>
        </w:trPr>
        <w:tc>
          <w:tcPr>
            <w:tcW w:w="4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373"/>
              <w:spacing w:after="0"/>
              <w:rPr>
                <w:sz w:val="20"/>
                <w:szCs w:val="20"/>
                <w:color w:val="auto"/>
              </w:rPr>
            </w:pPr>
            <w:r>
              <w:rPr>
                <w:rFonts w:ascii="Arial" w:cs="Arial" w:eastAsia="Arial" w:hAnsi="Arial"/>
                <w:sz w:val="18"/>
                <w:szCs w:val="18"/>
                <w:b w:val="1"/>
                <w:bCs w:val="1"/>
                <w:color w:val="auto"/>
                <w:w w:val="98"/>
              </w:rPr>
              <w:t>March 31,</w:t>
            </w:r>
          </w:p>
        </w:tc>
        <w:tc>
          <w:tcPr>
            <w:tcW w:w="3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rPr>
              <w:t>Change</w:t>
            </w:r>
          </w:p>
        </w:tc>
        <w:tc>
          <w:tcPr>
            <w:tcW w:w="6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0"/>
        </w:trPr>
        <w:tc>
          <w:tcPr>
            <w:tcW w:w="4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r>
      <w:tr>
        <w:trPr>
          <w:trHeight w:val="209"/>
        </w:trPr>
        <w:tc>
          <w:tcPr>
            <w:tcW w:w="4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32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335</w:t>
            </w:r>
          </w:p>
        </w:tc>
        <w:tc>
          <w:tcPr>
            <w:tcW w:w="90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w:t>
            </w:r>
          </w:p>
        </w:tc>
      </w:tr>
      <w:tr>
        <w:trPr>
          <w:trHeight w:val="216"/>
        </w:trPr>
        <w:tc>
          <w:tcPr>
            <w:tcW w:w="4540" w:type="dxa"/>
            <w:vAlign w:val="bottom"/>
          </w:tcPr>
          <w:p>
            <w:pPr>
              <w:ind w:left="260"/>
              <w:spacing w:after="0"/>
              <w:rPr>
                <w:sz w:val="20"/>
                <w:szCs w:val="20"/>
                <w:color w:val="auto"/>
              </w:rPr>
            </w:pPr>
            <w:r>
              <w:rPr>
                <w:rFonts w:ascii="Arial" w:cs="Arial" w:eastAsia="Arial" w:hAnsi="Arial"/>
                <w:sz w:val="18"/>
                <w:szCs w:val="18"/>
                <w:color w:val="auto"/>
              </w:rPr>
              <w:t>Percentage of revenue</w:t>
            </w:r>
          </w:p>
        </w:tc>
        <w:tc>
          <w:tcPr>
            <w:tcW w:w="1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9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5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9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bl>
    <w:p>
      <w:pPr>
        <w:spacing w:after="0" w:line="21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Cost of revenue increased $179 million, or 115%, to $335 million for the three months ended March 31, 2021, as compared to $156 million for the three months ended March 31, 2020, primarily due to costs related to the increased volume of logistics services provided and increased headcount. The increase was also driven by a $6 million stock-based compensation expense and related employer payroll taxes that we recognized in connection with the settlement of vested RSUs for our employees involved in infrastructure, merchant support, and logistics functions.</w:t>
      </w:r>
    </w:p>
    <w:p>
      <w:pPr>
        <w:spacing w:after="0" w:line="148"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The gross margin decreased to 57% for the three months ended March 31, 2021 from 65% for the three months ended March 31, 2020, primarily due to increased volume of logistics services provided and the fact that logistics gross margin was at significantly lower rate than marketplace gross margin.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5"/>
        </w:trPr>
        <w:tc>
          <w:tcPr>
            <w:tcW w:w="40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rPr>
              <w:t>March 31,</w:t>
            </w:r>
          </w:p>
        </w:tc>
        <w:tc>
          <w:tcPr>
            <w:tcW w:w="3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Change</w:t>
            </w:r>
          </w:p>
        </w:tc>
        <w:tc>
          <w:tcPr>
            <w:tcW w:w="6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0"/>
        </w:trPr>
        <w:tc>
          <w:tcPr>
            <w:tcW w:w="40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r>
      <w:tr>
        <w:trPr>
          <w:trHeight w:val="210"/>
        </w:trPr>
        <w:tc>
          <w:tcPr>
            <w:tcW w:w="40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gridSpan w:val="3"/>
          </w:tcPr>
          <w:p>
            <w:pPr>
              <w:ind w:left="18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470</w:t>
            </w:r>
          </w:p>
        </w:tc>
        <w:tc>
          <w:tcPr>
            <w:tcW w:w="8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295</w:t>
            </w:r>
          </w:p>
        </w:tc>
        <w:tc>
          <w:tcPr>
            <w:tcW w:w="3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Percentage of revenue</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8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2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Sales and marketing expense increased $ 175 million, or 59%, to $470 million for the three months ended March 31, 2021, compared to $295 million for the three months ended March 31, 2020. The increase in sales and marketing expenses consisted primarily of incremental digital advertising spend associated with increased pricing from our largest vendors. To a lesser extent, the increase was also driven by a $4 million stock-based compensation expense and related employer payroll taxes that we recognized in connection with the settlement of vested RSUs, for our employees involved in marketing, user support, and business development functions. We anticipate that sales and marketing expenses will continue to be our most significant operating expense in the future and our overall profitability will depend on the success of our investments in sales and marketing.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4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w:t>
            </w:r>
          </w:p>
        </w:tc>
        <w:tc>
          <w:tcPr>
            <w:tcW w:w="2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3"/>
        </w:trPr>
        <w:tc>
          <w:tcPr>
            <w:tcW w:w="4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2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5"/>
        </w:trPr>
        <w:tc>
          <w:tcPr>
            <w:tcW w:w="4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413"/>
              <w:spacing w:after="0"/>
              <w:rPr>
                <w:sz w:val="20"/>
                <w:szCs w:val="20"/>
                <w:color w:val="auto"/>
              </w:rPr>
            </w:pPr>
            <w:r>
              <w:rPr>
                <w:rFonts w:ascii="Arial" w:cs="Arial" w:eastAsia="Arial" w:hAnsi="Arial"/>
                <w:sz w:val="18"/>
                <w:szCs w:val="18"/>
                <w:b w:val="1"/>
                <w:bCs w:val="1"/>
                <w:color w:val="auto"/>
                <w:w w:val="98"/>
              </w:rPr>
              <w:t>March 31,</w:t>
            </w:r>
          </w:p>
        </w:tc>
        <w:tc>
          <w:tcPr>
            <w:tcW w:w="2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09"/>
        </w:trPr>
        <w:tc>
          <w:tcPr>
            <w:tcW w:w="4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r>
      <w:tr>
        <w:trPr>
          <w:trHeight w:val="210"/>
        </w:trPr>
        <w:tc>
          <w:tcPr>
            <w:tcW w:w="4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282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51</w:t>
            </w:r>
          </w:p>
        </w:tc>
        <w:tc>
          <w:tcPr>
            <w:tcW w:w="820" w:type="dxa"/>
            <w:vAlign w:val="bottom"/>
            <w:shd w:val="clear" w:color="auto" w:fill="CFF0FC"/>
          </w:tcPr>
          <w:p>
            <w:pPr>
              <w:jc w:val="right"/>
              <w:ind w:right="53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w:t>
            </w:r>
          </w:p>
        </w:tc>
      </w:tr>
      <w:tr>
        <w:trPr>
          <w:trHeight w:val="230"/>
        </w:trPr>
        <w:tc>
          <w:tcPr>
            <w:tcW w:w="4140" w:type="dxa"/>
            <w:vAlign w:val="bottom"/>
          </w:tcPr>
          <w:p>
            <w:pPr>
              <w:ind w:left="260"/>
              <w:spacing w:after="0"/>
              <w:rPr>
                <w:sz w:val="20"/>
                <w:szCs w:val="20"/>
                <w:color w:val="auto"/>
              </w:rPr>
            </w:pPr>
            <w:r>
              <w:rPr>
                <w:rFonts w:ascii="Arial" w:cs="Arial" w:eastAsia="Arial" w:hAnsi="Arial"/>
                <w:sz w:val="18"/>
                <w:szCs w:val="18"/>
                <w:color w:val="auto"/>
              </w:rPr>
              <w:t>Percentage of revenue</w:t>
            </w: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8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2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8"/>
          <w:szCs w:val="18"/>
          <w:color w:val="auto"/>
        </w:rPr>
        <w:t>Product development expense increased $26 million, or 104%, to $51 million for the three months ended March 31, 2021, as compared to $25 million for the three months ended March 31, 2020, primarily as a result of an increase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 w:name="page27"/>
    <w:bookmarkEnd w:id="26"/>
    <w:p>
      <w:pPr>
        <w:jc w:val="both"/>
        <w:ind w:right="20"/>
        <w:spacing w:after="0"/>
        <w:rPr>
          <w:sz w:val="20"/>
          <w:szCs w:val="20"/>
          <w:color w:val="auto"/>
        </w:rPr>
      </w:pPr>
      <w:r>
        <w:rPr>
          <w:rFonts w:ascii="Arial" w:cs="Arial" w:eastAsia="Arial" w:hAnsi="Arial"/>
          <w:sz w:val="18"/>
          <w:szCs w:val="18"/>
          <w:color w:val="auto"/>
        </w:rPr>
        <w:t>employee-related costs driven by increased headcount and an $18 million stock-based compensation expense and related employer payroll taxes that we recognized in connection with the settlement of vested RSUs, for our employees involved in product development activities. The increase was also, to a lesser extent, driven by expenses associated with data warehousing, processing and analytics.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4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1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3"/>
        </w:trPr>
        <w:tc>
          <w:tcPr>
            <w:tcW w:w="4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20" w:type="dxa"/>
            <w:vAlign w:val="bottom"/>
            <w:gridSpan w:val="3"/>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5"/>
        </w:trPr>
        <w:tc>
          <w:tcPr>
            <w:tcW w:w="4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473"/>
              <w:spacing w:after="0"/>
              <w:rPr>
                <w:sz w:val="20"/>
                <w:szCs w:val="20"/>
                <w:color w:val="auto"/>
              </w:rPr>
            </w:pPr>
            <w:r>
              <w:rPr>
                <w:rFonts w:ascii="Arial" w:cs="Arial" w:eastAsia="Arial" w:hAnsi="Arial"/>
                <w:sz w:val="18"/>
                <w:szCs w:val="18"/>
                <w:b w:val="1"/>
                <w:bCs w:val="1"/>
                <w:color w:val="auto"/>
              </w:rPr>
              <w:t>March 31,</w:t>
            </w:r>
          </w:p>
        </w:tc>
        <w:tc>
          <w:tcPr>
            <w:tcW w:w="3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Change</w:t>
            </w:r>
          </w:p>
        </w:tc>
        <w:tc>
          <w:tcPr>
            <w:tcW w:w="6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09"/>
        </w:trPr>
        <w:tc>
          <w:tcPr>
            <w:tcW w:w="4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r>
      <w:tr>
        <w:trPr>
          <w:trHeight w:val="209"/>
        </w:trPr>
        <w:tc>
          <w:tcPr>
            <w:tcW w:w="4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(in millions)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72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42</w:t>
            </w:r>
          </w:p>
        </w:tc>
        <w:tc>
          <w:tcPr>
            <w:tcW w:w="860" w:type="dxa"/>
            <w:vAlign w:val="bottom"/>
            <w:shd w:val="clear" w:color="auto" w:fill="CFF0FC"/>
          </w:tcPr>
          <w:p>
            <w:pPr>
              <w:jc w:val="right"/>
              <w:ind w:right="633"/>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w:t>
            </w: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Percentage of revenue</w:t>
            </w:r>
          </w:p>
        </w:tc>
        <w:tc>
          <w:tcPr>
            <w:tcW w:w="1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86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2"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General and administrative expense increased $24 million, or 133%, to $42 million for the three months ended March 31, 2021, as compared to $18 million for the three months ended March 31, 2020. The increase was primarily related to a $16 million stock-based compensation expense and related employer payroll taxes that we recognized in connection with the settlement of vested RSUs and increases in expenses associated with being a publicly listed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Remeasurement of Redeemable Convertible Preferred Stock Warrant Liability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5"/>
        </w:trPr>
        <w:tc>
          <w:tcPr>
            <w:tcW w:w="5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432"/>
              <w:spacing w:after="0"/>
              <w:rPr>
                <w:sz w:val="20"/>
                <w:szCs w:val="20"/>
                <w:color w:val="auto"/>
              </w:rPr>
            </w:pPr>
            <w:r>
              <w:rPr>
                <w:rFonts w:ascii="Arial" w:cs="Arial" w:eastAsia="Arial" w:hAnsi="Arial"/>
                <w:sz w:val="18"/>
                <w:szCs w:val="18"/>
                <w:b w:val="1"/>
                <w:bCs w:val="1"/>
                <w:color w:val="auto"/>
                <w:w w:val="98"/>
              </w:rPr>
              <w:t>March 31,</w:t>
            </w:r>
          </w:p>
        </w:tc>
        <w:tc>
          <w:tcPr>
            <w:tcW w:w="6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rPr>
              <w:t>Change</w:t>
            </w:r>
          </w:p>
        </w:tc>
        <w:tc>
          <w:tcPr>
            <w:tcW w:w="1140" w:type="dxa"/>
            <w:vAlign w:val="bottom"/>
            <w:tcBorders>
              <w:bottom w:val="single" w:sz="8" w:color="auto"/>
            </w:tcBorders>
          </w:tcPr>
          <w:p>
            <w:pPr>
              <w:spacing w:after="0"/>
              <w:rPr>
                <w:sz w:val="19"/>
                <w:szCs w:val="19"/>
                <w:color w:val="auto"/>
              </w:rPr>
            </w:pPr>
          </w:p>
        </w:tc>
      </w:tr>
      <w:tr>
        <w:trPr>
          <w:trHeight w:val="210"/>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3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w:t>
            </w:r>
          </w:p>
        </w:tc>
      </w:tr>
      <w:tr>
        <w:trPr>
          <w:trHeight w:val="209"/>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ind w:left="126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Remeasurement of redeemable convertible preferred stock warrant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03"/>
        </w:trPr>
        <w:tc>
          <w:tcPr>
            <w:tcW w:w="55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liability</w:t>
            </w:r>
          </w:p>
        </w:tc>
        <w:tc>
          <w:tcPr>
            <w:tcW w:w="32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ind w:left="680"/>
              <w:spacing w:after="0" w:line="203" w:lineRule="exact"/>
              <w:rPr>
                <w:sz w:val="20"/>
                <w:szCs w:val="20"/>
                <w:color w:val="auto"/>
              </w:rPr>
            </w:pPr>
            <w:r>
              <w:rPr>
                <w:rFonts w:ascii="Arial" w:cs="Arial" w:eastAsia="Arial" w:hAnsi="Arial"/>
                <w:sz w:val="18"/>
                <w:szCs w:val="18"/>
                <w:color w:val="auto"/>
              </w:rPr>
              <w:t>—   $</w:t>
            </w:r>
          </w:p>
        </w:tc>
        <w:tc>
          <w:tcPr>
            <w:tcW w:w="1040" w:type="dxa"/>
            <w:vAlign w:val="bottom"/>
            <w:gridSpan w:val="2"/>
            <w:shd w:val="clear" w:color="auto" w:fill="CFF0FC"/>
          </w:tcPr>
          <w:p>
            <w:pPr>
              <w:jc w:val="right"/>
              <w:ind w:right="300"/>
              <w:spacing w:after="0" w:line="203" w:lineRule="exact"/>
              <w:rPr>
                <w:sz w:val="20"/>
                <w:szCs w:val="20"/>
                <w:color w:val="auto"/>
              </w:rPr>
            </w:pPr>
            <w:r>
              <w:rPr>
                <w:rFonts w:ascii="Arial" w:cs="Arial" w:eastAsia="Arial" w:hAnsi="Arial"/>
                <w:sz w:val="18"/>
                <w:szCs w:val="18"/>
                <w:color w:val="auto"/>
              </w:rPr>
              <w:t>(15)</w:t>
            </w:r>
          </w:p>
        </w:tc>
        <w:tc>
          <w:tcPr>
            <w:tcW w:w="320" w:type="dxa"/>
            <w:vAlign w:val="bottom"/>
            <w:shd w:val="clear" w:color="auto" w:fill="CFF0FC"/>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Percentage of revenue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ind w:lef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spacing w:after="0" w:line="202"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The $15 million expense that we recognized during the three months ended March 31, 2020 was related to the change in fair value of the redeemable convertible preferred stock warrant liability. There was no remeasurement charge recognized during the three months ended March 31, 2021 because immediately prior to the completion of our IPO in December 2020, the outstanding redeemable convertible preferred stock warrant was net exercised. The fair value of the warrant at the time of exercise was reclassified into the Company’s Class A common stock and additional paid-in capital.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60" w:type="dxa"/>
            <w:vAlign w:val="bottom"/>
          </w:tcPr>
          <w:p>
            <w:pPr>
              <w:spacing w:after="0"/>
              <w:rPr>
                <w:sz w:val="20"/>
                <w:szCs w:val="20"/>
                <w:color w:val="auto"/>
              </w:rPr>
            </w:pPr>
            <w:r>
              <w:rPr>
                <w:rFonts w:ascii="Arial" w:cs="Arial" w:eastAsia="Arial" w:hAnsi="Arial"/>
                <w:sz w:val="18"/>
                <w:szCs w:val="18"/>
                <w:b w:val="1"/>
                <w:bCs w:val="1"/>
                <w:i w:val="1"/>
                <w:iCs w:val="1"/>
                <w:color w:val="auto"/>
              </w:rPr>
              <w:t>Provision for Income Taxes</w:t>
            </w: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6"/>
        </w:trPr>
        <w:tc>
          <w:tcPr>
            <w:tcW w:w="6160" w:type="dxa"/>
            <w:vAlign w:val="bottom"/>
          </w:tcPr>
          <w:p>
            <w:pPr>
              <w:spacing w:after="0"/>
              <w:rPr>
                <w:sz w:val="24"/>
                <w:szCs w:val="24"/>
                <w:color w:val="auto"/>
              </w:rPr>
            </w:pPr>
          </w:p>
        </w:tc>
        <w:tc>
          <w:tcPr>
            <w:tcW w:w="230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9"/>
              </w:rPr>
              <w:t>Three Months Ended</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5"/>
        </w:trPr>
        <w:tc>
          <w:tcPr>
            <w:tcW w:w="61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513"/>
              <w:spacing w:after="0"/>
              <w:rPr>
                <w:sz w:val="20"/>
                <w:szCs w:val="20"/>
                <w:color w:val="auto"/>
              </w:rPr>
            </w:pPr>
            <w:r>
              <w:rPr>
                <w:rFonts w:ascii="Arial" w:cs="Arial" w:eastAsia="Arial" w:hAnsi="Arial"/>
                <w:sz w:val="18"/>
                <w:szCs w:val="18"/>
                <w:b w:val="1"/>
                <w:bCs w:val="1"/>
                <w:color w:val="auto"/>
              </w:rPr>
              <w:t>March 31,</w:t>
            </w:r>
          </w:p>
        </w:tc>
        <w:tc>
          <w:tcPr>
            <w:tcW w:w="2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Change</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6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r>
      <w:tr>
        <w:trPr>
          <w:trHeight w:val="210"/>
        </w:trPr>
        <w:tc>
          <w:tcPr>
            <w:tcW w:w="6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20" w:type="dxa"/>
            <w:vAlign w:val="bottom"/>
            <w:shd w:val="clear" w:color="auto" w:fill="CFF0FC"/>
          </w:tcPr>
          <w:p>
            <w:pPr>
              <w:jc w:val="right"/>
              <w:ind w:right="673"/>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   $</w:t>
            </w:r>
          </w:p>
        </w:tc>
        <w:tc>
          <w:tcPr>
            <w:tcW w:w="6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79"/>
              </w:rPr>
              <w:t>2</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Percentage of revenue</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7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229"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18"/>
          <w:szCs w:val="18"/>
          <w:color w:val="auto"/>
        </w:rPr>
        <w:t>Provision for income taxes increased $2 million for the three months ended March 31, 2021 compared to the three months ended March 31, 2020. The change in provision for income taxes was due primarily to an increase of taxes for our international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As of March 31, 2021, we had cash, cash equivalents and marketable securities of $1.8 billion, a majority of which were held in cash deposits and money market funds, and were held for working capital purposes. We believe that our existing cash, cash equivalents and marketable securities will be sufficient to meet our anticipated cash needs for at least the next 12 months. Additional future financing may be necessary to fund our operations and there can be no assurance that, if needed, we will be able to secure additional debt or equity financing on terms acceptable to us or at all, especially in light of the market volatility and uncertainty as a result of the COVID-19 pandemic. Although we believe we have adequate sources of liquidity over the long term, the success of our operations, the global economic outlook, and the pace of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7" w:name="page28"/>
    <w:bookmarkEnd w:id="27"/>
    <w:p>
      <w:pPr>
        <w:jc w:val="both"/>
        <w:spacing w:after="0" w:line="246" w:lineRule="auto"/>
        <w:rPr>
          <w:sz w:val="20"/>
          <w:szCs w:val="20"/>
          <w:color w:val="auto"/>
        </w:rPr>
      </w:pPr>
      <w:r>
        <w:rPr>
          <w:rFonts w:ascii="Arial" w:cs="Arial" w:eastAsia="Arial" w:hAnsi="Arial"/>
          <w:sz w:val="18"/>
          <w:szCs w:val="18"/>
          <w:color w:val="auto"/>
        </w:rPr>
        <w:t>sustainable growth in our markets, in each case, in light of the market volatility and uncertainty as a result of the COVID-19 pandemic, among other factors, could impact our business and liquidity.</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November 2020 Credit Facility</w:t>
      </w:r>
    </w:p>
    <w:p>
      <w:pPr>
        <w:spacing w:after="0" w:line="8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In November 2020, we entered into the Revolving Credit Facility which enables us to borrow up to $280 million. The Revolving Credit Facility contains an accordion option which, if exercised and provided we are able to secure additional lender commitments and satisfy certain other conditions, would allow us to increase the aggregate commitments by up to $100 million. As of March 31, 2021, we had not made any borrowings under the Revolving Credit Facility. Refer to Note 7 to our condensed consolidated financial statements in Item 1 of Part I, “Financial Information” for additional details related to the Revolving Credit Facility.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8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80" w:type="dxa"/>
            <w:vAlign w:val="bottom"/>
          </w:tcPr>
          <w:p>
            <w:pPr>
              <w:spacing w:after="0"/>
              <w:rPr>
                <w:sz w:val="24"/>
                <w:szCs w:val="24"/>
                <w:color w:val="auto"/>
              </w:rPr>
            </w:pPr>
          </w:p>
        </w:tc>
        <w:tc>
          <w:tcPr>
            <w:tcW w:w="360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Three Months Ended March 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980" w:type="dxa"/>
            <w:vAlign w:val="bottom"/>
          </w:tcPr>
          <w:p>
            <w:pPr>
              <w:spacing w:after="0"/>
              <w:rPr>
                <w:sz w:val="18"/>
                <w:szCs w:val="18"/>
                <w:color w:val="auto"/>
              </w:rPr>
            </w:pPr>
          </w:p>
        </w:tc>
        <w:tc>
          <w:tcPr>
            <w:tcW w:w="13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0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rPr>
              <w:t>(in millions)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1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(354)</w:t>
            </w:r>
          </w:p>
        </w:tc>
        <w:tc>
          <w:tcPr>
            <w:tcW w:w="1500" w:type="dxa"/>
            <w:vAlign w:val="bottom"/>
          </w:tcPr>
          <w:p>
            <w:pPr>
              <w:jc w:val="right"/>
              <w:ind w:right="11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3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14</w:t>
            </w:r>
          </w:p>
        </w:tc>
        <w:tc>
          <w:tcPr>
            <w:tcW w:w="15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8"/>
                <w:szCs w:val="18"/>
                <w:color w:val="auto"/>
              </w:rPr>
            </w:pPr>
          </w:p>
        </w:tc>
      </w:tr>
      <w:tr>
        <w:trPr>
          <w:trHeight w:val="229"/>
        </w:trPr>
        <w:tc>
          <w:tcPr>
            <w:tcW w:w="6980" w:type="dxa"/>
            <w:vAlign w:val="bottom"/>
          </w:tcPr>
          <w:p>
            <w:pPr>
              <w:ind w:left="260"/>
              <w:spacing w:after="0"/>
              <w:rPr>
                <w:sz w:val="20"/>
                <w:szCs w:val="20"/>
                <w:color w:val="auto"/>
              </w:rPr>
            </w:pPr>
            <w:r>
              <w:rPr>
                <w:rFonts w:ascii="Arial" w:cs="Arial" w:eastAsia="Arial" w:hAnsi="Arial"/>
                <w:sz w:val="18"/>
                <w:szCs w:val="18"/>
                <w:color w:val="auto"/>
              </w:rPr>
              <w:t>Financing activities</w:t>
            </w:r>
          </w:p>
        </w:tc>
        <w:tc>
          <w:tcPr>
            <w:tcW w:w="1300" w:type="dxa"/>
            <w:vAlign w:val="bottom"/>
          </w:tcPr>
          <w:p>
            <w:pPr>
              <w:spacing w:after="0"/>
              <w:rPr>
                <w:sz w:val="19"/>
                <w:szCs w:val="19"/>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5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99"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Our cash flows from operations are largely dependent on the amount of revenue we generate. Net cash provided by operating activities in each period presented has been influenced by changes in funds receivable, prepaid expenses, and other current and noncurrent assets, accounts payable, merchants payable, accrued and refund liabilities, lease liabilities, and other current and noncurrent liabilities.</w:t>
      </w:r>
    </w:p>
    <w:p>
      <w:pPr>
        <w:spacing w:after="0" w:line="14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Net cash used in our operating activities for the three months ended March 31, 2021 was $354 million. This was primarily driven by our net loss of $128 million and $266 million unfavorable net working capital changes, which was partially offset by non-cash expenses, such as stock-based compensation expense of $37 million. Unfavorable working capital movement was mainly driven by accounts payable and merchants payable. Accounts payable decreased by $143 million primarily due to shorter vendor payment terms. Due to the COVID-19 pandemic, we were able to negotiate favorable payment terms with certain key digital advertising partners (45 days and 60 days). The payment terms with these key digital advertising partners reverted back to 30 days when the favorable terms expired on December 31, 2020. Merchants payable decreased by $73 million primarily driven by lower volumes in the first quarter of 2021 compared to the fourth quarter of 2020 due to seasonality and higher percentage of shipments through our A+ program which accelerated the payment of merchants payable due to higher delivery confirmation rates. Other decreases in unfavorable working capital movement were driven by refunds and accrued liabilities.</w:t>
      </w:r>
    </w:p>
    <w:p>
      <w:pPr>
        <w:spacing w:after="0" w:line="152"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Net cash used in our operating activities for the three months ended March 31, 2020 was $129 million. This was primarily driven by our net loss of $ 66 million and a $122 million decrease in merchants payable, which was partially offset by non-cash expenses, such as the remeasurement of redeemable convertible preferred stock warrant liability of $15 million, which was further offset by a $31 million increase in accounts payable.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primary investing activities have consisted of investing excess cash balances in marketable securities.</w:t>
      </w:r>
    </w:p>
    <w:p>
      <w:pPr>
        <w:spacing w:after="0" w:line="158" w:lineRule="exact"/>
        <w:rPr>
          <w:sz w:val="20"/>
          <w:szCs w:val="20"/>
          <w:color w:val="auto"/>
        </w:rPr>
      </w:pPr>
    </w:p>
    <w:p>
      <w:pPr>
        <w:jc w:val="both"/>
        <w:ind w:right="20" w:firstLine="637"/>
        <w:spacing w:after="0" w:line="246" w:lineRule="auto"/>
        <w:rPr>
          <w:sz w:val="20"/>
          <w:szCs w:val="20"/>
          <w:color w:val="auto"/>
        </w:rPr>
      </w:pPr>
      <w:r>
        <w:rPr>
          <w:rFonts w:ascii="Arial" w:cs="Arial" w:eastAsia="Arial" w:hAnsi="Arial"/>
          <w:sz w:val="18"/>
          <w:szCs w:val="18"/>
          <w:color w:val="auto"/>
        </w:rPr>
        <w:t>Net cash provided by investing activities was $14 million for the three months ended March 31, 2021. This was primarily due to $67 million of maturities of marketable securities, partially offset by $53 million purchases of marketable securities.</w:t>
      </w:r>
    </w:p>
    <w:p>
      <w:pPr>
        <w:spacing w:after="0" w:line="143"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18"/>
          <w:szCs w:val="18"/>
          <w:color w:val="auto"/>
        </w:rPr>
        <w:t>Net cash generated from investing activities was $59 million for the three months ended March 31, 2020. This was primarily due to $132 million maturities of marketable securities, partially offset by $73 million purchases of marketable securities.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99"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18"/>
          <w:szCs w:val="18"/>
          <w:color w:val="auto"/>
        </w:rPr>
        <w:t>Net cash used in our financing activities was $5 million for the three months ended March 31, 2021 primarily due to tax payments related to RSU settlement.</w:t>
      </w:r>
    </w:p>
    <w:p>
      <w:pPr>
        <w:spacing w:after="0" w:line="48"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18"/>
          <w:szCs w:val="18"/>
          <w:color w:val="auto"/>
        </w:rPr>
        <w:t>Net cash provided by financing activities was $1 million for the three months ended March 31, 2020 and was related to proceeds from stock option exercises.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9" w:lineRule="exact"/>
        <w:rPr>
          <w:sz w:val="20"/>
          <w:szCs w:val="20"/>
          <w:color w:val="auto"/>
        </w:rPr>
      </w:pPr>
    </w:p>
    <w:p>
      <w:pPr>
        <w:jc w:val="both"/>
        <w:ind w:right="20" w:firstLine="637"/>
        <w:spacing w:after="0"/>
        <w:rPr>
          <w:sz w:val="20"/>
          <w:szCs w:val="20"/>
          <w:color w:val="auto"/>
        </w:rPr>
      </w:pPr>
      <w:r>
        <w:rPr>
          <w:rFonts w:ascii="Arial" w:cs="Arial" w:eastAsia="Arial" w:hAnsi="Arial"/>
          <w:sz w:val="18"/>
          <w:szCs w:val="18"/>
          <w:color w:val="auto"/>
        </w:rPr>
        <w:t>For the three months ended March 31, 2021 and 2020,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8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We are involved in claims, lawsuits, government investigations, and proceedings arising from the ordinary course of our business. We record a provision for a liability when we believe that it is both probable that a liability has been incurred, and the amount can be reasonably estimated. Significant judgment is required to determine both probability and the estimated amount. Such legal proceedings are inherently unpredictable and subject to significant uncertainties, some of which are beyond our control. Should any of these estimates and assumptions change or prove to be incorrect, it could have a material impact on our results of operations, financial position, and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5" w:lineRule="exact"/>
        <w:rPr>
          <w:sz w:val="20"/>
          <w:szCs w:val="20"/>
          <w:color w:val="auto"/>
        </w:rPr>
      </w:pPr>
    </w:p>
    <w:p>
      <w:pPr>
        <w:jc w:val="both"/>
        <w:ind w:firstLine="578"/>
        <w:spacing w:after="0" w:line="237"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On an ongoing basis, we evaluate our estimates, including those listed below. We base our estimates on historical facts and various other assumptions that we believe to be reasonable at the time the estimates are made. Actual results could differ from those estimates.</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critical accounting policies are as follows:</w:t>
      </w:r>
    </w:p>
    <w:p>
      <w:pPr>
        <w:spacing w:after="0" w:line="104" w:lineRule="exact"/>
        <w:rPr>
          <w:sz w:val="20"/>
          <w:szCs w:val="20"/>
          <w:color w:val="auto"/>
        </w:rPr>
      </w:pPr>
    </w:p>
    <w:p>
      <w:pPr>
        <w:ind w:left="1320" w:hanging="367"/>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 w:lineRule="exact"/>
        <w:rPr>
          <w:rFonts w:ascii="Arial" w:cs="Arial" w:eastAsia="Arial" w:hAnsi="Arial"/>
          <w:sz w:val="18"/>
          <w:szCs w:val="18"/>
          <w:color w:val="auto"/>
        </w:rPr>
      </w:pPr>
    </w:p>
    <w:p>
      <w:pPr>
        <w:ind w:left="1320" w:hanging="367"/>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lease obligations;</w:t>
      </w:r>
    </w:p>
    <w:p>
      <w:pPr>
        <w:spacing w:after="0" w:line="9" w:lineRule="exact"/>
        <w:rPr>
          <w:rFonts w:ascii="Arial" w:cs="Arial" w:eastAsia="Arial" w:hAnsi="Arial"/>
          <w:sz w:val="18"/>
          <w:szCs w:val="18"/>
          <w:color w:val="auto"/>
        </w:rPr>
      </w:pPr>
    </w:p>
    <w:p>
      <w:pPr>
        <w:ind w:left="1320" w:hanging="367"/>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Stock-based compensation; and</w:t>
      </w:r>
    </w:p>
    <w:p>
      <w:pPr>
        <w:spacing w:after="0" w:line="9" w:lineRule="exact"/>
        <w:rPr>
          <w:rFonts w:ascii="Arial" w:cs="Arial" w:eastAsia="Arial" w:hAnsi="Arial"/>
          <w:sz w:val="18"/>
          <w:szCs w:val="18"/>
          <w:color w:val="auto"/>
        </w:rPr>
      </w:pPr>
    </w:p>
    <w:p>
      <w:pPr>
        <w:ind w:left="1320" w:hanging="367"/>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71" w:lineRule="exact"/>
        <w:rPr>
          <w:sz w:val="20"/>
          <w:szCs w:val="20"/>
          <w:color w:val="auto"/>
        </w:rPr>
      </w:pPr>
    </w:p>
    <w:p>
      <w:pPr>
        <w:jc w:val="both"/>
        <w:ind w:right="20" w:firstLine="578"/>
        <w:spacing w:after="0" w:line="246" w:lineRule="auto"/>
        <w:rPr>
          <w:sz w:val="20"/>
          <w:szCs w:val="20"/>
          <w:color w:val="auto"/>
        </w:rPr>
      </w:pPr>
      <w:r>
        <w:rPr>
          <w:rFonts w:ascii="Arial" w:cs="Arial" w:eastAsia="Arial" w:hAnsi="Arial"/>
          <w:sz w:val="18"/>
          <w:szCs w:val="18"/>
          <w:color w:val="auto"/>
        </w:rPr>
        <w:t>Our critical accounting policies are important to the portrayal of our financial condition and results of operations, and require us to make judgments and estimates about matters that are inherently uncertain.</w:t>
      </w:r>
    </w:p>
    <w:p>
      <w:pPr>
        <w:spacing w:after="0" w:line="143" w:lineRule="exact"/>
        <w:rPr>
          <w:sz w:val="20"/>
          <w:szCs w:val="20"/>
          <w:color w:val="auto"/>
        </w:rPr>
      </w:pPr>
    </w:p>
    <w:p>
      <w:pPr>
        <w:jc w:val="both"/>
        <w:ind w:right="20" w:firstLine="578"/>
        <w:spacing w:after="0" w:line="246"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our Annual Report on Form 10-K for the year ended December 31, 2020, filed with the SEC on March 25,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See Note 1 of Part I, Item 1 of this Quarterly Report on Form 10-Q for a full description of recent accounting pronouncements.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5"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We have operations both within the U.S. and internationally,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9"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Cash, cash equivalents and marketable securities as of March 31, 2021 were held primarily in cash deposits and money market funds. The fair value of our cash, cash equivalents, and investments would not be significantly affected by either an increase or decrease in interest rates due mainly to the short-term nature of these instruments. A 100 basis point increase or decrease in our current interest rates would have increased or decreased our interest income by $18 million for the three months ended March 31, 2021.</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We transact business in various foreign countries and are, therefore, subject to risk of foreign currency exchange rate fluctuations. We have established a foreign currency risk management policy to provide process and procedures for managing this risk. We use natural hedging techniques first to net off existing foreign currency exposures. For the remaining exposure, we may enter into short term foreign currency derivative contracts, including forward contracts to hedge exposures associated with monetary assets and liabilities, mainly merchants payable, and cash flows denominated in non-functional currencies.</w:t>
      </w:r>
    </w:p>
    <w:p>
      <w:pPr>
        <w:spacing w:after="0" w:line="148"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credit risk of our foreign currency derivative contracts is minimized since contracts are not concentrated with any one financial institution and all contracts are only placed with large financial institutions. The gains and losses on foreign currency derivative contracts generally offset the losses and gains on the assets, liabilities and transactions hedged. The fair value of currency derivative contracts is reported in the condensed consolidated balance sheets. The majority of these foreign exchange contracts expire in less than three months and all expire within one year. Refer to Note 5 to our condensed consolidated financial statements in Item 1 of Part I, “Financial Statements” for more information related to our derivative financial instruments.</w:t>
      </w:r>
    </w:p>
    <w:p>
      <w:pPr>
        <w:spacing w:after="0" w:line="151"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Based on our overall currency rate exposures as of March 31, 2021, including the derivative financial instruments intended to hedge the nonfunctional currency-denominated monetary assets, liabilities and cash flows, and other factors, a 10% appreciation or depreciation of the U.S. dollar from its cross-functional rates would not be expected, in the aggregate, to have a material effect on our financial position, results of operations and cash flows in the near-term.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3" w:lineRule="exact"/>
        <w:rPr>
          <w:sz w:val="20"/>
          <w:szCs w:val="20"/>
          <w:color w:val="auto"/>
        </w:rPr>
      </w:pPr>
    </w:p>
    <w:p>
      <w:pPr>
        <w:jc w:val="both"/>
        <w:ind w:firstLine="530"/>
        <w:spacing w:after="0" w:line="238"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 as of the end of the period covered by this report. Based on management’s evaluation, our principal executive officer and principal financial officer concluded that our disclosure controls and procedures are effective at a reasonable assurance level.</w:t>
      </w:r>
    </w:p>
    <w:p>
      <w:pPr>
        <w:spacing w:after="0" w:line="175" w:lineRule="exact"/>
        <w:rPr>
          <w:sz w:val="20"/>
          <w:szCs w:val="20"/>
          <w:color w:val="auto"/>
        </w:rPr>
      </w:pPr>
    </w:p>
    <w:p>
      <w:pPr>
        <w:jc w:val="both"/>
        <w:ind w:firstLine="530"/>
        <w:spacing w:after="0" w:line="23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3" w:lineRule="exact"/>
        <w:rPr>
          <w:sz w:val="20"/>
          <w:szCs w:val="20"/>
          <w:color w:val="auto"/>
        </w:rPr>
      </w:pPr>
    </w:p>
    <w:p>
      <w:pPr>
        <w:jc w:val="both"/>
        <w:ind w:firstLine="530"/>
        <w:spacing w:after="0"/>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three months ended March 31, 2021 that have materially affected, or are reasonably likely to materially affect, our internal control over financial reporting.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jc w:val="both"/>
        <w:ind w:right="20" w:firstLine="510"/>
        <w:spacing w:after="0"/>
        <w:rPr>
          <w:sz w:val="20"/>
          <w:szCs w:val="20"/>
          <w:color w:val="auto"/>
        </w:rPr>
      </w:pPr>
      <w:r>
        <w:rPr>
          <w:rFonts w:ascii="Arial" w:cs="Arial" w:eastAsia="Arial" w:hAnsi="Arial"/>
          <w:sz w:val="18"/>
          <w:szCs w:val="18"/>
          <w:color w:val="auto"/>
        </w:rPr>
        <w:t>Information with respect to this item may be found in Note 7, Commitments and Contingencies, in our Notes to Unaudited Condensed Consolidated Financial Statements included in Part I, Item 1, of this Quarterly Report on Form 10-Q, which information is incorporated herein by reference.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You should carefully consider the risks and uncertainties described under the heading "Risk Factors" in Part I, Item 1A of our Annual Report on Form 10-K for the year ended December 31, 2020 (the "2020 Form 10-K"), together with all of the other information contained in this Quarterly Report on Form 10-Q, including our condensed consolidated financial statements and related notes, before making a decision to invest in our Class A common stock. Additional risks and uncertainties that we are unaware of, or that we currently believe are not material, may also become important factors that affect our business. These risk factors could materially and adversely affect our business, financial condition and results of operations, and the market price of our ordinary shares could decline. These risk factors do not identify all risks that we face –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There have been no additional material changes from the risks and uncertainties previously disclosed under the "Risk Factors" section in our 2020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67" w:lineRule="exact"/>
        <w:rPr>
          <w:sz w:val="20"/>
          <w:szCs w:val="20"/>
          <w:color w:val="auto"/>
        </w:rPr>
      </w:pPr>
    </w:p>
    <w:p>
      <w:pPr>
        <w:ind w:left="980" w:right="6860" w:firstLine="6"/>
        <w:spacing w:after="0" w:line="267" w:lineRule="auto"/>
        <w:tabs>
          <w:tab w:leader="none" w:pos="125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Unregistered Sales of Equity Securities </w:t>
      </w:r>
      <w:r>
        <w:rPr>
          <w:rFonts w:ascii="Arial" w:cs="Arial" w:eastAsia="Arial" w:hAnsi="Arial"/>
          <w:sz w:val="18"/>
          <w:szCs w:val="18"/>
          <w:color w:val="auto"/>
        </w:rPr>
        <w:t>None</w:t>
      </w:r>
    </w:p>
    <w:p>
      <w:pPr>
        <w:spacing w:after="0" w:line="227" w:lineRule="exact"/>
        <w:rPr>
          <w:rFonts w:ascii="Arial" w:cs="Arial" w:eastAsia="Arial" w:hAnsi="Arial"/>
          <w:sz w:val="18"/>
          <w:szCs w:val="18"/>
          <w:i w:val="1"/>
          <w:iCs w:val="1"/>
          <w:color w:val="auto"/>
        </w:rPr>
      </w:pPr>
    </w:p>
    <w:p>
      <w:pPr>
        <w:ind w:left="1260" w:hanging="274"/>
        <w:spacing w:after="0"/>
        <w:tabs>
          <w:tab w:leader="none" w:pos="1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Use of Proceeds</w:t>
      </w:r>
    </w:p>
    <w:p>
      <w:pPr>
        <w:spacing w:after="0" w:line="95" w:lineRule="exact"/>
        <w:rPr>
          <w:sz w:val="20"/>
          <w:szCs w:val="20"/>
          <w:color w:val="auto"/>
        </w:rPr>
      </w:pPr>
    </w:p>
    <w:p>
      <w:pPr>
        <w:jc w:val="both"/>
        <w:ind w:firstLine="832"/>
        <w:spacing w:after="0" w:line="238" w:lineRule="auto"/>
        <w:rPr>
          <w:sz w:val="20"/>
          <w:szCs w:val="20"/>
          <w:color w:val="auto"/>
        </w:rPr>
      </w:pPr>
      <w:r>
        <w:rPr>
          <w:rFonts w:ascii="Arial" w:cs="Arial" w:eastAsia="Arial" w:hAnsi="Arial"/>
          <w:sz w:val="18"/>
          <w:szCs w:val="18"/>
          <w:color w:val="auto"/>
        </w:rPr>
        <w:t>Our IPO of Class A common stock was effected through a Registration Statement on Form S-1 (File Nos. 333-250531), which was declared or became effective on December 15, 2020. There has been no material change in the use of proceeds from our IPO as described in our final prospectus dated December 15, 2020 filed with the Securities and Exchange Commission, or SEC, pursuant to Rule 424(b) of the Securities Act of 1933, as amended, or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5"/>
        </w:trPr>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7860" w:type="dxa"/>
            <w:vAlign w:val="bottom"/>
            <w:tcBorders>
              <w:bottom w:val="single" w:sz="8" w:color="auto"/>
            </w:tcBorders>
            <w:gridSpan w:val="6"/>
          </w:tcPr>
          <w:p>
            <w:pPr>
              <w:ind w:left="2380"/>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960" w:type="dxa"/>
            <w:vAlign w:val="bottom"/>
          </w:tcPr>
          <w:p>
            <w:pPr>
              <w:spacing w:after="0" w:line="182"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980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33">
              <w:r>
                <w:rPr>
                  <w:rFonts w:ascii="Arial" w:cs="Arial" w:eastAsia="Arial" w:hAnsi="Arial"/>
                  <w:sz w:val="18"/>
                  <w:szCs w:val="18"/>
                  <w:color w:val="0000EE"/>
                  <w:w w:val="99"/>
                </w:rPr>
                <w:t>Certification of Principal Executive Officer Pursuant to Rules 13a-14(a) and 15d-14(a) under the Securities Exchange Act of</w:t>
              </w:r>
            </w:hyperlink>
          </w:p>
        </w:tc>
        <w:tc>
          <w:tcPr>
            <w:tcW w:w="36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60" w:type="dxa"/>
            <w:vAlign w:val="bottom"/>
            <w:gridSpan w:val="7"/>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1934, as Adopted Pursuant to Section 302 of the Sarbanes-Oxley Act of 2002.</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974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Certification of Principal Financial Officer Pursuant to Rules 13a-14(a) and 15d-14(a) under the Securities Exchange Act of</w:t>
              </w:r>
            </w:hyperlink>
          </w:p>
        </w:tc>
        <w:tc>
          <w:tcPr>
            <w:tcW w:w="420" w:type="dxa"/>
            <w:vAlign w:val="bottom"/>
            <w:gridSpan w:val="2"/>
          </w:tcPr>
          <w:p>
            <w:pPr>
              <w:spacing w:after="0"/>
              <w:rPr>
                <w:sz w:val="17"/>
                <w:szCs w:val="17"/>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60" w:type="dxa"/>
            <w:vAlign w:val="bottom"/>
            <w:gridSpan w:val="7"/>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1934, as Adopted Pursuant to Section 302 of the Sarbanes-Oxley Act of 2002.</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968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Certification of Principal Executive Officer Pursuant to 18 U.S.C. Section 1350, as Adopted Pursuant to Section 906 of the</w:t>
              </w:r>
            </w:hyperlink>
          </w:p>
        </w:tc>
        <w:tc>
          <w:tcPr>
            <w:tcW w:w="480" w:type="dxa"/>
            <w:vAlign w:val="bottom"/>
            <w:gridSpan w:val="3"/>
          </w:tcPr>
          <w:p>
            <w:pPr>
              <w:spacing w:after="0"/>
              <w:rPr>
                <w:sz w:val="17"/>
                <w:szCs w:val="17"/>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Sarbanes-Oxley Act of 2002.</w:t>
              </w:r>
            </w:hyperlink>
          </w:p>
        </w:tc>
        <w:tc>
          <w:tcPr>
            <w:tcW w:w="7860" w:type="dxa"/>
            <w:vAlign w:val="bottom"/>
            <w:gridSpan w:val="6"/>
          </w:tcPr>
          <w:p>
            <w:pPr>
              <w:spacing w:after="0"/>
              <w:rPr>
                <w:sz w:val="15"/>
                <w:szCs w:val="15"/>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7"/>
                <w:szCs w:val="17"/>
                <w:color w:val="auto"/>
              </w:rPr>
            </w:pPr>
          </w:p>
        </w:tc>
        <w:tc>
          <w:tcPr>
            <w:tcW w:w="962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36">
              <w:r>
                <w:rPr>
                  <w:rFonts w:ascii="Arial" w:cs="Arial" w:eastAsia="Arial" w:hAnsi="Arial"/>
                  <w:sz w:val="18"/>
                  <w:szCs w:val="18"/>
                  <w:color w:val="0000EE"/>
                  <w:w w:val="99"/>
                </w:rPr>
                <w:t>Certification of Principal Financial Officer Pursuant to 18 U.S.C. Section 1350, as Adopted Pursuant to Section 906 of the</w:t>
              </w:r>
            </w:hyperlink>
          </w:p>
        </w:tc>
        <w:tc>
          <w:tcPr>
            <w:tcW w:w="540" w:type="dxa"/>
            <w:vAlign w:val="bottom"/>
            <w:gridSpan w:val="4"/>
          </w:tcPr>
          <w:p>
            <w:pPr>
              <w:spacing w:after="0"/>
              <w:rPr>
                <w:sz w:val="17"/>
                <w:szCs w:val="17"/>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36">
              <w:r>
                <w:rPr>
                  <w:rFonts w:ascii="Arial" w:cs="Arial" w:eastAsia="Arial" w:hAnsi="Arial"/>
                  <w:sz w:val="18"/>
                  <w:szCs w:val="18"/>
                  <w:color w:val="0000EE"/>
                  <w:w w:val="99"/>
                </w:rPr>
                <w:t>Sarbanes-Oxley Act of 2002.</w:t>
              </w:r>
            </w:hyperlink>
          </w:p>
        </w:tc>
        <w:tc>
          <w:tcPr>
            <w:tcW w:w="7860" w:type="dxa"/>
            <w:vAlign w:val="bottom"/>
            <w:gridSpan w:val="6"/>
          </w:tcPr>
          <w:p>
            <w:pPr>
              <w:spacing w:after="0"/>
              <w:rPr>
                <w:sz w:val="15"/>
                <w:szCs w:val="15"/>
                <w:color w:val="auto"/>
              </w:rPr>
            </w:pPr>
          </w:p>
        </w:tc>
      </w:tr>
      <w:tr>
        <w:trPr>
          <w:trHeight w:val="479"/>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 are</w:t>
            </w:r>
          </w:p>
        </w:tc>
      </w:tr>
      <w:tr>
        <w:trPr>
          <w:trHeight w:val="216"/>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17"/>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8"/>
                <w:szCs w:val="18"/>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2"/>
                <w:szCs w:val="22"/>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7"/>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2"/>
                <w:szCs w:val="22"/>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2"/>
                <w:szCs w:val="22"/>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7"/>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2"/>
                <w:szCs w:val="22"/>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63"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04"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ContextLogic Inc.</w:t>
      </w:r>
    </w:p>
    <w:p>
      <w:pPr>
        <w:spacing w:after="0" w:line="239" w:lineRule="exact"/>
        <w:rPr>
          <w:sz w:val="20"/>
          <w:szCs w:val="20"/>
          <w:color w:val="auto"/>
        </w:rPr>
      </w:pPr>
    </w:p>
    <w:p>
      <w:pPr>
        <w:spacing w:after="0"/>
        <w:tabs>
          <w:tab w:leader="none" w:pos="5620" w:val="left"/>
          <w:tab w:leader="none" w:pos="8000" w:val="left"/>
        </w:tabs>
        <w:rPr>
          <w:sz w:val="20"/>
          <w:szCs w:val="20"/>
          <w:color w:val="auto"/>
        </w:rPr>
      </w:pPr>
      <w:r>
        <w:rPr>
          <w:rFonts w:ascii="Arial" w:cs="Arial" w:eastAsia="Arial" w:hAnsi="Arial"/>
          <w:sz w:val="18"/>
          <w:szCs w:val="18"/>
          <w:color w:val="auto"/>
        </w:rPr>
        <w:t>Date: May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Rajat Bahri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Rajat Bahri</w:t>
      </w:r>
    </w:p>
    <w:p>
      <w:pPr>
        <w:spacing w:after="0" w:line="22"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Chief Financial Offer</w:t>
      </w:r>
    </w:p>
    <w:p>
      <w:pPr>
        <w:spacing w:after="0" w:line="50"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576" w:right="3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Piotr Szulczewski, certify that:</w:t>
      </w:r>
    </w:p>
    <w:p>
      <w:pPr>
        <w:spacing w:after="0" w:line="104"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ContextLogic Inc.;</w:t>
      </w:r>
    </w:p>
    <w:p>
      <w:pPr>
        <w:spacing w:after="0" w:line="103" w:lineRule="exact"/>
        <w:rPr>
          <w:rFonts w:ascii="Arial" w:cs="Arial" w:eastAsia="Arial" w:hAnsi="Arial"/>
          <w:sz w:val="18"/>
          <w:szCs w:val="18"/>
          <w:color w:val="auto"/>
        </w:rPr>
      </w:pPr>
    </w:p>
    <w:p>
      <w:pPr>
        <w:ind w:left="580" w:right="2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80" w:right="1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80" w:right="280" w:hanging="572"/>
        <w:spacing w:after="0" w:line="246"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88" w:lineRule="exact"/>
        <w:rPr>
          <w:rFonts w:ascii="Arial" w:cs="Arial" w:eastAsia="Arial" w:hAnsi="Arial"/>
          <w:sz w:val="18"/>
          <w:szCs w:val="18"/>
          <w:color w:val="auto"/>
        </w:rPr>
      </w:pPr>
    </w:p>
    <w:p>
      <w:pPr>
        <w:ind w:left="1160" w:right="140" w:hanging="572"/>
        <w:spacing w:after="0"/>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160" w:hanging="572"/>
        <w:spacing w:after="0"/>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[Omitted];</w:t>
      </w:r>
    </w:p>
    <w:p>
      <w:pPr>
        <w:spacing w:after="0" w:line="103" w:lineRule="exact"/>
        <w:rPr>
          <w:rFonts w:ascii="Arial" w:cs="Arial" w:eastAsia="Arial" w:hAnsi="Arial"/>
          <w:sz w:val="18"/>
          <w:szCs w:val="18"/>
          <w:color w:val="auto"/>
        </w:rPr>
      </w:pPr>
    </w:p>
    <w:p>
      <w:pPr>
        <w:jc w:val="both"/>
        <w:ind w:left="1160" w:right="60" w:hanging="572"/>
        <w:spacing w:after="0"/>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160" w:right="200" w:hanging="572"/>
        <w:spacing w:after="0"/>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80" w:right="20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160" w:right="60" w:hanging="572"/>
        <w:spacing w:after="0"/>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160" w:right="900" w:hanging="572"/>
        <w:spacing w:after="0" w:line="246" w:lineRule="auto"/>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tabs>
          <w:tab w:leader="none" w:pos="5600" w:val="left"/>
          <w:tab w:leader="none" w:pos="7760" w:val="left"/>
        </w:tabs>
        <w:rPr>
          <w:sz w:val="20"/>
          <w:szCs w:val="20"/>
          <w:color w:val="auto"/>
        </w:rPr>
      </w:pPr>
      <w:r>
        <w:rPr>
          <w:rFonts w:ascii="Arial" w:cs="Arial" w:eastAsia="Arial" w:hAnsi="Arial"/>
          <w:sz w:val="18"/>
          <w:szCs w:val="18"/>
          <w:color w:val="auto"/>
        </w:rPr>
        <w:t>Date: May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Piotr Szulczewski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-1905</wp:posOffset>
            </wp:positionV>
            <wp:extent cx="33515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jc w:val="center"/>
        <w:ind w:left="5940"/>
        <w:spacing w:after="0"/>
        <w:rPr>
          <w:sz w:val="20"/>
          <w:szCs w:val="20"/>
          <w:color w:val="auto"/>
        </w:rPr>
      </w:pPr>
      <w:r>
        <w:rPr>
          <w:rFonts w:ascii="Arial" w:cs="Arial" w:eastAsia="Arial" w:hAnsi="Arial"/>
          <w:sz w:val="18"/>
          <w:szCs w:val="18"/>
          <w:color w:val="auto"/>
        </w:rPr>
        <w:t>Piotr Szulczewski</w:t>
      </w:r>
    </w:p>
    <w:p>
      <w:pPr>
        <w:jc w:val="center"/>
        <w:ind w:left="5940"/>
        <w:spacing w:after="0"/>
        <w:rPr>
          <w:sz w:val="20"/>
          <w:szCs w:val="20"/>
          <w:color w:val="auto"/>
        </w:rPr>
      </w:pPr>
      <w:r>
        <w:rPr>
          <w:rFonts w:ascii="Arial" w:cs="Arial" w:eastAsia="Arial" w:hAnsi="Arial"/>
          <w:sz w:val="18"/>
          <w:szCs w:val="18"/>
          <w:color w:val="auto"/>
        </w:rPr>
        <w:t>Chief Executive Officer and Chairperson</w:t>
      </w:r>
    </w:p>
    <w:p>
      <w:pPr>
        <w:spacing w:after="0" w:line="3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Rajat Bahri, certify that:</w:t>
      </w:r>
    </w:p>
    <w:p>
      <w:pPr>
        <w:spacing w:after="0" w:line="104"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ContextLogic Inc.;</w:t>
      </w:r>
    </w:p>
    <w:p>
      <w:pPr>
        <w:spacing w:after="0" w:line="103" w:lineRule="exact"/>
        <w:rPr>
          <w:rFonts w:ascii="Arial" w:cs="Arial" w:eastAsia="Arial" w:hAnsi="Arial"/>
          <w:sz w:val="18"/>
          <w:szCs w:val="18"/>
          <w:color w:val="auto"/>
        </w:rPr>
      </w:pPr>
    </w:p>
    <w:p>
      <w:pPr>
        <w:ind w:left="580" w:right="2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80" w:right="1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80" w:right="280" w:hanging="572"/>
        <w:spacing w:after="0" w:line="246"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88" w:lineRule="exact"/>
        <w:rPr>
          <w:rFonts w:ascii="Arial" w:cs="Arial" w:eastAsia="Arial" w:hAnsi="Arial"/>
          <w:sz w:val="18"/>
          <w:szCs w:val="18"/>
          <w:color w:val="auto"/>
        </w:rPr>
      </w:pPr>
    </w:p>
    <w:p>
      <w:pPr>
        <w:ind w:left="1160" w:right="140" w:hanging="572"/>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160" w:hanging="572"/>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[Omitted];</w:t>
      </w:r>
    </w:p>
    <w:p>
      <w:pPr>
        <w:spacing w:after="0" w:line="103" w:lineRule="exact"/>
        <w:rPr>
          <w:rFonts w:ascii="Arial" w:cs="Arial" w:eastAsia="Arial" w:hAnsi="Arial"/>
          <w:sz w:val="18"/>
          <w:szCs w:val="18"/>
          <w:color w:val="auto"/>
        </w:rPr>
      </w:pPr>
    </w:p>
    <w:p>
      <w:pPr>
        <w:jc w:val="both"/>
        <w:ind w:left="1160" w:right="60" w:hanging="572"/>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160" w:right="200" w:hanging="572"/>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80" w:right="20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160" w:right="60" w:hanging="572"/>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160" w:right="900" w:hanging="572"/>
        <w:spacing w:after="0" w:line="246"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tabs>
          <w:tab w:leader="none" w:pos="5600" w:val="left"/>
          <w:tab w:leader="none" w:pos="8020" w:val="left"/>
        </w:tabs>
        <w:rPr>
          <w:sz w:val="20"/>
          <w:szCs w:val="20"/>
          <w:color w:val="auto"/>
        </w:rPr>
      </w:pPr>
      <w:r>
        <w:rPr>
          <w:rFonts w:ascii="Arial" w:cs="Arial" w:eastAsia="Arial" w:hAnsi="Arial"/>
          <w:sz w:val="18"/>
          <w:szCs w:val="18"/>
          <w:color w:val="auto"/>
        </w:rPr>
        <w:t>Date: May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Rajat Bahri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-1905</wp:posOffset>
            </wp:positionV>
            <wp:extent cx="3351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jc w:val="center"/>
        <w:ind w:left="5940"/>
        <w:spacing w:after="0"/>
        <w:rPr>
          <w:sz w:val="20"/>
          <w:szCs w:val="20"/>
          <w:color w:val="auto"/>
        </w:rPr>
      </w:pPr>
      <w:r>
        <w:rPr>
          <w:rFonts w:ascii="Arial" w:cs="Arial" w:eastAsia="Arial" w:hAnsi="Arial"/>
          <w:sz w:val="18"/>
          <w:szCs w:val="18"/>
          <w:color w:val="auto"/>
        </w:rPr>
        <w:t>Rajat Bahri</w:t>
      </w:r>
    </w:p>
    <w:p>
      <w:pPr>
        <w:jc w:val="center"/>
        <w:ind w:left="59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60"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left="340" w:right="2580"/>
        <w:spacing w:after="0" w:line="253"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91" w:lineRule="exact"/>
        <w:rPr>
          <w:sz w:val="20"/>
          <w:szCs w:val="20"/>
          <w:color w:val="auto"/>
        </w:rPr>
      </w:pPr>
    </w:p>
    <w:p>
      <w:pPr>
        <w:ind w:right="160" w:firstLine="589"/>
        <w:spacing w:after="0"/>
        <w:rPr>
          <w:sz w:val="20"/>
          <w:szCs w:val="20"/>
          <w:color w:val="auto"/>
        </w:rPr>
      </w:pPr>
      <w:r>
        <w:rPr>
          <w:rFonts w:ascii="Arial" w:cs="Arial" w:eastAsia="Arial" w:hAnsi="Arial"/>
          <w:sz w:val="18"/>
          <w:szCs w:val="18"/>
          <w:color w:val="auto"/>
        </w:rPr>
        <w:t>In connection with the Quarterly Report of ContextLogic Inc. (the “Company”) on Form 10-Q for the period ended March 31, 2021 as filed with the Securities and Exchange Commission on the date hereof (the “Report”), I certify, pursuant to 18 U.S.C. § 1350, as adopted pursuant to § 906 of the Sarbanes-Oxley Act of 2002, that:</w:t>
      </w:r>
    </w:p>
    <w:p>
      <w:pPr>
        <w:spacing w:after="0" w:line="203" w:lineRule="exact"/>
        <w:rPr>
          <w:sz w:val="20"/>
          <w:szCs w:val="20"/>
          <w:color w:val="auto"/>
        </w:rPr>
      </w:pPr>
    </w:p>
    <w:p>
      <w:pPr>
        <w:ind w:left="1160" w:hanging="572"/>
        <w:spacing w:after="0" w:line="246"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6" w:lineRule="exact"/>
        <w:rPr>
          <w:rFonts w:ascii="Arial" w:cs="Arial" w:eastAsia="Arial" w:hAnsi="Arial"/>
          <w:sz w:val="18"/>
          <w:szCs w:val="18"/>
          <w:color w:val="auto"/>
        </w:rPr>
      </w:pPr>
    </w:p>
    <w:p>
      <w:pPr>
        <w:ind w:left="1160" w:right="80" w:hanging="572"/>
        <w:spacing w:after="0" w:line="246"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for the period presented therein.</w:t>
      </w:r>
    </w:p>
    <w:p>
      <w:pPr>
        <w:spacing w:after="0" w:line="237" w:lineRule="exact"/>
        <w:rPr>
          <w:sz w:val="20"/>
          <w:szCs w:val="20"/>
          <w:color w:val="auto"/>
        </w:rPr>
      </w:pPr>
    </w:p>
    <w:p>
      <w:pPr>
        <w:spacing w:after="0"/>
        <w:tabs>
          <w:tab w:leader="none" w:pos="5680" w:val="left"/>
          <w:tab w:leader="none" w:pos="7780" w:val="left"/>
        </w:tabs>
        <w:rPr>
          <w:sz w:val="20"/>
          <w:szCs w:val="20"/>
          <w:color w:val="auto"/>
        </w:rPr>
      </w:pPr>
      <w:r>
        <w:rPr>
          <w:rFonts w:ascii="Arial" w:cs="Arial" w:eastAsia="Arial" w:hAnsi="Arial"/>
          <w:sz w:val="18"/>
          <w:szCs w:val="18"/>
          <w:color w:val="auto"/>
        </w:rPr>
        <w:t>Date: May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Piotr Szulczewski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Piotr Szulczewski</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Chief Executive Officer and Chairperson</w:t>
      </w:r>
    </w:p>
    <w:p>
      <w:pPr>
        <w:spacing w:after="0" w:line="50"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ind w:left="340" w:right="2580"/>
        <w:spacing w:after="0" w:line="253" w:lineRule="auto"/>
        <w:rPr>
          <w:sz w:val="20"/>
          <w:szCs w:val="20"/>
          <w:color w:val="auto"/>
        </w:rPr>
      </w:pPr>
      <w:r>
        <w:rPr>
          <w:rFonts w:ascii="Arial" w:cs="Arial" w:eastAsia="Arial" w:hAnsi="Arial"/>
          <w:sz w:val="18"/>
          <w:szCs w:val="18"/>
          <w:b w:val="1"/>
          <w:bCs w:val="1"/>
          <w:color w:val="auto"/>
        </w:rPr>
        <w:t>CERTIFICATION OF PRINCIPAL FINANCIAL OFFICER PURSUANT TO 18 U.S.C. SECTION 1350, AS ADOPTED PURSUANT TO SECTION 906 OF THE SARBANES-OXLEY ACT OF 2002</w:t>
      </w:r>
    </w:p>
    <w:p>
      <w:pPr>
        <w:spacing w:after="0" w:line="191" w:lineRule="exact"/>
        <w:rPr>
          <w:sz w:val="20"/>
          <w:szCs w:val="20"/>
          <w:color w:val="auto"/>
        </w:rPr>
      </w:pPr>
    </w:p>
    <w:p>
      <w:pPr>
        <w:ind w:right="160" w:firstLine="589"/>
        <w:spacing w:after="0"/>
        <w:rPr>
          <w:sz w:val="20"/>
          <w:szCs w:val="20"/>
          <w:color w:val="auto"/>
        </w:rPr>
      </w:pPr>
      <w:r>
        <w:rPr>
          <w:rFonts w:ascii="Arial" w:cs="Arial" w:eastAsia="Arial" w:hAnsi="Arial"/>
          <w:sz w:val="18"/>
          <w:szCs w:val="18"/>
          <w:color w:val="auto"/>
        </w:rPr>
        <w:t>In connection with the Quarterly Report of ContextLogic Inc. (the “Company”) on Form 10-Q for the period ended March 31, 2021 as filed with the Securities and Exchange Commission on the date hereof (the “Report”), I certify, pursuant to 18 U.S.C. § 1350, as adopted pursuant to § 906 of the Sarbanes-Oxley Act of 2002, that:</w:t>
      </w:r>
    </w:p>
    <w:p>
      <w:pPr>
        <w:spacing w:after="0" w:line="203" w:lineRule="exact"/>
        <w:rPr>
          <w:sz w:val="20"/>
          <w:szCs w:val="20"/>
          <w:color w:val="auto"/>
        </w:rPr>
      </w:pPr>
    </w:p>
    <w:p>
      <w:pPr>
        <w:ind w:left="1160" w:hanging="572"/>
        <w:spacing w:after="0" w:line="246"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6" w:lineRule="exact"/>
        <w:rPr>
          <w:rFonts w:ascii="Arial" w:cs="Arial" w:eastAsia="Arial" w:hAnsi="Arial"/>
          <w:sz w:val="18"/>
          <w:szCs w:val="18"/>
          <w:color w:val="auto"/>
        </w:rPr>
      </w:pPr>
    </w:p>
    <w:p>
      <w:pPr>
        <w:ind w:left="1160" w:right="80" w:hanging="572"/>
        <w:spacing w:after="0" w:line="246"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for the period presented therein.</w:t>
      </w:r>
    </w:p>
    <w:p>
      <w:pPr>
        <w:spacing w:after="0" w:line="237" w:lineRule="exact"/>
        <w:rPr>
          <w:sz w:val="20"/>
          <w:szCs w:val="20"/>
          <w:color w:val="auto"/>
        </w:rPr>
      </w:pPr>
    </w:p>
    <w:p>
      <w:pPr>
        <w:spacing w:after="0"/>
        <w:tabs>
          <w:tab w:leader="none" w:pos="5680" w:val="left"/>
          <w:tab w:leader="none" w:pos="8040" w:val="left"/>
        </w:tabs>
        <w:rPr>
          <w:sz w:val="20"/>
          <w:szCs w:val="20"/>
          <w:color w:val="auto"/>
        </w:rPr>
      </w:pPr>
      <w:r>
        <w:rPr>
          <w:rFonts w:ascii="Arial" w:cs="Arial" w:eastAsia="Arial" w:hAnsi="Arial"/>
          <w:sz w:val="18"/>
          <w:szCs w:val="18"/>
          <w:color w:val="auto"/>
        </w:rPr>
        <w:t>Date: May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Rajat Bahri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Rajat Bahri</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2021-05-12T15:33:44Z</dcterms:created>
  <dcterms:modified xsi:type="dcterms:W3CDTF">2021-05-12T15:33:44Z</dcterms:modified>
</cp:coreProperties>
</file>