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660" w:right="1520" w:hanging="3652"/>
        <w:spacing w:after="0" w:line="312" w:lineRule="auto"/>
        <w:tabs>
          <w:tab w:leader="none" w:pos="47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3680" w:right="1540" w:hanging="3672"/>
        <w:spacing w:after="0" w:line="289" w:lineRule="auto"/>
        <w:tabs>
          <w:tab w:leader="none" w:pos="47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 to ______</w:t>
      </w:r>
    </w:p>
    <w:p>
      <w:pPr>
        <w:spacing w:after="0" w:line="1" w:lineRule="exact"/>
        <w:rPr>
          <w:sz w:val="24"/>
          <w:szCs w:val="24"/>
          <w:color w:val="auto"/>
        </w:rPr>
      </w:pPr>
    </w:p>
    <w:tbl>
      <w:tblPr>
        <w:tblLayout w:type="fixed"/>
        <w:tblInd w:w="1480" w:type="dxa"/>
        <w:tblCellMar>
          <w:top w:w="0" w:type="dxa"/>
          <w:left w:w="0" w:type="dxa"/>
          <w:bottom w:w="0" w:type="dxa"/>
          <w:right w:w="0" w:type="dxa"/>
        </w:tblCellMar>
      </w:tblPr>
      <w:tr>
        <w:trPr>
          <w:trHeight w:val="247"/>
        </w:trPr>
        <w:tc>
          <w:tcPr>
            <w:tcW w:w="6120" w:type="dxa"/>
            <w:vAlign w:val="bottom"/>
            <w:gridSpan w:val="3"/>
          </w:tcPr>
          <w:p>
            <w:pPr>
              <w:jc w:val="center"/>
              <w:ind w:left="2085"/>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6"/>
                <w:szCs w:val="16"/>
                <w:b w:val="1"/>
                <w:bCs w:val="1"/>
                <w:color w:val="auto"/>
              </w:rPr>
              <w:t>001-39775</w:t>
            </w:r>
          </w:p>
        </w:tc>
        <w:tc>
          <w:tcPr>
            <w:tcW w:w="1440" w:type="dxa"/>
            <w:vAlign w:val="bottom"/>
          </w:tcPr>
          <w:p>
            <w:pPr>
              <w:spacing w:after="0"/>
              <w:rPr>
                <w:sz w:val="21"/>
                <w:szCs w:val="21"/>
                <w:color w:val="auto"/>
              </w:rPr>
            </w:pPr>
          </w:p>
        </w:tc>
      </w:tr>
      <w:tr>
        <w:trPr>
          <w:trHeight w:val="69"/>
        </w:trPr>
        <w:tc>
          <w:tcPr>
            <w:tcW w:w="302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542"/>
        </w:trPr>
        <w:tc>
          <w:tcPr>
            <w:tcW w:w="6120" w:type="dxa"/>
            <w:vAlign w:val="bottom"/>
            <w:gridSpan w:val="3"/>
          </w:tcPr>
          <w:p>
            <w:pPr>
              <w:ind w:left="2280"/>
              <w:spacing w:after="0"/>
              <w:rPr>
                <w:sz w:val="20"/>
                <w:szCs w:val="20"/>
                <w:color w:val="auto"/>
              </w:rPr>
            </w:pPr>
            <w:r>
              <w:rPr>
                <w:rFonts w:ascii="Arial" w:cs="Arial" w:eastAsia="Arial" w:hAnsi="Arial"/>
                <w:sz w:val="43"/>
                <w:szCs w:val="43"/>
                <w:b w:val="1"/>
                <w:bCs w:val="1"/>
                <w:color w:val="auto"/>
              </w:rPr>
              <w:t>ContextLogic Inc.</w:t>
            </w:r>
          </w:p>
        </w:tc>
        <w:tc>
          <w:tcPr>
            <w:tcW w:w="1440" w:type="dxa"/>
            <w:vAlign w:val="bottom"/>
          </w:tcPr>
          <w:p>
            <w:pPr>
              <w:spacing w:after="0"/>
              <w:rPr>
                <w:sz w:val="24"/>
                <w:szCs w:val="24"/>
                <w:color w:val="auto"/>
              </w:rPr>
            </w:pPr>
          </w:p>
        </w:tc>
      </w:tr>
      <w:tr>
        <w:trPr>
          <w:trHeight w:val="247"/>
        </w:trPr>
        <w:tc>
          <w:tcPr>
            <w:tcW w:w="7560" w:type="dxa"/>
            <w:vAlign w:val="bottom"/>
            <w:gridSpan w:val="4"/>
          </w:tcPr>
          <w:p>
            <w:pPr>
              <w:jc w:val="center"/>
              <w:ind w:left="625"/>
              <w:spacing w:after="0"/>
              <w:rPr>
                <w:sz w:val="20"/>
                <w:szCs w:val="20"/>
                <w:color w:val="auto"/>
              </w:rPr>
            </w:pPr>
            <w:r>
              <w:rPr>
                <w:rFonts w:ascii="Arial" w:cs="Arial" w:eastAsia="Arial" w:hAnsi="Arial"/>
                <w:sz w:val="18"/>
                <w:szCs w:val="18"/>
                <w:b w:val="1"/>
                <w:bCs w:val="1"/>
                <w:color w:val="auto"/>
                <w:w w:val="99"/>
              </w:rPr>
              <w:t>(Exact Name of Registrant as Specified in its Charter)</w:t>
            </w:r>
          </w:p>
        </w:tc>
      </w:tr>
      <w:tr>
        <w:trPr>
          <w:trHeight w:val="83"/>
        </w:trPr>
        <w:tc>
          <w:tcPr>
            <w:tcW w:w="302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254"/>
        </w:trPr>
        <w:tc>
          <w:tcPr>
            <w:tcW w:w="6120" w:type="dxa"/>
            <w:vAlign w:val="bottom"/>
            <w:gridSpan w:val="3"/>
          </w:tcPr>
          <w:p>
            <w:pPr>
              <w:jc w:val="center"/>
              <w:ind w:right="3440"/>
              <w:spacing w:after="0"/>
              <w:rPr>
                <w:sz w:val="20"/>
                <w:szCs w:val="20"/>
                <w:color w:val="auto"/>
              </w:rPr>
            </w:pPr>
            <w:r>
              <w:rPr>
                <w:rFonts w:ascii="Arial" w:cs="Arial" w:eastAsia="Arial" w:hAnsi="Arial"/>
                <w:sz w:val="16"/>
                <w:szCs w:val="16"/>
                <w:b w:val="1"/>
                <w:bCs w:val="1"/>
                <w:color w:val="auto"/>
              </w:rPr>
              <w:t>Delaware</w:t>
            </w:r>
          </w:p>
        </w:tc>
        <w:tc>
          <w:tcPr>
            <w:tcW w:w="1440" w:type="dxa"/>
            <w:vAlign w:val="bottom"/>
          </w:tcPr>
          <w:p>
            <w:pPr>
              <w:jc w:val="right"/>
              <w:ind w:right="104"/>
              <w:spacing w:after="0"/>
              <w:rPr>
                <w:sz w:val="20"/>
                <w:szCs w:val="20"/>
                <w:color w:val="auto"/>
              </w:rPr>
            </w:pPr>
            <w:r>
              <w:rPr>
                <w:rFonts w:ascii="Arial" w:cs="Arial" w:eastAsia="Arial" w:hAnsi="Arial"/>
                <w:sz w:val="16"/>
                <w:szCs w:val="16"/>
                <w:b w:val="1"/>
                <w:bCs w:val="1"/>
                <w:color w:val="auto"/>
              </w:rPr>
              <w:t>27-2930953</w:t>
            </w:r>
          </w:p>
        </w:tc>
      </w:tr>
      <w:tr>
        <w:trPr>
          <w:trHeight w:val="162"/>
        </w:trPr>
        <w:tc>
          <w:tcPr>
            <w:tcW w:w="6120" w:type="dxa"/>
            <w:vAlign w:val="bottom"/>
            <w:gridSpan w:val="3"/>
          </w:tcPr>
          <w:p>
            <w:pPr>
              <w:jc w:val="center"/>
              <w:ind w:right="3460"/>
              <w:spacing w:after="0"/>
              <w:rPr>
                <w:sz w:val="20"/>
                <w:szCs w:val="20"/>
                <w:color w:val="auto"/>
              </w:rPr>
            </w:pPr>
            <w:r>
              <w:rPr>
                <w:rFonts w:ascii="Arial" w:cs="Arial" w:eastAsia="Arial" w:hAnsi="Arial"/>
                <w:sz w:val="14"/>
                <w:szCs w:val="14"/>
                <w:b w:val="1"/>
                <w:bCs w:val="1"/>
                <w:color w:val="auto"/>
              </w:rPr>
              <w:t>(State or other jurisdiction of</w:t>
            </w:r>
          </w:p>
        </w:tc>
        <w:tc>
          <w:tcPr>
            <w:tcW w:w="1440" w:type="dxa"/>
            <w:vAlign w:val="bottom"/>
          </w:tcPr>
          <w:p>
            <w:pPr>
              <w:jc w:val="center"/>
              <w:ind w:left="144"/>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6120" w:type="dxa"/>
            <w:vAlign w:val="bottom"/>
            <w:gridSpan w:val="3"/>
          </w:tcPr>
          <w:p>
            <w:pPr>
              <w:jc w:val="center"/>
              <w:ind w:right="3460"/>
              <w:spacing w:after="0"/>
              <w:rPr>
                <w:sz w:val="20"/>
                <w:szCs w:val="20"/>
                <w:color w:val="auto"/>
              </w:rPr>
            </w:pPr>
            <w:r>
              <w:rPr>
                <w:rFonts w:ascii="Arial" w:cs="Arial" w:eastAsia="Arial" w:hAnsi="Arial"/>
                <w:sz w:val="14"/>
                <w:szCs w:val="14"/>
                <w:b w:val="1"/>
                <w:bCs w:val="1"/>
                <w:color w:val="auto"/>
              </w:rPr>
              <w:t>incorporation or organization)</w:t>
            </w:r>
          </w:p>
        </w:tc>
        <w:tc>
          <w:tcPr>
            <w:tcW w:w="1440" w:type="dxa"/>
            <w:vAlign w:val="bottom"/>
          </w:tcPr>
          <w:p>
            <w:pPr>
              <w:jc w:val="center"/>
              <w:ind w:left="144"/>
              <w:spacing w:after="0"/>
              <w:rPr>
                <w:sz w:val="20"/>
                <w:szCs w:val="20"/>
                <w:color w:val="auto"/>
              </w:rPr>
            </w:pPr>
            <w:r>
              <w:rPr>
                <w:rFonts w:ascii="Arial" w:cs="Arial" w:eastAsia="Arial" w:hAnsi="Arial"/>
                <w:sz w:val="14"/>
                <w:szCs w:val="14"/>
                <w:b w:val="1"/>
                <w:bCs w:val="1"/>
                <w:color w:val="auto"/>
              </w:rPr>
              <w:t>Identification No.)</w:t>
            </w:r>
          </w:p>
        </w:tc>
      </w:tr>
      <w:tr>
        <w:trPr>
          <w:trHeight w:val="190"/>
        </w:trPr>
        <w:tc>
          <w:tcPr>
            <w:tcW w:w="6120" w:type="dxa"/>
            <w:vAlign w:val="bottom"/>
            <w:gridSpan w:val="3"/>
          </w:tcPr>
          <w:p>
            <w:pPr>
              <w:jc w:val="center"/>
              <w:ind w:right="3460"/>
              <w:spacing w:after="0"/>
              <w:rPr>
                <w:sz w:val="20"/>
                <w:szCs w:val="20"/>
                <w:color w:val="auto"/>
              </w:rPr>
            </w:pPr>
            <w:r>
              <w:rPr>
                <w:rFonts w:ascii="Arial" w:cs="Arial" w:eastAsia="Arial" w:hAnsi="Arial"/>
                <w:sz w:val="16"/>
                <w:szCs w:val="16"/>
                <w:b w:val="1"/>
                <w:bCs w:val="1"/>
                <w:color w:val="auto"/>
              </w:rPr>
              <w:t>2648 International Blvd Ste 115</w:t>
            </w:r>
          </w:p>
        </w:tc>
        <w:tc>
          <w:tcPr>
            <w:tcW w:w="1440" w:type="dxa"/>
            <w:vAlign w:val="bottom"/>
          </w:tcPr>
          <w:p>
            <w:pPr>
              <w:spacing w:after="0"/>
              <w:rPr>
                <w:sz w:val="16"/>
                <w:szCs w:val="16"/>
                <w:color w:val="auto"/>
              </w:rPr>
            </w:pPr>
          </w:p>
        </w:tc>
      </w:tr>
      <w:tr>
        <w:trPr>
          <w:trHeight w:val="194"/>
        </w:trPr>
        <w:tc>
          <w:tcPr>
            <w:tcW w:w="6120" w:type="dxa"/>
            <w:vAlign w:val="bottom"/>
            <w:gridSpan w:val="3"/>
          </w:tcPr>
          <w:p>
            <w:pPr>
              <w:jc w:val="center"/>
              <w:ind w:right="3440"/>
              <w:spacing w:after="0"/>
              <w:rPr>
                <w:sz w:val="20"/>
                <w:szCs w:val="20"/>
                <w:color w:val="auto"/>
              </w:rPr>
            </w:pPr>
            <w:r>
              <w:rPr>
                <w:rFonts w:ascii="Arial" w:cs="Arial" w:eastAsia="Arial" w:hAnsi="Arial"/>
                <w:sz w:val="16"/>
                <w:szCs w:val="16"/>
                <w:b w:val="1"/>
                <w:bCs w:val="1"/>
                <w:color w:val="auto"/>
              </w:rPr>
              <w:t>Oakland, CA</w:t>
            </w:r>
          </w:p>
        </w:tc>
        <w:tc>
          <w:tcPr>
            <w:tcW w:w="1440" w:type="dxa"/>
            <w:vAlign w:val="bottom"/>
          </w:tcPr>
          <w:p>
            <w:pPr>
              <w:jc w:val="right"/>
              <w:ind w:right="304"/>
              <w:spacing w:after="0"/>
              <w:rPr>
                <w:sz w:val="20"/>
                <w:szCs w:val="20"/>
                <w:color w:val="auto"/>
              </w:rPr>
            </w:pPr>
            <w:r>
              <w:rPr>
                <w:rFonts w:ascii="Arial" w:cs="Arial" w:eastAsia="Arial" w:hAnsi="Arial"/>
                <w:sz w:val="16"/>
                <w:szCs w:val="16"/>
                <w:b w:val="1"/>
                <w:bCs w:val="1"/>
                <w:color w:val="auto"/>
              </w:rPr>
              <w:t>94601</w:t>
            </w:r>
          </w:p>
        </w:tc>
      </w:tr>
      <w:tr>
        <w:trPr>
          <w:trHeight w:val="196"/>
        </w:trPr>
        <w:tc>
          <w:tcPr>
            <w:tcW w:w="612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(Address of principal executive offices)</w:t>
            </w:r>
          </w:p>
        </w:tc>
        <w:tc>
          <w:tcPr>
            <w:tcW w:w="1440" w:type="dxa"/>
            <w:vAlign w:val="bottom"/>
          </w:tcPr>
          <w:p>
            <w:pPr>
              <w:jc w:val="center"/>
              <w:ind w:left="144"/>
              <w:spacing w:after="0"/>
              <w:rPr>
                <w:sz w:val="20"/>
                <w:szCs w:val="20"/>
                <w:color w:val="auto"/>
              </w:rPr>
            </w:pPr>
            <w:r>
              <w:rPr>
                <w:rFonts w:ascii="Arial" w:cs="Arial" w:eastAsia="Arial" w:hAnsi="Arial"/>
                <w:sz w:val="14"/>
                <w:szCs w:val="14"/>
                <w:b w:val="1"/>
                <w:bCs w:val="1"/>
                <w:color w:val="auto"/>
              </w:rPr>
              <w:t>(Zip Code)</w:t>
            </w:r>
          </w:p>
        </w:tc>
      </w:tr>
    </w:tbl>
    <w:p>
      <w:pPr>
        <w:spacing w:after="0" w:line="24"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6"/>
          <w:szCs w:val="16"/>
          <w:b w:val="1"/>
          <w:bCs w:val="1"/>
          <w:color w:val="auto"/>
        </w:rPr>
        <w:t>(415) 965-8476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9"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7"/>
                <w:szCs w:val="17"/>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7"/>
                <w:szCs w:val="17"/>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73"/>
        </w:trPr>
        <w:tc>
          <w:tcPr>
            <w:tcW w:w="4400" w:type="dxa"/>
            <w:vAlign w:val="bottom"/>
          </w:tcPr>
          <w:p>
            <w:pPr>
              <w:jc w:val="center"/>
              <w:spacing w:after="0"/>
              <w:rPr>
                <w:sz w:val="20"/>
                <w:szCs w:val="20"/>
                <w:color w:val="auto"/>
              </w:rPr>
            </w:pPr>
            <w:r>
              <w:rPr>
                <w:rFonts w:ascii="Arial" w:cs="Arial" w:eastAsia="Arial" w:hAnsi="Arial"/>
                <w:sz w:val="14"/>
                <w:szCs w:val="14"/>
                <w:color w:val="auto"/>
              </w:rPr>
              <w:t>Class A Common Stock, $0.0001 par value</w:t>
            </w:r>
          </w:p>
        </w:tc>
        <w:tc>
          <w:tcPr>
            <w:tcW w:w="12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color w:val="auto"/>
              </w:rPr>
              <w:t>LOGC</w:t>
            </w:r>
          </w:p>
        </w:tc>
        <w:tc>
          <w:tcPr>
            <w:tcW w:w="100" w:type="dxa"/>
            <w:vAlign w:val="bottom"/>
          </w:tcPr>
          <w:p>
            <w:pPr>
              <w:spacing w:after="0"/>
              <w:rPr>
                <w:sz w:val="15"/>
                <w:szCs w:val="15"/>
                <w:color w:val="auto"/>
              </w:rPr>
            </w:pPr>
          </w:p>
        </w:tc>
        <w:tc>
          <w:tcPr>
            <w:tcW w:w="4380" w:type="dxa"/>
            <w:vAlign w:val="bottom"/>
          </w:tcPr>
          <w:p>
            <w:pPr>
              <w:jc w:val="center"/>
              <w:spacing w:after="0"/>
              <w:rPr>
                <w:sz w:val="20"/>
                <w:szCs w:val="20"/>
                <w:color w:val="auto"/>
              </w:rPr>
            </w:pPr>
            <w:r>
              <w:rPr>
                <w:rFonts w:ascii="Arial" w:cs="Arial" w:eastAsia="Arial" w:hAnsi="Arial"/>
                <w:sz w:val="14"/>
                <w:szCs w:val="14"/>
                <w:color w:val="auto"/>
              </w:rPr>
              <w:t>Nasdaq Global Select Market</w:t>
            </w:r>
          </w:p>
        </w:tc>
      </w:tr>
      <w:tr>
        <w:trPr>
          <w:trHeight w:val="190"/>
        </w:trPr>
        <w:tc>
          <w:tcPr>
            <w:tcW w:w="4400" w:type="dxa"/>
            <w:vAlign w:val="bottom"/>
          </w:tcPr>
          <w:p>
            <w:pPr>
              <w:jc w:val="center"/>
              <w:spacing w:after="0"/>
              <w:rPr>
                <w:sz w:val="20"/>
                <w:szCs w:val="20"/>
                <w:color w:val="auto"/>
              </w:rPr>
            </w:pPr>
            <w:r>
              <w:rPr>
                <w:rFonts w:ascii="Arial" w:cs="Arial" w:eastAsia="Arial" w:hAnsi="Arial"/>
                <w:sz w:val="14"/>
                <w:szCs w:val="14"/>
                <w:color w:val="auto"/>
              </w:rPr>
              <w:t>Preferred Stock Purchase Rights</w:t>
            </w:r>
          </w:p>
        </w:tc>
        <w:tc>
          <w:tcPr>
            <w:tcW w:w="12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4380" w:type="dxa"/>
            <w:vAlign w:val="bottom"/>
          </w:tcPr>
          <w:p>
            <w:pPr>
              <w:jc w:val="center"/>
              <w:spacing w:after="0"/>
              <w:rPr>
                <w:sz w:val="20"/>
                <w:szCs w:val="20"/>
                <w:color w:val="auto"/>
              </w:rPr>
            </w:pPr>
            <w:r>
              <w:rPr>
                <w:rFonts w:ascii="Arial" w:cs="Arial" w:eastAsia="Arial" w:hAnsi="Arial"/>
                <w:sz w:val="14"/>
                <w:szCs w:val="14"/>
                <w:color w:val="auto"/>
              </w:rPr>
              <w:t>Nasdaq Global Select Market</w:t>
            </w:r>
          </w:p>
        </w:tc>
      </w:tr>
    </w:tbl>
    <w:p>
      <w:pPr>
        <w:spacing w:after="0" w:line="34" w:lineRule="exact"/>
        <w:rPr>
          <w:sz w:val="24"/>
          <w:szCs w:val="24"/>
          <w:color w:val="auto"/>
        </w:rPr>
      </w:pPr>
    </w:p>
    <w:p>
      <w:pPr>
        <w:jc w:val="both"/>
        <w:ind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firstLine="59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1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16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spacing w:after="0"/>
              <w:rPr>
                <w:sz w:val="23"/>
                <w:szCs w:val="23"/>
                <w:color w:val="auto"/>
              </w:rPr>
            </w:pPr>
          </w:p>
        </w:tc>
        <w:tc>
          <w:tcPr>
            <w:tcW w:w="340" w:type="dxa"/>
            <w:vAlign w:val="bottom"/>
          </w:tcPr>
          <w:p>
            <w:pPr>
              <w:spacing w:after="0"/>
              <w:rPr>
                <w:sz w:val="23"/>
                <w:szCs w:val="23"/>
                <w:color w:val="auto"/>
              </w:rPr>
            </w:pPr>
          </w:p>
        </w:tc>
      </w:tr>
    </w:tbl>
    <w:p>
      <w:pPr>
        <w:spacing w:after="0" w:line="47" w:lineRule="exact"/>
        <w:rPr>
          <w:sz w:val="24"/>
          <w:szCs w:val="24"/>
          <w:color w:val="auto"/>
        </w:rPr>
      </w:pPr>
    </w:p>
    <w:p>
      <w:pPr>
        <w:jc w:val="both"/>
        <w:ind w:right="20" w:firstLine="59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1180"/>
        <w:spacing w:after="0" w:line="25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30, 2025, the number of shares of the registrant’s Class A common stock outstanding was 26,612,092.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300" w:type="dxa"/>
            <w:vAlign w:val="bottom"/>
            <w:gridSpan w:val="17"/>
            <w:vMerge w:val="restart"/>
          </w:tcPr>
          <w:p>
            <w:pPr>
              <w:spacing w:after="0"/>
              <w:rPr>
                <w:sz w:val="20"/>
                <w:szCs w:val="20"/>
                <w:color w:val="auto"/>
              </w:rPr>
            </w:pPr>
            <w:r>
              <w:rPr>
                <w:rFonts w:ascii="Arial" w:cs="Arial" w:eastAsia="Arial" w:hAnsi="Arial"/>
                <w:sz w:val="18"/>
                <w:szCs w:val="18"/>
                <w:b w:val="1"/>
                <w:bCs w:val="1"/>
                <w:color w:val="0563C1"/>
              </w:rPr>
              <w:t>Special Note Regarding Forward-Looking Statements</w:t>
            </w: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7"/>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4560" w:type="dxa"/>
            <w:vAlign w:val="bottom"/>
            <w:tcBorders>
              <w:top w:val="single" w:sz="8" w:color="0563C1"/>
            </w:tcBorders>
            <w:gridSpan w:val="10"/>
          </w:tcPr>
          <w:p>
            <w:pPr>
              <w:spacing w:after="0" w:line="182" w:lineRule="exact"/>
              <w:rPr>
                <w:sz w:val="20"/>
                <w:szCs w:val="20"/>
                <w:color w:val="auto"/>
              </w:rPr>
            </w:pPr>
            <w:r>
              <w:rPr>
                <w:rFonts w:ascii="Arial" w:cs="Arial" w:eastAsia="Arial" w:hAnsi="Arial"/>
                <w:sz w:val="18"/>
                <w:szCs w:val="18"/>
                <w:color w:val="0563C1"/>
              </w:rPr>
              <w:t>FINANCIAL INFORMATION</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7060" w:type="dxa"/>
            <w:vAlign w:val="bottom"/>
            <w:gridSpan w:val="11"/>
            <w:vMerge w:val="restart"/>
          </w:tcPr>
          <w:p>
            <w:pPr>
              <w:spacing w:after="0" w:line="202" w:lineRule="exact"/>
              <w:rPr>
                <w:sz w:val="20"/>
                <w:szCs w:val="20"/>
                <w:color w:val="auto"/>
              </w:rPr>
            </w:pPr>
            <w:r>
              <w:rPr>
                <w:rFonts w:ascii="Arial" w:cs="Arial" w:eastAsia="Arial" w:hAnsi="Arial"/>
                <w:sz w:val="18"/>
                <w:szCs w:val="18"/>
                <w:color w:val="0563C1"/>
              </w:rPr>
              <w:t>Financial Statements (Unaudited)</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2240" w:type="dxa"/>
            <w:vAlign w:val="bottom"/>
            <w:gridSpan w:val="6"/>
          </w:tcPr>
          <w:p>
            <w:pPr>
              <w:spacing w:after="0" w:line="182" w:lineRule="exact"/>
              <w:rPr>
                <w:sz w:val="20"/>
                <w:szCs w:val="20"/>
                <w:color w:val="auto"/>
              </w:rPr>
            </w:pPr>
            <w:r>
              <w:rPr>
                <w:rFonts w:ascii="Arial" w:cs="Arial" w:eastAsia="Arial" w:hAnsi="Arial"/>
                <w:sz w:val="18"/>
                <w:szCs w:val="18"/>
                <w:color w:val="0563C1"/>
              </w:rPr>
              <w:t>Condensed Consolidated</w:t>
            </w:r>
          </w:p>
        </w:tc>
        <w:tc>
          <w:tcPr>
            <w:tcW w:w="7060" w:type="dxa"/>
            <w:vAlign w:val="bottom"/>
            <w:gridSpan w:val="11"/>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340" w:type="dxa"/>
            <w:vAlign w:val="bottom"/>
            <w:gridSpan w:val="2"/>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740" w:type="dxa"/>
            <w:vAlign w:val="bottom"/>
            <w:vMerge w:val="restart"/>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40" w:type="dxa"/>
            <w:vAlign w:val="bottom"/>
            <w:gridSpan w:val="12"/>
          </w:tcPr>
          <w:p>
            <w:pPr>
              <w:spacing w:after="0" w:line="182" w:lineRule="exact"/>
              <w:rPr>
                <w:sz w:val="20"/>
                <w:szCs w:val="20"/>
                <w:color w:val="auto"/>
              </w:rPr>
            </w:pPr>
            <w:r>
              <w:rPr>
                <w:rFonts w:ascii="Arial" w:cs="Arial" w:eastAsia="Arial" w:hAnsi="Arial"/>
                <w:sz w:val="18"/>
                <w:szCs w:val="18"/>
                <w:color w:val="0563C1"/>
              </w:rPr>
              <w:t>Condensed Consolidated Balance Sheets</w:t>
            </w:r>
          </w:p>
        </w:tc>
        <w:tc>
          <w:tcPr>
            <w:tcW w:w="1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340" w:type="dxa"/>
            <w:vAlign w:val="bottom"/>
            <w:gridSpan w:val="2"/>
            <w:shd w:val="clear" w:color="auto" w:fill="0563C1"/>
          </w:tcPr>
          <w:p>
            <w:pPr>
              <w:spacing w:after="0" w:line="20" w:lineRule="exact"/>
              <w:rPr>
                <w:sz w:val="1"/>
                <w:szCs w:val="1"/>
                <w:color w:val="auto"/>
              </w:rPr>
            </w:pPr>
          </w:p>
        </w:tc>
        <w:tc>
          <w:tcPr>
            <w:tcW w:w="5980" w:type="dxa"/>
            <w:vAlign w:val="bottom"/>
            <w:gridSpan w:val="10"/>
            <w:vMerge w:val="restart"/>
          </w:tcPr>
          <w:p>
            <w:pPr>
              <w:spacing w:after="0" w:line="202" w:lineRule="exact"/>
              <w:rPr>
                <w:sz w:val="20"/>
                <w:szCs w:val="20"/>
                <w:color w:val="auto"/>
              </w:rPr>
            </w:pPr>
            <w:r>
              <w:rPr>
                <w:rFonts w:ascii="Arial" w:cs="Arial" w:eastAsia="Arial" w:hAnsi="Arial"/>
                <w:sz w:val="18"/>
                <w:szCs w:val="18"/>
                <w:color w:val="0563C1"/>
              </w:rPr>
              <w:t>Operations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20" w:type="dxa"/>
            <w:vAlign w:val="bottom"/>
            <w:gridSpan w:val="7"/>
          </w:tcPr>
          <w:p>
            <w:pPr>
              <w:spacing w:after="0" w:line="182" w:lineRule="exact"/>
              <w:rPr>
                <w:sz w:val="20"/>
                <w:szCs w:val="20"/>
                <w:color w:val="auto"/>
              </w:rPr>
            </w:pPr>
            <w:r>
              <w:rPr>
                <w:rFonts w:ascii="Arial" w:cs="Arial" w:eastAsia="Arial" w:hAnsi="Arial"/>
                <w:sz w:val="18"/>
                <w:szCs w:val="18"/>
                <w:color w:val="0563C1"/>
              </w:rPr>
              <w:t>Condensed Consolidated Statements of</w:t>
            </w:r>
          </w:p>
        </w:tc>
        <w:tc>
          <w:tcPr>
            <w:tcW w:w="5980" w:type="dxa"/>
            <w:vAlign w:val="bottom"/>
            <w:gridSpan w:val="10"/>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120" w:type="dxa"/>
            <w:vAlign w:val="bottom"/>
            <w:gridSpan w:val="3"/>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300" w:type="dxa"/>
            <w:vAlign w:val="bottom"/>
            <w:gridSpan w:val="17"/>
          </w:tcPr>
          <w:p>
            <w:pPr>
              <w:spacing w:after="0" w:line="182" w:lineRule="exact"/>
              <w:rPr>
                <w:sz w:val="20"/>
                <w:szCs w:val="20"/>
                <w:color w:val="auto"/>
              </w:rPr>
            </w:pPr>
            <w:r>
              <w:rPr>
                <w:rFonts w:ascii="Arial" w:cs="Arial" w:eastAsia="Arial" w:hAnsi="Arial"/>
                <w:sz w:val="18"/>
                <w:szCs w:val="18"/>
                <w:color w:val="0563C1"/>
              </w:rPr>
              <w:t>Condensed Consolidated Statements of Comprehensive Loss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180" w:type="dxa"/>
            <w:vAlign w:val="bottom"/>
            <w:gridSpan w:val="4"/>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740" w:type="dxa"/>
            <w:vAlign w:val="bottom"/>
            <w:vMerge w:val="restart"/>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920" w:type="dxa"/>
            <w:vAlign w:val="bottom"/>
            <w:gridSpan w:val="14"/>
          </w:tcPr>
          <w:p>
            <w:pPr>
              <w:spacing w:after="0" w:line="182" w:lineRule="exact"/>
              <w:rPr>
                <w:sz w:val="20"/>
                <w:szCs w:val="20"/>
                <w:color w:val="auto"/>
              </w:rPr>
            </w:pPr>
            <w:r>
              <w:rPr>
                <w:rFonts w:ascii="Arial" w:cs="Arial" w:eastAsia="Arial" w:hAnsi="Arial"/>
                <w:sz w:val="18"/>
                <w:szCs w:val="18"/>
                <w:color w:val="0563C1"/>
              </w:rPr>
              <w:t>Condensed Consolidated Statements of Stockholders’ Equity</w:t>
            </w:r>
          </w:p>
        </w:tc>
        <w:tc>
          <w:tcPr>
            <w:tcW w:w="420" w:type="dxa"/>
            <w:vAlign w:val="bottom"/>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180" w:type="dxa"/>
            <w:vAlign w:val="bottom"/>
            <w:gridSpan w:val="4"/>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480" w:type="dxa"/>
            <w:vAlign w:val="bottom"/>
            <w:gridSpan w:val="2"/>
            <w:vMerge w:val="restart"/>
          </w:tcPr>
          <w:p>
            <w:pPr>
              <w:spacing w:after="0" w:line="20" w:lineRule="exact"/>
              <w:rPr>
                <w:sz w:val="1"/>
                <w:szCs w:val="1"/>
                <w:color w:val="auto"/>
              </w:rPr>
            </w:pPr>
          </w:p>
        </w:tc>
        <w:tc>
          <w:tcPr>
            <w:tcW w:w="1740" w:type="dxa"/>
            <w:vAlign w:val="bottom"/>
            <w:vMerge w:val="restart"/>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60" w:type="dxa"/>
            <w:vAlign w:val="bottom"/>
            <w:gridSpan w:val="13"/>
          </w:tcPr>
          <w:p>
            <w:pPr>
              <w:spacing w:after="0" w:line="182" w:lineRule="exact"/>
              <w:rPr>
                <w:sz w:val="20"/>
                <w:szCs w:val="20"/>
                <w:color w:val="auto"/>
              </w:rPr>
            </w:pPr>
            <w:r>
              <w:rPr>
                <w:rFonts w:ascii="Arial" w:cs="Arial" w:eastAsia="Arial" w:hAnsi="Arial"/>
                <w:sz w:val="18"/>
                <w:szCs w:val="18"/>
                <w:color w:val="0563C1"/>
              </w:rPr>
              <w:t>Condensed Consolidated Statements of Cash Flows</w:t>
            </w:r>
          </w:p>
        </w:tc>
        <w:tc>
          <w:tcPr>
            <w:tcW w:w="480" w:type="dxa"/>
            <w:vAlign w:val="bottom"/>
            <w:gridSpan w:val="2"/>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180" w:type="dxa"/>
            <w:vAlign w:val="bottom"/>
            <w:gridSpan w:val="4"/>
            <w:shd w:val="clear" w:color="auto" w:fill="0563C1"/>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300" w:type="dxa"/>
            <w:vAlign w:val="bottom"/>
            <w:gridSpan w:val="17"/>
          </w:tcPr>
          <w:p>
            <w:pPr>
              <w:spacing w:after="0" w:line="182" w:lineRule="exact"/>
              <w:rPr>
                <w:sz w:val="20"/>
                <w:szCs w:val="20"/>
                <w:color w:val="auto"/>
              </w:rPr>
            </w:pPr>
            <w:r>
              <w:rPr>
                <w:rFonts w:ascii="Arial" w:cs="Arial" w:eastAsia="Arial" w:hAnsi="Arial"/>
                <w:sz w:val="18"/>
                <w:szCs w:val="18"/>
                <w:color w:val="0563C1"/>
              </w:rPr>
              <w:t>Notes to Unaudited Condensed Consolidated Financial Statements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720" w:type="dxa"/>
            <w:vAlign w:val="bottom"/>
            <w:gridSpan w:val="6"/>
            <w:shd w:val="clear" w:color="auto" w:fill="0563C1"/>
          </w:tcPr>
          <w:p>
            <w:pPr>
              <w:spacing w:after="0" w:line="20" w:lineRule="exact"/>
              <w:rPr>
                <w:sz w:val="1"/>
                <w:szCs w:val="1"/>
                <w:color w:val="auto"/>
              </w:rPr>
            </w:pPr>
          </w:p>
        </w:tc>
        <w:tc>
          <w:tcPr>
            <w:tcW w:w="640" w:type="dxa"/>
            <w:vAlign w:val="bottom"/>
            <w:gridSpan w:val="4"/>
            <w:shd w:val="clear" w:color="auto" w:fill="0563C1"/>
          </w:tcPr>
          <w:p>
            <w:pPr>
              <w:spacing w:after="0" w:line="20" w:lineRule="exact"/>
              <w:rPr>
                <w:sz w:val="1"/>
                <w:szCs w:val="1"/>
                <w:color w:val="auto"/>
              </w:rPr>
            </w:pPr>
          </w:p>
        </w:tc>
        <w:tc>
          <w:tcPr>
            <w:tcW w:w="3960" w:type="dxa"/>
            <w:vAlign w:val="bottom"/>
            <w:gridSpan w:val="2"/>
            <w:vMerge w:val="restart"/>
          </w:tcPr>
          <w:p>
            <w:pPr>
              <w:spacing w:after="0" w:line="202" w:lineRule="exact"/>
              <w:rPr>
                <w:sz w:val="20"/>
                <w:szCs w:val="20"/>
                <w:color w:val="auto"/>
              </w:rPr>
            </w:pPr>
            <w:r>
              <w:rPr>
                <w:rFonts w:ascii="Arial" w:cs="Arial" w:eastAsia="Arial" w:hAnsi="Arial"/>
                <w:sz w:val="18"/>
                <w:szCs w:val="18"/>
                <w:color w:val="0563C1"/>
              </w:rPr>
              <w:t>Results of Operations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5340" w:type="dxa"/>
            <w:vAlign w:val="bottom"/>
            <w:gridSpan w:val="15"/>
          </w:tcPr>
          <w:p>
            <w:pPr>
              <w:spacing w:after="0" w:line="182" w:lineRule="exact"/>
              <w:rPr>
                <w:sz w:val="20"/>
                <w:szCs w:val="20"/>
                <w:color w:val="auto"/>
              </w:rPr>
            </w:pPr>
            <w:r>
              <w:rPr>
                <w:rFonts w:ascii="Arial" w:cs="Arial" w:eastAsia="Arial" w:hAnsi="Arial"/>
                <w:sz w:val="18"/>
                <w:szCs w:val="18"/>
                <w:color w:val="0563C1"/>
              </w:rPr>
              <w:t>Management’s Discussion and Analysis of Financial Condition and</w:t>
            </w:r>
          </w:p>
        </w:tc>
        <w:tc>
          <w:tcPr>
            <w:tcW w:w="396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720" w:type="dxa"/>
            <w:vAlign w:val="bottom"/>
            <w:gridSpan w:val="6"/>
            <w:shd w:val="clear" w:color="auto" w:fill="0563C1"/>
          </w:tcPr>
          <w:p>
            <w:pPr>
              <w:spacing w:after="0" w:line="20" w:lineRule="exact"/>
              <w:rPr>
                <w:sz w:val="1"/>
                <w:szCs w:val="1"/>
                <w:color w:val="auto"/>
              </w:rPr>
            </w:pPr>
          </w:p>
        </w:tc>
        <w:tc>
          <w:tcPr>
            <w:tcW w:w="2380" w:type="dxa"/>
            <w:vAlign w:val="bottom"/>
            <w:gridSpan w:val="5"/>
            <w:shd w:val="clear" w:color="auto" w:fill="0563C1"/>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7080" w:type="dxa"/>
            <w:vAlign w:val="bottom"/>
            <w:gridSpan w:val="16"/>
          </w:tcPr>
          <w:p>
            <w:pPr>
              <w:spacing w:after="0" w:line="182" w:lineRule="exact"/>
              <w:rPr>
                <w:sz w:val="20"/>
                <w:szCs w:val="20"/>
                <w:color w:val="auto"/>
              </w:rPr>
            </w:pPr>
            <w:r>
              <w:rPr>
                <w:rFonts w:ascii="Arial" w:cs="Arial" w:eastAsia="Arial" w:hAnsi="Arial"/>
                <w:sz w:val="18"/>
                <w:szCs w:val="18"/>
                <w:color w:val="0563C1"/>
              </w:rPr>
              <w:t>Quantitative and Qualitative Disclosures About Market Risk</w:t>
            </w:r>
          </w:p>
        </w:tc>
        <w:tc>
          <w:tcPr>
            <w:tcW w:w="2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720" w:type="dxa"/>
            <w:vAlign w:val="bottom"/>
            <w:gridSpan w:val="6"/>
            <w:shd w:val="clear" w:color="auto" w:fill="0563C1"/>
          </w:tcPr>
          <w:p>
            <w:pPr>
              <w:spacing w:after="0" w:line="20" w:lineRule="exact"/>
              <w:rPr>
                <w:sz w:val="1"/>
                <w:szCs w:val="1"/>
                <w:color w:val="auto"/>
              </w:rPr>
            </w:pPr>
          </w:p>
        </w:tc>
        <w:tc>
          <w:tcPr>
            <w:tcW w:w="460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4700" w:type="dxa"/>
            <w:vAlign w:val="bottom"/>
            <w:gridSpan w:val="11"/>
          </w:tcPr>
          <w:p>
            <w:pPr>
              <w:spacing w:after="0" w:line="182" w:lineRule="exact"/>
              <w:rPr>
                <w:sz w:val="20"/>
                <w:szCs w:val="20"/>
                <w:color w:val="auto"/>
              </w:rPr>
            </w:pPr>
            <w:r>
              <w:rPr>
                <w:rFonts w:ascii="Arial" w:cs="Arial" w:eastAsia="Arial" w:hAnsi="Arial"/>
                <w:sz w:val="18"/>
                <w:szCs w:val="18"/>
                <w:color w:val="0563C1"/>
              </w:rPr>
              <w:t>Controls and Procedures</w:t>
            </w:r>
          </w:p>
        </w:tc>
        <w:tc>
          <w:tcPr>
            <w:tcW w:w="460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b w:val="1"/>
                <w:bCs w:val="1"/>
                <w:color w:val="auto"/>
              </w:rPr>
              <w:t>PART II.</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7320" w:type="dxa"/>
            <w:vAlign w:val="bottom"/>
            <w:gridSpan w:val="12"/>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980" w:type="dxa"/>
            <w:vAlign w:val="bottom"/>
            <w:gridSpan w:val="5"/>
          </w:tcPr>
          <w:p>
            <w:pPr>
              <w:spacing w:after="0" w:line="182" w:lineRule="exact"/>
              <w:rPr>
                <w:sz w:val="20"/>
                <w:szCs w:val="20"/>
                <w:color w:val="auto"/>
              </w:rPr>
            </w:pPr>
            <w:r>
              <w:rPr>
                <w:rFonts w:ascii="Arial" w:cs="Arial" w:eastAsia="Arial" w:hAnsi="Arial"/>
                <w:sz w:val="18"/>
                <w:szCs w:val="18"/>
                <w:color w:val="0563C1"/>
              </w:rPr>
              <w:t>OTHER INFORMATION</w:t>
            </w:r>
          </w:p>
        </w:tc>
        <w:tc>
          <w:tcPr>
            <w:tcW w:w="7320" w:type="dxa"/>
            <w:vAlign w:val="bottom"/>
            <w:gridSpan w:val="12"/>
            <w:vMerge w:val="continue"/>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7360" w:type="dxa"/>
            <w:vAlign w:val="bottom"/>
            <w:gridSpan w:val="13"/>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940" w:type="dxa"/>
            <w:vAlign w:val="bottom"/>
            <w:gridSpan w:val="4"/>
          </w:tcPr>
          <w:p>
            <w:pPr>
              <w:spacing w:after="0" w:line="182" w:lineRule="exact"/>
              <w:rPr>
                <w:sz w:val="20"/>
                <w:szCs w:val="20"/>
                <w:color w:val="auto"/>
              </w:rPr>
            </w:pPr>
            <w:r>
              <w:rPr>
                <w:rFonts w:ascii="Arial" w:cs="Arial" w:eastAsia="Arial" w:hAnsi="Arial"/>
                <w:sz w:val="18"/>
                <w:szCs w:val="18"/>
                <w:color w:val="0563C1"/>
              </w:rPr>
              <w:t>Legal Proceedings</w:t>
            </w:r>
          </w:p>
        </w:tc>
        <w:tc>
          <w:tcPr>
            <w:tcW w:w="7360" w:type="dxa"/>
            <w:vAlign w:val="bottom"/>
            <w:gridSpan w:val="1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1A.</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7820" w:type="dxa"/>
            <w:vAlign w:val="bottom"/>
            <w:gridSpan w:val="14"/>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480" w:type="dxa"/>
            <w:vAlign w:val="bottom"/>
            <w:gridSpan w:val="3"/>
          </w:tcPr>
          <w:p>
            <w:pPr>
              <w:spacing w:after="0" w:line="182" w:lineRule="exact"/>
              <w:rPr>
                <w:sz w:val="20"/>
                <w:szCs w:val="20"/>
                <w:color w:val="auto"/>
              </w:rPr>
            </w:pPr>
            <w:r>
              <w:rPr>
                <w:rFonts w:ascii="Arial" w:cs="Arial" w:eastAsia="Arial" w:hAnsi="Arial"/>
                <w:sz w:val="18"/>
                <w:szCs w:val="18"/>
                <w:color w:val="0563C1"/>
              </w:rPr>
              <w:t>Risk Factors</w:t>
            </w:r>
          </w:p>
        </w:tc>
        <w:tc>
          <w:tcPr>
            <w:tcW w:w="7820" w:type="dxa"/>
            <w:vAlign w:val="bottom"/>
            <w:gridSpan w:val="14"/>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6.</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8300" w:type="dxa"/>
            <w:vAlign w:val="bottom"/>
            <w:gridSpan w:val="1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000" w:type="dxa"/>
            <w:vAlign w:val="bottom"/>
            <w:gridSpan w:val="2"/>
          </w:tcPr>
          <w:p>
            <w:pPr>
              <w:spacing w:after="0" w:line="182" w:lineRule="exact"/>
              <w:rPr>
                <w:sz w:val="20"/>
                <w:szCs w:val="20"/>
                <w:color w:val="auto"/>
              </w:rPr>
            </w:pPr>
            <w:r>
              <w:rPr>
                <w:rFonts w:ascii="Arial" w:cs="Arial" w:eastAsia="Arial" w:hAnsi="Arial"/>
                <w:sz w:val="18"/>
                <w:szCs w:val="18"/>
                <w:color w:val="0563C1"/>
              </w:rPr>
              <w:t>Exhibits</w:t>
            </w:r>
          </w:p>
        </w:tc>
        <w:tc>
          <w:tcPr>
            <w:tcW w:w="8300" w:type="dxa"/>
            <w:vAlign w:val="bottom"/>
            <w:gridSpan w:val="1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gridSpan w:val="2"/>
          </w:tcPr>
          <w:p>
            <w:pPr>
              <w:spacing w:after="0" w:line="182" w:lineRule="exact"/>
              <w:rPr>
                <w:sz w:val="20"/>
                <w:szCs w:val="20"/>
                <w:color w:val="auto"/>
              </w:rPr>
            </w:pPr>
            <w:r>
              <w:rPr>
                <w:rFonts w:ascii="Arial" w:cs="Arial" w:eastAsia="Arial" w:hAnsi="Arial"/>
                <w:sz w:val="18"/>
                <w:szCs w:val="18"/>
                <w:color w:val="0563C1"/>
              </w:rPr>
              <w:t>Signatures</w:t>
            </w:r>
          </w:p>
        </w:tc>
        <w:tc>
          <w:tcPr>
            <w:tcW w:w="620" w:type="dxa"/>
            <w:vAlign w:val="bottom"/>
            <w:tcBorders>
              <w:top w:val="single" w:sz="8" w:color="0563C1"/>
            </w:tcBorders>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860" w:type="dxa"/>
            <w:vAlign w:val="bottom"/>
            <w:shd w:val="clear" w:color="auto" w:fill="0563C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58"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future financial or operating performance and include all statements that are not historical facts such as information concerning the strategic alternatives considered by our Board of Directors, including the decisions taken thereto and alternatives for the use of our cash or cash equivalents, our possible or assumed future results of operations and expenses, management strategies and plans, competitive position, business environment, potential growth strategies and opportunities and our continued listing on Nasdaq. In some cases, forward-looking statements can be identified by use of terms such as “anticipates,” “assumption,” “believes,” “continue,” “could,” “estimates,” “expects,” “foresees,” “forecasts,” “intends,” “goals,” judgment,” “may,” “might,” “outlook,” “plans,” “potential,” “predicts,” “projects,” “seeks,” “should,” “targets,” “will,” “would” or similar expressions and the negatives of those terms.</w:t>
      </w:r>
    </w:p>
    <w:p>
      <w:pPr>
        <w:spacing w:after="0" w:line="12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Those risks include those described in Part II, Item 1A. “Risk Factors” in this Quarterly Report on Form 10-Q, as well as in our condensed consolidated financial statements, related notes, and the other information appearing elsewhere in this Quarterly Report on Form 10-Q, our Annual Report on Form 10-K for the year ended December 31, 2024 filed with the Securities and Exchange Commission (the “SEC”) on March 12, 2025, as amended by Amendment No. 1 to Annual Report on Form 10-K/A which was filed with the SEC on April 17, 2025, and our other filings with the SEC. The inclusion of forward-looking information should not be regarded as a representation by us, our management or any other person that the future plans, estimates, or expectations contemplated by us will be achieved. Given these uncertainties, you should not place undue reliance on any forward-looking statements in this Quarterly Report on Form 10-Q.</w:t>
      </w:r>
    </w:p>
    <w:p>
      <w:pPr>
        <w:spacing w:after="0" w:line="12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including, but not limited to, statements regarding the strategic alternatives considered by our Board of Directors, including the decisions taken thereto; future financial performance; our future liquidity and operating expenditures; financial condition and results of operations; competitive changes in the marketplace; the outcome of ongoing litigation; our expected tax rate; the effect of changes in or the application of new or revised tax laws; the effect of new accounting pronouncements; and other characterizations of future events or circumstances. These statements are based on information available to us as of the date of this Quarterly Report on Form 10-Q.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9"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25"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with the SEC as exhibits to this Quarterly Report on Form 10-Q with the understanding that our actual future results, levels of activity, performance, and events and circumstances may be materially different from what we expect.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 in millions, shares in thousands, except par value)</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0" w:type="dxa"/>
            <w:vAlign w:val="bottom"/>
          </w:tcPr>
          <w:p>
            <w:pPr>
              <w:spacing w:after="0"/>
              <w:rPr>
                <w:sz w:val="16"/>
                <w:szCs w:val="16"/>
                <w:color w:val="auto"/>
              </w:rPr>
            </w:pPr>
          </w:p>
        </w:tc>
        <w:tc>
          <w:tcPr>
            <w:tcW w:w="2040" w:type="dxa"/>
            <w:vAlign w:val="bottom"/>
          </w:tcPr>
          <w:p>
            <w:pPr>
              <w:jc w:val="right"/>
              <w:ind w:right="59"/>
              <w:spacing w:after="0"/>
              <w:rPr>
                <w:sz w:val="20"/>
                <w:szCs w:val="20"/>
                <w:color w:val="auto"/>
              </w:rPr>
            </w:pPr>
            <w:r>
              <w:rPr>
                <w:rFonts w:ascii="Arial" w:cs="Arial" w:eastAsia="Arial" w:hAnsi="Arial"/>
                <w:sz w:val="16"/>
                <w:szCs w:val="16"/>
                <w:b w:val="1"/>
                <w:bCs w:val="1"/>
                <w:color w:val="auto"/>
              </w:rPr>
              <w:t>As of March 31,</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0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03"/>
        </w:trPr>
        <w:tc>
          <w:tcPr>
            <w:tcW w:w="5400" w:type="dxa"/>
            <w:vAlign w:val="bottom"/>
          </w:tcPr>
          <w:p>
            <w:pPr>
              <w:spacing w:after="0"/>
              <w:rPr>
                <w:sz w:val="17"/>
                <w:szCs w:val="17"/>
                <w:color w:val="auto"/>
              </w:rPr>
            </w:pPr>
          </w:p>
        </w:tc>
        <w:tc>
          <w:tcPr>
            <w:tcW w:w="2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4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Assets</w:t>
            </w:r>
          </w:p>
        </w:tc>
        <w:tc>
          <w:tcPr>
            <w:tcW w:w="20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tcPr>
          <w:p>
            <w:pPr>
              <w:spacing w:after="0"/>
              <w:rPr>
                <w:sz w:val="20"/>
                <w:szCs w:val="20"/>
                <w:color w:val="auto"/>
              </w:rPr>
            </w:pPr>
            <w:r>
              <w:rPr>
                <w:rFonts w:ascii="Arial" w:cs="Arial" w:eastAsia="Arial" w:hAnsi="Arial"/>
                <w:sz w:val="16"/>
                <w:szCs w:val="16"/>
                <w:color w:val="auto"/>
              </w:rPr>
              <w:t>Current assets:</w:t>
            </w:r>
          </w:p>
        </w:tc>
        <w:tc>
          <w:tcPr>
            <w:tcW w:w="2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Cash and cash equivalents</w:t>
            </w:r>
          </w:p>
        </w:tc>
        <w:tc>
          <w:tcPr>
            <w:tcW w:w="2040" w:type="dxa"/>
            <w:vAlign w:val="bottom"/>
            <w:shd w:val="clear" w:color="auto" w:fill="CFF0FC"/>
          </w:tcPr>
          <w:p>
            <w:pPr>
              <w:jc w:val="right"/>
              <w:ind w:right="185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22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184"/>
              <w:spacing w:after="0"/>
              <w:rPr>
                <w:sz w:val="20"/>
                <w:szCs w:val="20"/>
                <w:color w:val="auto"/>
              </w:rPr>
            </w:pPr>
            <w:r>
              <w:rPr>
                <w:rFonts w:ascii="Arial" w:cs="Arial" w:eastAsia="Arial" w:hAnsi="Arial"/>
                <w:sz w:val="16"/>
                <w:szCs w:val="16"/>
                <w:color w:val="auto"/>
              </w:rPr>
              <w:t>$</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100"/>
              <w:spacing w:after="0"/>
              <w:rPr>
                <w:sz w:val="20"/>
                <w:szCs w:val="20"/>
                <w:color w:val="auto"/>
              </w:rPr>
            </w:pPr>
            <w:r>
              <w:rPr>
                <w:rFonts w:ascii="Arial" w:cs="Arial" w:eastAsia="Arial" w:hAnsi="Arial"/>
                <w:sz w:val="16"/>
                <w:szCs w:val="16"/>
                <w:color w:val="auto"/>
              </w:rPr>
              <w:t>Marketable securities</w:t>
            </w:r>
          </w:p>
        </w:tc>
        <w:tc>
          <w:tcPr>
            <w:tcW w:w="20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204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2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00" w:type="dxa"/>
            <w:vAlign w:val="bottom"/>
            <w:tcBorders>
              <w:bottom w:val="single" w:sz="8" w:color="CFF0FC"/>
            </w:tcBorders>
          </w:tcPr>
          <w:p>
            <w:pPr>
              <w:ind w:left="200"/>
              <w:spacing w:after="0" w:line="183" w:lineRule="exact"/>
              <w:rPr>
                <w:sz w:val="20"/>
                <w:szCs w:val="20"/>
                <w:color w:val="auto"/>
              </w:rPr>
            </w:pPr>
            <w:r>
              <w:rPr>
                <w:rFonts w:ascii="Arial" w:cs="Arial" w:eastAsia="Arial" w:hAnsi="Arial"/>
                <w:sz w:val="16"/>
                <w:szCs w:val="16"/>
                <w:color w:val="auto"/>
              </w:rPr>
              <w:t>Total current assets</w:t>
            </w:r>
          </w:p>
        </w:tc>
        <w:tc>
          <w:tcPr>
            <w:tcW w:w="20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223</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156</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 assets</w:t>
            </w:r>
          </w:p>
        </w:tc>
        <w:tc>
          <w:tcPr>
            <w:tcW w:w="2040" w:type="dxa"/>
            <w:vAlign w:val="bottom"/>
            <w:tcBorders>
              <w:bottom w:val="single" w:sz="8" w:color="auto"/>
            </w:tcBorders>
            <w:shd w:val="clear" w:color="auto" w:fill="CFF0FC"/>
          </w:tcPr>
          <w:p>
            <w:pPr>
              <w:jc w:val="right"/>
              <w:ind w:right="1859"/>
              <w:spacing w:after="0" w:line="183" w:lineRule="exact"/>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223</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24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400" w:type="dxa"/>
            <w:vAlign w:val="bottom"/>
          </w:tcPr>
          <w:p>
            <w:pPr>
              <w:spacing w:after="0" w:line="155" w:lineRule="exact"/>
              <w:rPr>
                <w:sz w:val="20"/>
                <w:szCs w:val="20"/>
                <w:color w:val="auto"/>
              </w:rPr>
            </w:pPr>
            <w:r>
              <w:rPr>
                <w:rFonts w:ascii="Arial" w:cs="Arial" w:eastAsia="Arial" w:hAnsi="Arial"/>
                <w:sz w:val="16"/>
                <w:szCs w:val="16"/>
                <w:b w:val="1"/>
                <w:bCs w:val="1"/>
                <w:color w:val="auto"/>
              </w:rPr>
              <w:t>Liabilities, Redeemable Non-controlling Interest, and</w:t>
            </w:r>
          </w:p>
        </w:tc>
        <w:tc>
          <w:tcPr>
            <w:tcW w:w="2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2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20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2040" w:type="dxa"/>
            <w:vAlign w:val="bottom"/>
          </w:tcPr>
          <w:p>
            <w:pPr>
              <w:jc w:val="right"/>
              <w:ind w:right="18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6"/>
                <w:szCs w:val="16"/>
                <w:color w:val="auto"/>
              </w:rPr>
            </w:pPr>
          </w:p>
        </w:tc>
        <w:tc>
          <w:tcPr>
            <w:tcW w:w="50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2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4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Accrued liabilities</w:t>
            </w:r>
          </w:p>
        </w:tc>
        <w:tc>
          <w:tcPr>
            <w:tcW w:w="204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2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00" w:type="dxa"/>
            <w:vAlign w:val="bottom"/>
            <w:tcBorders>
              <w:bottom w:val="single" w:sz="8" w:color="CFF0FC"/>
            </w:tcBorders>
          </w:tcPr>
          <w:p>
            <w:pPr>
              <w:ind w:left="200"/>
              <w:spacing w:after="0" w:line="183" w:lineRule="exact"/>
              <w:rPr>
                <w:sz w:val="20"/>
                <w:szCs w:val="20"/>
                <w:color w:val="auto"/>
              </w:rPr>
            </w:pPr>
            <w:r>
              <w:rPr>
                <w:rFonts w:ascii="Arial" w:cs="Arial" w:eastAsia="Arial" w:hAnsi="Arial"/>
                <w:sz w:val="16"/>
                <w:szCs w:val="16"/>
                <w:color w:val="auto"/>
              </w:rPr>
              <w:t>Total current liabilities</w:t>
            </w:r>
          </w:p>
        </w:tc>
        <w:tc>
          <w:tcPr>
            <w:tcW w:w="20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 liabilities</w:t>
            </w:r>
          </w:p>
        </w:tc>
        <w:tc>
          <w:tcPr>
            <w:tcW w:w="20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24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tcPr>
          <w:p>
            <w:pPr>
              <w:spacing w:after="0" w:line="183" w:lineRule="exact"/>
              <w:rPr>
                <w:sz w:val="20"/>
                <w:szCs w:val="20"/>
                <w:color w:val="auto"/>
              </w:rPr>
            </w:pPr>
            <w:r>
              <w:rPr>
                <w:rFonts w:ascii="Arial" w:cs="Arial" w:eastAsia="Arial" w:hAnsi="Arial"/>
                <w:sz w:val="16"/>
                <w:szCs w:val="16"/>
                <w:color w:val="auto"/>
              </w:rPr>
              <w:t>Commitments and contingencies (Note 5)</w:t>
            </w:r>
          </w:p>
        </w:tc>
        <w:tc>
          <w:tcPr>
            <w:tcW w:w="2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Redeemable non-controlling interest (Note 6)</w:t>
            </w:r>
          </w:p>
        </w:tc>
        <w:tc>
          <w:tcPr>
            <w:tcW w:w="20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40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color w:val="auto"/>
              </w:rPr>
              <w:t>Stockholders’ equity:</w:t>
            </w:r>
          </w:p>
        </w:tc>
        <w:tc>
          <w:tcPr>
            <w:tcW w:w="20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4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shd w:val="clear" w:color="auto" w:fill="CFF0FC"/>
          </w:tcPr>
          <w:p>
            <w:pPr>
              <w:ind w:left="100"/>
              <w:spacing w:after="0" w:line="175" w:lineRule="exact"/>
              <w:rPr>
                <w:sz w:val="20"/>
                <w:szCs w:val="20"/>
                <w:color w:val="auto"/>
              </w:rPr>
            </w:pPr>
            <w:r>
              <w:rPr>
                <w:rFonts w:ascii="Arial" w:cs="Arial" w:eastAsia="Arial" w:hAnsi="Arial"/>
                <w:sz w:val="16"/>
                <w:szCs w:val="16"/>
                <w:color w:val="auto"/>
              </w:rPr>
              <w:t>Preferred stock, $0.0001 par value: 100,000 shares authorized as of</w:t>
            </w:r>
          </w:p>
        </w:tc>
        <w:tc>
          <w:tcPr>
            <w:tcW w:w="20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March 31, 2025 and December 31, 2024; No shares issued and</w:t>
            </w:r>
          </w:p>
        </w:tc>
        <w:tc>
          <w:tcPr>
            <w:tcW w:w="20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outstanding as of March 31, 2025 and December 31, 2024</w:t>
            </w:r>
          </w:p>
        </w:tc>
        <w:tc>
          <w:tcPr>
            <w:tcW w:w="20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5400" w:type="dxa"/>
            <w:vAlign w:val="bottom"/>
          </w:tcPr>
          <w:p>
            <w:pPr>
              <w:ind w:left="100"/>
              <w:spacing w:after="0" w:line="175" w:lineRule="exact"/>
              <w:rPr>
                <w:sz w:val="20"/>
                <w:szCs w:val="20"/>
                <w:color w:val="auto"/>
              </w:rPr>
            </w:pPr>
            <w:r>
              <w:rPr>
                <w:rFonts w:ascii="Arial" w:cs="Arial" w:eastAsia="Arial" w:hAnsi="Arial"/>
                <w:sz w:val="16"/>
                <w:szCs w:val="16"/>
                <w:color w:val="auto"/>
              </w:rPr>
              <w:t>Common stock, $0.0001 par value: 3,000,000 shares authorized as of</w:t>
            </w:r>
          </w:p>
        </w:tc>
        <w:tc>
          <w:tcPr>
            <w:tcW w:w="2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100"/>
              <w:spacing w:after="0"/>
              <w:rPr>
                <w:sz w:val="20"/>
                <w:szCs w:val="20"/>
                <w:color w:val="auto"/>
              </w:rPr>
            </w:pPr>
            <w:r>
              <w:rPr>
                <w:rFonts w:ascii="Arial" w:cs="Arial" w:eastAsia="Arial" w:hAnsi="Arial"/>
                <w:sz w:val="16"/>
                <w:szCs w:val="16"/>
                <w:color w:val="auto"/>
              </w:rPr>
              <w:t>March 31, 2025 and December 31, 2024; 26,314 and 26,299 shares</w:t>
            </w:r>
          </w:p>
        </w:tc>
        <w:tc>
          <w:tcPr>
            <w:tcW w:w="2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100"/>
              <w:spacing w:after="0"/>
              <w:rPr>
                <w:sz w:val="20"/>
                <w:szCs w:val="20"/>
                <w:color w:val="auto"/>
              </w:rPr>
            </w:pPr>
            <w:r>
              <w:rPr>
                <w:rFonts w:ascii="Arial" w:cs="Arial" w:eastAsia="Arial" w:hAnsi="Arial"/>
                <w:sz w:val="16"/>
                <w:szCs w:val="16"/>
                <w:color w:val="auto"/>
              </w:rPr>
              <w:t>issued and outstanding as of March 31, 2025 and December 31,</w:t>
            </w:r>
          </w:p>
        </w:tc>
        <w:tc>
          <w:tcPr>
            <w:tcW w:w="2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100"/>
              <w:spacing w:after="0"/>
              <w:rPr>
                <w:sz w:val="20"/>
                <w:szCs w:val="20"/>
                <w:color w:val="auto"/>
              </w:rPr>
            </w:pPr>
            <w:r>
              <w:rPr>
                <w:rFonts w:ascii="Arial" w:cs="Arial" w:eastAsia="Arial" w:hAnsi="Arial"/>
                <w:sz w:val="16"/>
                <w:szCs w:val="16"/>
                <w:color w:val="auto"/>
              </w:rPr>
              <w:t>2024, respectively</w:t>
            </w:r>
          </w:p>
        </w:tc>
        <w:tc>
          <w:tcPr>
            <w:tcW w:w="20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4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Additional paid-in capital</w:t>
            </w:r>
          </w:p>
        </w:tc>
        <w:tc>
          <w:tcPr>
            <w:tcW w:w="20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3,479</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100"/>
              <w:spacing w:after="0"/>
              <w:rPr>
                <w:sz w:val="20"/>
                <w:szCs w:val="20"/>
                <w:color w:val="auto"/>
              </w:rPr>
            </w:pPr>
            <w:r>
              <w:rPr>
                <w:rFonts w:ascii="Arial" w:cs="Arial" w:eastAsia="Arial" w:hAnsi="Arial"/>
                <w:sz w:val="16"/>
                <w:szCs w:val="16"/>
                <w:color w:val="auto"/>
              </w:rPr>
              <w:t>Accumulated deficit</w:t>
            </w:r>
          </w:p>
        </w:tc>
        <w:tc>
          <w:tcPr>
            <w:tcW w:w="20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(3,334)</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00" w:type="dxa"/>
            <w:vAlign w:val="bottom"/>
            <w:gridSpan w:val="2"/>
          </w:tcPr>
          <w:p>
            <w:pPr>
              <w:jc w:val="right"/>
              <w:ind w:right="60"/>
              <w:spacing w:after="0"/>
              <w:rPr>
                <w:sz w:val="20"/>
                <w:szCs w:val="20"/>
                <w:color w:val="auto"/>
              </w:rPr>
            </w:pPr>
            <w:r>
              <w:rPr>
                <w:rFonts w:ascii="Arial" w:cs="Arial" w:eastAsia="Arial" w:hAnsi="Arial"/>
                <w:sz w:val="16"/>
                <w:szCs w:val="16"/>
                <w:color w:val="auto"/>
              </w:rPr>
              <w:t>(3,330)</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 stockholders’ equity</w:t>
            </w:r>
          </w:p>
        </w:tc>
        <w:tc>
          <w:tcPr>
            <w:tcW w:w="2040" w:type="dxa"/>
            <w:vAlign w:val="bottom"/>
            <w:tcBorders>
              <w:top w:val="single" w:sz="8" w:color="auto"/>
              <w:bottom w:val="single" w:sz="8" w:color="auto"/>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145</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24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400" w:type="dxa"/>
            <w:vAlign w:val="bottom"/>
          </w:tcPr>
          <w:p>
            <w:pPr>
              <w:spacing w:after="0" w:line="168" w:lineRule="exact"/>
              <w:rPr>
                <w:sz w:val="20"/>
                <w:szCs w:val="20"/>
                <w:color w:val="auto"/>
              </w:rPr>
            </w:pPr>
            <w:r>
              <w:rPr>
                <w:rFonts w:ascii="Arial" w:cs="Arial" w:eastAsia="Arial" w:hAnsi="Arial"/>
                <w:sz w:val="16"/>
                <w:szCs w:val="16"/>
                <w:color w:val="auto"/>
              </w:rPr>
              <w:t>Total liabilities, redeemable non-controlling interest, and stockholders’</w:t>
            </w:r>
          </w:p>
        </w:tc>
        <w:tc>
          <w:tcPr>
            <w:tcW w:w="2040" w:type="dxa"/>
            <w:vAlign w:val="bottom"/>
            <w:vMerge w:val="restart"/>
          </w:tcPr>
          <w:p>
            <w:pPr>
              <w:jc w:val="right"/>
              <w:ind w:right="1859"/>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223</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84"/>
              <w:spacing w:after="0"/>
              <w:rPr>
                <w:sz w:val="20"/>
                <w:szCs w:val="20"/>
                <w:color w:val="auto"/>
              </w:rPr>
            </w:pPr>
            <w:r>
              <w:rPr>
                <w:rFonts w:ascii="Arial" w:cs="Arial" w:eastAsia="Arial" w:hAnsi="Arial"/>
                <w:sz w:val="16"/>
                <w:szCs w:val="16"/>
                <w:color w:val="auto"/>
              </w:rPr>
              <w:t>$</w:t>
            </w:r>
          </w:p>
        </w:tc>
        <w:tc>
          <w:tcPr>
            <w:tcW w:w="2400" w:type="dxa"/>
            <w:vAlign w:val="bottom"/>
            <w:vMerge w:val="restart"/>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400" w:type="dxa"/>
            <w:vAlign w:val="bottom"/>
          </w:tcPr>
          <w:p>
            <w:pPr>
              <w:spacing w:after="0" w:line="143" w:lineRule="exact"/>
              <w:rPr>
                <w:sz w:val="20"/>
                <w:szCs w:val="20"/>
                <w:color w:val="auto"/>
              </w:rPr>
            </w:pPr>
            <w:r>
              <w:rPr>
                <w:rFonts w:ascii="Arial" w:cs="Arial" w:eastAsia="Arial" w:hAnsi="Arial"/>
                <w:sz w:val="16"/>
                <w:szCs w:val="16"/>
                <w:color w:val="auto"/>
              </w:rPr>
              <w:t>equity</w:t>
            </w:r>
          </w:p>
        </w:tc>
        <w:tc>
          <w:tcPr>
            <w:tcW w:w="20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2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-2973705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-2716530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-2700020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-2845435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-2700020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-2091055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5084445</wp:posOffset>
            </wp:positionH>
            <wp:positionV relativeFrom="paragraph">
              <wp:posOffset>-1975485</wp:posOffset>
            </wp:positionV>
            <wp:extent cx="9398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-1975485</wp:posOffset>
            </wp:positionV>
            <wp:extent cx="9398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-1585595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-248285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CONDENSED CONSOLIDATED STATEMENTS OF OPERATIONS</w:t>
      </w:r>
    </w:p>
    <w:p>
      <w:pPr>
        <w:ind w:left="3140"/>
        <w:spacing w:after="0" w:line="234" w:lineRule="auto"/>
        <w:rPr>
          <w:sz w:val="20"/>
          <w:szCs w:val="20"/>
          <w:color w:val="auto"/>
        </w:rPr>
      </w:pPr>
      <w:r>
        <w:rPr>
          <w:rFonts w:ascii="Arial" w:cs="Arial" w:eastAsia="Arial" w:hAnsi="Arial"/>
          <w:sz w:val="18"/>
          <w:szCs w:val="18"/>
          <w:b w:val="1"/>
          <w:bCs w:val="1"/>
          <w:color w:val="auto"/>
        </w:rPr>
        <w:t>($ in millions, shares in thousands, except per share data)</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404"/>
              <w:spacing w:after="0"/>
              <w:rPr>
                <w:sz w:val="20"/>
                <w:szCs w:val="20"/>
                <w:color w:val="auto"/>
              </w:rPr>
            </w:pPr>
            <w:r>
              <w:rPr>
                <w:rFonts w:ascii="Arial" w:cs="Arial" w:eastAsia="Arial" w:hAnsi="Arial"/>
                <w:sz w:val="16"/>
                <w:szCs w:val="16"/>
                <w:b w:val="1"/>
                <w:bCs w:val="1"/>
                <w:color w:val="auto"/>
              </w:rPr>
              <w:t>March 31,</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7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79"/>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1600" w:type="dxa"/>
            <w:vAlign w:val="bottom"/>
            <w:gridSpan w:val="2"/>
            <w:shd w:val="clear" w:color="auto" w:fill="CFF0FC"/>
          </w:tcPr>
          <w:p>
            <w:pPr>
              <w:jc w:val="right"/>
              <w:ind w:right="979"/>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320"/>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5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80" w:type="dxa"/>
            <w:vAlign w:val="bottom"/>
          </w:tcPr>
          <w:p>
            <w:pPr>
              <w:spacing w:after="0"/>
              <w:rPr>
                <w:sz w:val="20"/>
                <w:szCs w:val="20"/>
                <w:color w:val="auto"/>
              </w:rPr>
            </w:pPr>
            <w:r>
              <w:rPr>
                <w:rFonts w:ascii="Arial" w:cs="Arial" w:eastAsia="Arial" w:hAnsi="Arial"/>
                <w:sz w:val="16"/>
                <w:szCs w:val="16"/>
                <w:color w:val="auto"/>
              </w:rPr>
              <w:t>Cost of revenue</w:t>
            </w:r>
          </w:p>
        </w:tc>
        <w:tc>
          <w:tcPr>
            <w:tcW w:w="4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80" w:type="dxa"/>
            <w:vAlign w:val="bottom"/>
            <w:shd w:val="clear" w:color="auto" w:fill="CFF0FC"/>
          </w:tcPr>
          <w:p>
            <w:pPr>
              <w:ind w:left="140"/>
              <w:spacing w:after="0" w:line="183" w:lineRule="exact"/>
              <w:rPr>
                <w:sz w:val="20"/>
                <w:szCs w:val="20"/>
                <w:color w:val="auto"/>
              </w:rPr>
            </w:pPr>
            <w:r>
              <w:rPr>
                <w:rFonts w:ascii="Arial" w:cs="Arial" w:eastAsia="Arial" w:hAnsi="Arial"/>
                <w:sz w:val="16"/>
                <w:szCs w:val="16"/>
                <w:color w:val="auto"/>
              </w:rPr>
              <w:t>Gross profit</w:t>
            </w:r>
          </w:p>
        </w:tc>
        <w:tc>
          <w:tcPr>
            <w:tcW w:w="4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320"/>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8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color w:val="auto"/>
              </w:rPr>
              <w:t>Operating expenses:</w:t>
            </w:r>
          </w:p>
        </w:tc>
        <w:tc>
          <w:tcPr>
            <w:tcW w:w="440" w:type="dxa"/>
            <w:vAlign w:val="bottom"/>
            <w:tcBorders>
              <w:top w:val="single" w:sz="8" w:color="CFF0FC"/>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Sales and marketing</w:t>
            </w:r>
          </w:p>
        </w:tc>
        <w:tc>
          <w:tcPr>
            <w:tcW w:w="4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80" w:type="dxa"/>
            <w:vAlign w:val="bottom"/>
          </w:tcPr>
          <w:p>
            <w:pPr>
              <w:ind w:left="140"/>
              <w:spacing w:after="0"/>
              <w:rPr>
                <w:sz w:val="20"/>
                <w:szCs w:val="20"/>
                <w:color w:val="auto"/>
              </w:rPr>
            </w:pPr>
            <w:r>
              <w:rPr>
                <w:rFonts w:ascii="Arial" w:cs="Arial" w:eastAsia="Arial" w:hAnsi="Arial"/>
                <w:sz w:val="16"/>
                <w:szCs w:val="16"/>
                <w:color w:val="auto"/>
              </w:rPr>
              <w:t>Product development</w:t>
            </w: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General and administrative</w:t>
            </w:r>
          </w:p>
        </w:tc>
        <w:tc>
          <w:tcPr>
            <w:tcW w:w="44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32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80" w:type="dxa"/>
            <w:vAlign w:val="bottom"/>
          </w:tcPr>
          <w:p>
            <w:pPr>
              <w:ind w:left="260"/>
              <w:spacing w:after="0" w:line="183" w:lineRule="exact"/>
              <w:rPr>
                <w:sz w:val="20"/>
                <w:szCs w:val="20"/>
                <w:color w:val="auto"/>
              </w:rPr>
            </w:pPr>
            <w:r>
              <w:rPr>
                <w:rFonts w:ascii="Arial" w:cs="Arial" w:eastAsia="Arial" w:hAnsi="Arial"/>
                <w:sz w:val="16"/>
                <w:szCs w:val="16"/>
                <w:color w:val="auto"/>
              </w:rPr>
              <w:t>Total operating expenses</w:t>
            </w:r>
          </w:p>
        </w:tc>
        <w:tc>
          <w:tcPr>
            <w:tcW w:w="44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w:t>
            </w:r>
          </w:p>
        </w:tc>
        <w:tc>
          <w:tcPr>
            <w:tcW w:w="3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Loss from operations</w:t>
            </w:r>
          </w:p>
        </w:tc>
        <w:tc>
          <w:tcPr>
            <w:tcW w:w="4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(6)</w:t>
            </w:r>
          </w:p>
        </w:tc>
        <w:tc>
          <w:tcPr>
            <w:tcW w:w="6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89"/>
        </w:trPr>
        <w:tc>
          <w:tcPr>
            <w:tcW w:w="6680" w:type="dxa"/>
            <w:vAlign w:val="bottom"/>
          </w:tcPr>
          <w:p>
            <w:pPr>
              <w:spacing w:after="0"/>
              <w:rPr>
                <w:sz w:val="20"/>
                <w:szCs w:val="20"/>
                <w:color w:val="auto"/>
              </w:rPr>
            </w:pPr>
            <w:r>
              <w:rPr>
                <w:rFonts w:ascii="Arial" w:cs="Arial" w:eastAsia="Arial" w:hAnsi="Arial"/>
                <w:sz w:val="16"/>
                <w:szCs w:val="16"/>
                <w:color w:val="auto"/>
              </w:rPr>
              <w:t>Other income, net:</w:t>
            </w: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Interest and other income, net</w:t>
            </w:r>
          </w:p>
        </w:tc>
        <w:tc>
          <w:tcPr>
            <w:tcW w:w="44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80" w:type="dxa"/>
            <w:vAlign w:val="bottom"/>
          </w:tcPr>
          <w:p>
            <w:pPr>
              <w:spacing w:after="0" w:line="183" w:lineRule="exact"/>
              <w:rPr>
                <w:sz w:val="20"/>
                <w:szCs w:val="20"/>
                <w:color w:val="auto"/>
              </w:rPr>
            </w:pPr>
            <w:r>
              <w:rPr>
                <w:rFonts w:ascii="Arial" w:cs="Arial" w:eastAsia="Arial" w:hAnsi="Arial"/>
                <w:sz w:val="16"/>
                <w:szCs w:val="16"/>
                <w:color w:val="auto"/>
              </w:rPr>
              <w:t>Loss before provision for income taxes</w:t>
            </w: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gridSpan w:val="2"/>
          </w:tcPr>
          <w:p>
            <w:pPr>
              <w:jc w:val="right"/>
              <w:ind w:right="260"/>
              <w:spacing w:after="0" w:line="183" w:lineRule="exact"/>
              <w:rPr>
                <w:sz w:val="20"/>
                <w:szCs w:val="20"/>
                <w:color w:val="auto"/>
              </w:rPr>
            </w:pPr>
            <w:r>
              <w:rPr>
                <w:rFonts w:ascii="Arial" w:cs="Arial" w:eastAsia="Arial" w:hAnsi="Arial"/>
                <w:sz w:val="16"/>
                <w:szCs w:val="16"/>
                <w:color w:val="auto"/>
              </w:rPr>
              <w:t>(4)</w:t>
            </w:r>
          </w:p>
        </w:tc>
        <w:tc>
          <w:tcPr>
            <w:tcW w:w="680" w:type="dxa"/>
            <w:vAlign w:val="bottom"/>
          </w:tcPr>
          <w:p>
            <w:pPr>
              <w:spacing w:after="0"/>
              <w:rPr>
                <w:sz w:val="15"/>
                <w:szCs w:val="15"/>
                <w:color w:val="auto"/>
              </w:rPr>
            </w:pPr>
          </w:p>
        </w:tc>
        <w:tc>
          <w:tcPr>
            <w:tcW w:w="12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89"/>
        </w:trPr>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44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80" w:type="dxa"/>
            <w:vAlign w:val="bottom"/>
          </w:tcPr>
          <w:p>
            <w:pPr>
              <w:spacing w:after="0" w:line="183" w:lineRule="exact"/>
              <w:rPr>
                <w:sz w:val="20"/>
                <w:szCs w:val="20"/>
                <w:color w:val="auto"/>
              </w:rPr>
            </w:pPr>
            <w:r>
              <w:rPr>
                <w:rFonts w:ascii="Arial" w:cs="Arial" w:eastAsia="Arial" w:hAnsi="Arial"/>
                <w:sz w:val="16"/>
                <w:szCs w:val="16"/>
                <w:color w:val="auto"/>
              </w:rPr>
              <w:t>Net loss</w:t>
            </w: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gridSpan w:val="2"/>
          </w:tcPr>
          <w:p>
            <w:pPr>
              <w:jc w:val="right"/>
              <w:ind w:right="260"/>
              <w:spacing w:after="0" w:line="183" w:lineRule="exact"/>
              <w:rPr>
                <w:sz w:val="20"/>
                <w:szCs w:val="20"/>
                <w:color w:val="auto"/>
              </w:rPr>
            </w:pPr>
            <w:r>
              <w:rPr>
                <w:rFonts w:ascii="Arial" w:cs="Arial" w:eastAsia="Arial" w:hAnsi="Arial"/>
                <w:sz w:val="16"/>
                <w:szCs w:val="16"/>
                <w:color w:val="auto"/>
              </w:rPr>
              <w:t>(4)</w:t>
            </w:r>
          </w:p>
        </w:tc>
        <w:tc>
          <w:tcPr>
            <w:tcW w:w="680" w:type="dxa"/>
            <w:vAlign w:val="bottom"/>
          </w:tcPr>
          <w:p>
            <w:pPr>
              <w:spacing w:after="0"/>
              <w:rPr>
                <w:sz w:val="15"/>
                <w:szCs w:val="15"/>
                <w:color w:val="auto"/>
              </w:rPr>
            </w:pPr>
          </w:p>
        </w:tc>
        <w:tc>
          <w:tcPr>
            <w:tcW w:w="12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Adjustments attributable to redeemable non-controlling interest (Note 6)</w:t>
            </w:r>
          </w:p>
        </w:tc>
        <w:tc>
          <w:tcPr>
            <w:tcW w:w="4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(3)</w:t>
            </w:r>
          </w:p>
        </w:tc>
        <w:tc>
          <w:tcPr>
            <w:tcW w:w="68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680" w:type="dxa"/>
            <w:vAlign w:val="bottom"/>
          </w:tcPr>
          <w:p>
            <w:pPr>
              <w:spacing w:after="0"/>
              <w:rPr>
                <w:sz w:val="20"/>
                <w:szCs w:val="20"/>
                <w:color w:val="auto"/>
              </w:rPr>
            </w:pPr>
            <w:r>
              <w:rPr>
                <w:rFonts w:ascii="Arial" w:cs="Arial" w:eastAsia="Arial" w:hAnsi="Arial"/>
                <w:sz w:val="16"/>
                <w:szCs w:val="16"/>
                <w:color w:val="auto"/>
              </w:rPr>
              <w:t>Net loss attributable to redeemable non-controlling interest (Note 6)</w:t>
            </w:r>
          </w:p>
        </w:tc>
        <w:tc>
          <w:tcPr>
            <w:tcW w:w="4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loss attributable to common stockholders</w:t>
            </w:r>
          </w:p>
        </w:tc>
        <w:tc>
          <w:tcPr>
            <w:tcW w:w="4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97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(7)</w:t>
            </w:r>
          </w:p>
        </w:tc>
        <w:tc>
          <w:tcPr>
            <w:tcW w:w="680" w:type="dxa"/>
            <w:vAlign w:val="bottom"/>
            <w:shd w:val="clear" w:color="auto" w:fill="CFF0FC"/>
          </w:tcPr>
          <w:p>
            <w:pPr>
              <w:jc w:val="right"/>
              <w:ind w:right="52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80" w:type="dxa"/>
            <w:vAlign w:val="bottom"/>
          </w:tcPr>
          <w:p>
            <w:pPr>
              <w:spacing w:after="0" w:line="170" w:lineRule="exact"/>
              <w:rPr>
                <w:sz w:val="20"/>
                <w:szCs w:val="20"/>
                <w:color w:val="auto"/>
              </w:rPr>
            </w:pPr>
            <w:r>
              <w:rPr>
                <w:rFonts w:ascii="Arial" w:cs="Arial" w:eastAsia="Arial" w:hAnsi="Arial"/>
                <w:sz w:val="16"/>
                <w:szCs w:val="16"/>
                <w:color w:val="auto"/>
              </w:rPr>
              <w:t>Net loss per share attributable to common stockholders, basic and diluted</w:t>
            </w:r>
          </w:p>
        </w:tc>
        <w:tc>
          <w:tcPr>
            <w:tcW w:w="440" w:type="dxa"/>
            <w:vAlign w:val="bottom"/>
          </w:tcPr>
          <w:p>
            <w:pPr>
              <w:spacing w:after="0"/>
              <w:rPr>
                <w:sz w:val="14"/>
                <w:szCs w:val="14"/>
                <w:color w:val="auto"/>
              </w:rPr>
            </w:pPr>
          </w:p>
        </w:tc>
        <w:tc>
          <w:tcPr>
            <w:tcW w:w="1160" w:type="dxa"/>
            <w:vAlign w:val="bottom"/>
          </w:tcPr>
          <w:p>
            <w:pPr>
              <w:jc w:val="right"/>
              <w:ind w:right="979"/>
              <w:spacing w:after="0" w:line="170" w:lineRule="exact"/>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60"/>
              <w:spacing w:after="0" w:line="170" w:lineRule="exact"/>
              <w:rPr>
                <w:sz w:val="20"/>
                <w:szCs w:val="20"/>
                <w:color w:val="auto"/>
              </w:rPr>
            </w:pPr>
            <w:r>
              <w:rPr>
                <w:rFonts w:ascii="Arial" w:cs="Arial" w:eastAsia="Arial" w:hAnsi="Arial"/>
                <w:sz w:val="16"/>
                <w:szCs w:val="16"/>
                <w:color w:val="auto"/>
              </w:rPr>
              <w:t>(0.27)</w:t>
            </w:r>
          </w:p>
        </w:tc>
        <w:tc>
          <w:tcPr>
            <w:tcW w:w="680" w:type="dxa"/>
            <w:vAlign w:val="bottom"/>
          </w:tcPr>
          <w:p>
            <w:pPr>
              <w:jc w:val="right"/>
              <w:ind w:right="524"/>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0"/>
              <w:spacing w:after="0" w:line="170" w:lineRule="exact"/>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80" w:type="dxa"/>
            <w:vAlign w:val="bottom"/>
            <w:shd w:val="clear" w:color="auto" w:fill="CFF0FC"/>
          </w:tcPr>
          <w:p>
            <w:pPr>
              <w:spacing w:after="0" w:line="155" w:lineRule="exact"/>
              <w:rPr>
                <w:sz w:val="20"/>
                <w:szCs w:val="20"/>
                <w:color w:val="auto"/>
              </w:rPr>
            </w:pPr>
            <w:r>
              <w:rPr>
                <w:rFonts w:ascii="Arial" w:cs="Arial" w:eastAsia="Arial" w:hAnsi="Arial"/>
                <w:sz w:val="16"/>
                <w:szCs w:val="16"/>
                <w:color w:val="auto"/>
              </w:rPr>
              <w:t>Weighted-average shares used in computing net loss per share attributable to common</w:t>
            </w:r>
          </w:p>
        </w:tc>
        <w:tc>
          <w:tcPr>
            <w:tcW w:w="4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26,306</w:t>
            </w:r>
          </w:p>
        </w:tc>
        <w:tc>
          <w:tcPr>
            <w:tcW w:w="3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24,315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680" w:type="dxa"/>
            <w:vAlign w:val="bottom"/>
            <w:tcBorders>
              <w:bottom w:val="single" w:sz="8" w:color="CFF0FC"/>
            </w:tcBorders>
            <w:shd w:val="clear" w:color="auto" w:fill="CFF0FC"/>
          </w:tcPr>
          <w:p>
            <w:pPr>
              <w:spacing w:after="0" w:line="143" w:lineRule="exact"/>
              <w:rPr>
                <w:sz w:val="20"/>
                <w:szCs w:val="20"/>
                <w:color w:val="auto"/>
              </w:rPr>
            </w:pPr>
            <w:r>
              <w:rPr>
                <w:rFonts w:ascii="Arial" w:cs="Arial" w:eastAsia="Arial" w:hAnsi="Arial"/>
                <w:sz w:val="16"/>
                <w:szCs w:val="16"/>
                <w:color w:val="auto"/>
              </w:rPr>
              <w:t>stockholders, basic and diluted</w:t>
            </w:r>
          </w:p>
        </w:tc>
        <w:tc>
          <w:tcPr>
            <w:tcW w:w="4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vMerge w:val="continue"/>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-2150745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-1662430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-1165225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-916305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-410845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-393700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COMPREHENSIVE LOSS</w:t>
      </w:r>
    </w:p>
    <w:p>
      <w:pPr>
        <w:ind w:left="5120"/>
        <w:spacing w:after="0" w:line="234" w:lineRule="auto"/>
        <w:rPr>
          <w:sz w:val="20"/>
          <w:szCs w:val="20"/>
          <w:color w:val="auto"/>
        </w:rPr>
      </w:pPr>
      <w:r>
        <w:rPr>
          <w:rFonts w:ascii="Arial" w:cs="Arial" w:eastAsia="Arial" w:hAnsi="Arial"/>
          <w:sz w:val="18"/>
          <w:szCs w:val="18"/>
          <w:b w:val="1"/>
          <w:bCs w:val="1"/>
          <w:color w:val="auto"/>
        </w:rPr>
        <w:t>(in millions)</w:t>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60" w:type="dxa"/>
            <w:vAlign w:val="bottom"/>
            <w:gridSpan w:val="5"/>
          </w:tcPr>
          <w:p>
            <w:pPr>
              <w:jc w:val="right"/>
              <w:ind w:right="37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6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March 31,</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6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7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loss</w:t>
            </w:r>
          </w:p>
        </w:tc>
        <w:tc>
          <w:tcPr>
            <w:tcW w:w="2160" w:type="dxa"/>
            <w:vAlign w:val="bottom"/>
            <w:gridSpan w:val="2"/>
            <w:shd w:val="clear" w:color="auto" w:fill="CFF0FC"/>
          </w:tcPr>
          <w:p>
            <w:pPr>
              <w:jc w:val="right"/>
              <w:ind w:right="959"/>
              <w:spacing w:after="0" w:line="183" w:lineRule="exact"/>
              <w:rPr>
                <w:sz w:val="20"/>
                <w:szCs w:val="20"/>
                <w:color w:val="auto"/>
              </w:rPr>
            </w:pPr>
            <w:r>
              <w:rPr>
                <w:rFonts w:ascii="Arial" w:cs="Arial" w:eastAsia="Arial" w:hAnsi="Arial"/>
                <w:sz w:val="16"/>
                <w:szCs w:val="16"/>
                <w:color w:val="auto"/>
              </w:rPr>
              <w:t>$</w:t>
            </w:r>
          </w:p>
        </w:tc>
        <w:tc>
          <w:tcPr>
            <w:tcW w:w="5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(4)</w:t>
            </w:r>
          </w:p>
        </w:tc>
        <w:tc>
          <w:tcPr>
            <w:tcW w:w="1240" w:type="dxa"/>
            <w:vAlign w:val="bottom"/>
            <w:gridSpan w:val="2"/>
            <w:shd w:val="clear" w:color="auto" w:fill="CFF0FC"/>
          </w:tcPr>
          <w:p>
            <w:pPr>
              <w:jc w:val="right"/>
              <w:ind w:right="959"/>
              <w:spacing w:after="0" w:line="183" w:lineRule="exact"/>
              <w:rPr>
                <w:sz w:val="20"/>
                <w:szCs w:val="20"/>
                <w:color w:val="auto"/>
              </w:rPr>
            </w:pPr>
            <w:r>
              <w:rPr>
                <w:rFonts w:ascii="Arial" w:cs="Arial" w:eastAsia="Arial" w:hAnsi="Arial"/>
                <w:sz w:val="16"/>
                <w:szCs w:val="16"/>
                <w:color w:val="auto"/>
              </w:rPr>
              <w:t>$</w:t>
            </w:r>
          </w:p>
        </w:tc>
        <w:tc>
          <w:tcPr>
            <w:tcW w:w="5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(59)</w:t>
            </w:r>
          </w:p>
        </w:tc>
      </w:tr>
      <w:tr>
        <w:trPr>
          <w:trHeight w:val="189"/>
        </w:trPr>
        <w:tc>
          <w:tcPr>
            <w:tcW w:w="672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7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Unrealized holding losses on derivatives and marketable securities, net of tax</w:t>
            </w:r>
          </w:p>
        </w:tc>
        <w:tc>
          <w:tcPr>
            <w:tcW w:w="10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r>
      <w:tr>
        <w:trPr>
          <w:trHeight w:val="189"/>
        </w:trPr>
        <w:tc>
          <w:tcPr>
            <w:tcW w:w="672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r>
      <w:tr>
        <w:trPr>
          <w:trHeight w:val="20"/>
        </w:trPr>
        <w:tc>
          <w:tcPr>
            <w:tcW w:w="6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720" w:type="dxa"/>
            <w:vAlign w:val="bottom"/>
            <w:shd w:val="clear" w:color="auto" w:fill="CFF0FC"/>
          </w:tcPr>
          <w:p>
            <w:pPr>
              <w:ind w:left="220"/>
              <w:spacing w:after="0" w:line="183" w:lineRule="exact"/>
              <w:rPr>
                <w:sz w:val="20"/>
                <w:szCs w:val="20"/>
                <w:color w:val="auto"/>
              </w:rPr>
            </w:pPr>
            <w:r>
              <w:rPr>
                <w:rFonts w:ascii="Arial" w:cs="Arial" w:eastAsia="Arial" w:hAnsi="Arial"/>
                <w:sz w:val="16"/>
                <w:szCs w:val="16"/>
                <w:color w:val="auto"/>
              </w:rPr>
              <w:t>Other comprehensive loss</w:t>
            </w:r>
          </w:p>
        </w:tc>
        <w:tc>
          <w:tcPr>
            <w:tcW w:w="10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w:t>
            </w:r>
          </w:p>
        </w:tc>
      </w:tr>
      <w:tr>
        <w:trPr>
          <w:trHeight w:val="20"/>
        </w:trPr>
        <w:tc>
          <w:tcPr>
            <w:tcW w:w="67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720" w:type="dxa"/>
            <w:vAlign w:val="bottom"/>
          </w:tcPr>
          <w:p>
            <w:pPr>
              <w:spacing w:after="0" w:line="183" w:lineRule="exact"/>
              <w:rPr>
                <w:sz w:val="20"/>
                <w:szCs w:val="20"/>
                <w:color w:val="auto"/>
              </w:rPr>
            </w:pPr>
            <w:r>
              <w:rPr>
                <w:rFonts w:ascii="Arial" w:cs="Arial" w:eastAsia="Arial" w:hAnsi="Arial"/>
                <w:sz w:val="16"/>
                <w:szCs w:val="16"/>
                <w:color w:val="auto"/>
              </w:rPr>
              <w:t>Total comprehensive loss</w:t>
            </w: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(4)</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(61)</w:t>
            </w:r>
          </w:p>
        </w:tc>
      </w:tr>
      <w:tr>
        <w:trPr>
          <w:trHeight w:val="189"/>
        </w:trPr>
        <w:tc>
          <w:tcPr>
            <w:tcW w:w="67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Less: adjustments attributable to redeemable non-controlling interest</w:t>
            </w:r>
          </w:p>
        </w:tc>
        <w:tc>
          <w:tcPr>
            <w:tcW w:w="10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720" w:type="dxa"/>
            <w:vAlign w:val="bottom"/>
          </w:tcPr>
          <w:p>
            <w:pPr>
              <w:ind w:left="140"/>
              <w:spacing w:after="0"/>
              <w:rPr>
                <w:sz w:val="20"/>
                <w:szCs w:val="20"/>
                <w:color w:val="auto"/>
              </w:rPr>
            </w:pPr>
            <w:r>
              <w:rPr>
                <w:rFonts w:ascii="Arial" w:cs="Arial" w:eastAsia="Arial" w:hAnsi="Arial"/>
                <w:sz w:val="16"/>
                <w:szCs w:val="16"/>
                <w:color w:val="auto"/>
              </w:rPr>
              <w:t>Less: comprehensive loss attributable to redeemable non-controlling interest</w:t>
            </w:r>
          </w:p>
        </w:tc>
        <w:tc>
          <w:tcPr>
            <w:tcW w:w="10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203"/>
        </w:trPr>
        <w:tc>
          <w:tcPr>
            <w:tcW w:w="67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Comprehensive loss attributable to common stockholders</w:t>
            </w:r>
          </w:p>
        </w:tc>
        <w:tc>
          <w:tcPr>
            <w:tcW w:w="10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959"/>
              <w:spacing w:after="0" w:line="183" w:lineRule="exact"/>
              <w:rPr>
                <w:sz w:val="20"/>
                <w:szCs w:val="20"/>
                <w:color w:val="auto"/>
              </w:rPr>
            </w:pPr>
            <w:r>
              <w:rPr>
                <w:rFonts w:ascii="Arial" w:cs="Arial" w:eastAsia="Arial" w:hAnsi="Arial"/>
                <w:sz w:val="16"/>
                <w:szCs w:val="16"/>
                <w:color w:val="auto"/>
                <w:w w:val="89"/>
              </w:rPr>
              <w:t>$</w:t>
            </w:r>
          </w:p>
        </w:tc>
        <w:tc>
          <w:tcPr>
            <w:tcW w:w="5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(7)</w:t>
            </w:r>
          </w:p>
        </w:tc>
        <w:tc>
          <w:tcPr>
            <w:tcW w:w="1240" w:type="dxa"/>
            <w:vAlign w:val="bottom"/>
            <w:gridSpan w:val="2"/>
            <w:shd w:val="clear" w:color="auto" w:fill="CFF0FC"/>
          </w:tcPr>
          <w:p>
            <w:pPr>
              <w:jc w:val="right"/>
              <w:ind w:right="959"/>
              <w:spacing w:after="0" w:line="183" w:lineRule="exact"/>
              <w:rPr>
                <w:sz w:val="20"/>
                <w:szCs w:val="20"/>
                <w:color w:val="auto"/>
              </w:rPr>
            </w:pPr>
            <w:r>
              <w:rPr>
                <w:rFonts w:ascii="Arial" w:cs="Arial" w:eastAsia="Arial" w:hAnsi="Arial"/>
                <w:sz w:val="16"/>
                <w:szCs w:val="16"/>
                <w:color w:val="auto"/>
              </w:rPr>
              <w:t>$</w:t>
            </w:r>
          </w:p>
        </w:tc>
        <w:tc>
          <w:tcPr>
            <w:tcW w:w="5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(61)</w:t>
            </w:r>
          </w:p>
        </w:tc>
      </w:tr>
      <w:tr>
        <w:trPr>
          <w:trHeight w:val="20"/>
        </w:trPr>
        <w:tc>
          <w:tcPr>
            <w:tcW w:w="67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-521970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CONTEXTLOGIC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in millions, shares in thousands)</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Three Months Ended March 31, 2025</w:t>
      </w:r>
    </w:p>
    <w:p>
      <w:pPr>
        <w:sectPr>
          <w:pgSz w:w="11900" w:h="16838" w:orient="portrait"/>
          <w:cols w:equalWidth="0" w:num="1">
            <w:col w:w="11180"/>
          </w:cols>
          <w:pgMar w:left="320" w:top="98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Balances as of December 31, 2024</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color w:val="auto"/>
        </w:rPr>
        <w:t>Issuance of common stock upon settlement of restricted</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stock units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Stock-based compensation</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Net loss</w:t>
      </w:r>
    </w:p>
    <w:p>
      <w:pPr>
        <w:spacing w:after="0" w:line="1" w:lineRule="exact"/>
        <w:rPr>
          <w:sz w:val="20"/>
          <w:szCs w:val="20"/>
          <w:color w:val="auto"/>
        </w:rPr>
      </w:pPr>
    </w:p>
    <w:p>
      <w:pPr>
        <w:ind w:left="80"/>
        <w:spacing w:after="0" w:line="261" w:lineRule="auto"/>
        <w:rPr>
          <w:sz w:val="20"/>
          <w:szCs w:val="20"/>
          <w:color w:val="auto"/>
        </w:rPr>
      </w:pPr>
      <w:r>
        <w:rPr>
          <w:rFonts w:ascii="Arial" w:cs="Arial" w:eastAsia="Arial" w:hAnsi="Arial"/>
          <w:sz w:val="14"/>
          <w:szCs w:val="14"/>
          <w:color w:val="auto"/>
        </w:rPr>
        <w:t>Accretion to adjust redemption value of subsidiary's Preferred Units</w:t>
      </w:r>
    </w:p>
    <w:p>
      <w:pPr>
        <w:spacing w:after="0"/>
        <w:rPr>
          <w:sz w:val="20"/>
          <w:szCs w:val="20"/>
          <w:color w:val="auto"/>
        </w:rPr>
      </w:pPr>
      <w:r>
        <w:rPr>
          <w:rFonts w:ascii="Arial" w:cs="Arial" w:eastAsia="Arial" w:hAnsi="Arial"/>
          <w:sz w:val="14"/>
          <w:szCs w:val="14"/>
          <w:color w:val="auto"/>
        </w:rPr>
        <w:t>Balances as of March 31,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1980" w:type="dxa"/>
            <w:vAlign w:val="bottom"/>
            <w:tcBorders>
              <w:top w:val="single" w:sz="8" w:color="auto"/>
              <w:bottom w:val="single" w:sz="8" w:color="auto"/>
            </w:tcBorders>
            <w:gridSpan w:val="4"/>
          </w:tcPr>
          <w:p>
            <w:pPr>
              <w:ind w:left="460"/>
              <w:spacing w:after="0" w:line="155" w:lineRule="exact"/>
              <w:rPr>
                <w:sz w:val="20"/>
                <w:szCs w:val="20"/>
                <w:color w:val="auto"/>
              </w:rPr>
            </w:pPr>
            <w:r>
              <w:rPr>
                <w:rFonts w:ascii="Arial" w:cs="Arial" w:eastAsia="Arial" w:hAnsi="Arial"/>
                <w:sz w:val="14"/>
                <w:szCs w:val="14"/>
                <w:b w:val="1"/>
                <w:bCs w:val="1"/>
                <w:color w:val="auto"/>
              </w:rPr>
              <w:t>Common Stock</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68"/>
              <w:spacing w:after="0" w:line="155" w:lineRule="exact"/>
              <w:rPr>
                <w:sz w:val="20"/>
                <w:szCs w:val="20"/>
                <w:color w:val="auto"/>
              </w:rPr>
            </w:pPr>
            <w:r>
              <w:rPr>
                <w:rFonts w:ascii="Arial" w:cs="Arial" w:eastAsia="Arial" w:hAnsi="Arial"/>
                <w:sz w:val="14"/>
                <w:szCs w:val="14"/>
                <w:b w:val="1"/>
                <w:bCs w:val="1"/>
                <w:color w:val="auto"/>
              </w:rPr>
              <w:t>Accumulated</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6"/>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1320" w:type="dxa"/>
            <w:vAlign w:val="bottom"/>
          </w:tcPr>
          <w:p>
            <w:pPr>
              <w:jc w:val="center"/>
              <w:ind w:right="108"/>
              <w:spacing w:after="0" w:line="147"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Total</w:t>
            </w:r>
          </w:p>
        </w:tc>
      </w:tr>
      <w:tr>
        <w:trPr>
          <w:trHeight w:val="162"/>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320" w:type="dxa"/>
            <w:vAlign w:val="bottom"/>
          </w:tcPr>
          <w:p>
            <w:pPr>
              <w:jc w:val="center"/>
              <w:ind w:right="88"/>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Stockholders'</w:t>
            </w:r>
          </w:p>
        </w:tc>
      </w:tr>
      <w:tr>
        <w:trPr>
          <w:trHeight w:val="171"/>
        </w:trPr>
        <w:tc>
          <w:tcPr>
            <w:tcW w:w="1140" w:type="dxa"/>
            <w:vAlign w:val="bottom"/>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320" w:type="dxa"/>
            <w:vAlign w:val="bottom"/>
          </w:tcPr>
          <w:p>
            <w:pPr>
              <w:jc w:val="center"/>
              <w:ind w:right="68"/>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Equity</w:t>
            </w:r>
          </w:p>
        </w:tc>
      </w:tr>
      <w:tr>
        <w:trPr>
          <w:trHeight w:val="184"/>
        </w:trPr>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26,299</w:t>
            </w:r>
          </w:p>
        </w:tc>
        <w:tc>
          <w:tcPr>
            <w:tcW w:w="1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ind w:left="4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3,481</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tcPr>
          <w:p>
            <w:pPr>
              <w:ind w:left="11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(3,330)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40" w:type="dxa"/>
            <w:vAlign w:val="bottom"/>
          </w:tcPr>
          <w:p>
            <w:pPr>
              <w:spacing w:after="0"/>
              <w:rPr>
                <w:sz w:val="15"/>
                <w:szCs w:val="15"/>
                <w:color w:val="auto"/>
              </w:rPr>
            </w:pPr>
          </w:p>
        </w:tc>
      </w:tr>
      <w:tr>
        <w:trPr>
          <w:trHeight w:val="287"/>
        </w:trPr>
        <w:tc>
          <w:tcPr>
            <w:tcW w:w="114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ind w:left="4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20" w:type="dxa"/>
            <w:vAlign w:val="bottom"/>
          </w:tcPr>
          <w:p>
            <w:pPr>
              <w:ind w:left="11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4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ind w:left="11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r>
      <w:tr>
        <w:trPr>
          <w:trHeight w:val="190"/>
        </w:trPr>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ind w:left="4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20" w:type="dxa"/>
            <w:vAlign w:val="bottom"/>
          </w:tcPr>
          <w:p>
            <w:pPr>
              <w:ind w:left="11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(4)</w:t>
            </w:r>
          </w:p>
        </w:tc>
      </w:tr>
      <w:tr>
        <w:trPr>
          <w:trHeight w:val="292"/>
        </w:trPr>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ind w:left="4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24"/>
                <w:szCs w:val="24"/>
                <w:color w:val="auto"/>
              </w:rPr>
            </w:pPr>
          </w:p>
        </w:tc>
        <w:tc>
          <w:tcPr>
            <w:tcW w:w="1320" w:type="dxa"/>
            <w:vAlign w:val="bottom"/>
          </w:tcPr>
          <w:p>
            <w:pPr>
              <w:ind w:left="116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(3)</w:t>
            </w:r>
          </w:p>
        </w:tc>
      </w:tr>
      <w:tr>
        <w:trPr>
          <w:trHeight w:val="155"/>
        </w:trPr>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26,314</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ind w:left="480"/>
              <w:spacing w:after="0" w:line="15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3,479</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ind w:left="116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(3,334)</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145</w:t>
            </w:r>
          </w:p>
        </w:tc>
        <w:tc>
          <w:tcPr>
            <w:tcW w:w="40" w:type="dxa"/>
            <w:vAlign w:val="bottom"/>
          </w:tcPr>
          <w:p>
            <w:pPr>
              <w:spacing w:after="0"/>
              <w:rPr>
                <w:sz w:val="13"/>
                <w:szCs w:val="13"/>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-848360</wp:posOffset>
            </wp:positionV>
            <wp:extent cx="7132320" cy="102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-539750</wp:posOffset>
            </wp:positionV>
            <wp:extent cx="7132320" cy="102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-334010</wp:posOffset>
            </wp:positionV>
            <wp:extent cx="7132320"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00" w:space="20"/>
            <w:col w:w="7160"/>
          </w:cols>
          <w:pgMar w:left="320" w:top="985" w:right="399" w:bottom="1440" w:gutter="0" w:footer="0" w:header="0"/>
          <w:type w:val="continuous"/>
        </w:sectPr>
      </w:pPr>
    </w:p>
    <w:p>
      <w:pPr>
        <w:spacing w:after="0" w:line="3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jc w:val="right"/>
              <w:ind w:right="49"/>
              <w:spacing w:after="0"/>
              <w:rPr>
                <w:sz w:val="20"/>
                <w:szCs w:val="20"/>
                <w:color w:val="auto"/>
              </w:rPr>
            </w:pPr>
            <w:r>
              <w:rPr>
                <w:rFonts w:ascii="Arial" w:cs="Arial" w:eastAsia="Arial" w:hAnsi="Arial"/>
                <w:sz w:val="14"/>
                <w:szCs w:val="14"/>
                <w:b w:val="1"/>
                <w:bCs w:val="1"/>
                <w:color w:val="auto"/>
              </w:rPr>
              <w:t>Three Months Ended March 31, 2024</w:t>
            </w: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3940" w:type="dxa"/>
            <w:vAlign w:val="bottom"/>
          </w:tcPr>
          <w:p>
            <w:pPr>
              <w:spacing w:after="0"/>
              <w:rPr>
                <w:sz w:val="13"/>
                <w:szCs w:val="13"/>
                <w:color w:val="auto"/>
              </w:rPr>
            </w:pPr>
          </w:p>
        </w:tc>
        <w:tc>
          <w:tcPr>
            <w:tcW w:w="1940" w:type="dxa"/>
            <w:vAlign w:val="bottom"/>
            <w:tcBorders>
              <w:bottom w:val="single" w:sz="8" w:color="auto"/>
            </w:tcBorders>
            <w:gridSpan w:val="5"/>
          </w:tcPr>
          <w:p>
            <w:pPr>
              <w:ind w:left="420"/>
              <w:spacing w:after="0" w:line="155" w:lineRule="exact"/>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6"/>
        </w:trPr>
        <w:tc>
          <w:tcPr>
            <w:tcW w:w="3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Total</w:t>
            </w:r>
          </w:p>
        </w:tc>
      </w:tr>
      <w:tr>
        <w:trPr>
          <w:trHeight w:val="162"/>
        </w:trPr>
        <w:tc>
          <w:tcPr>
            <w:tcW w:w="3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10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Stockholders'</w:t>
            </w:r>
          </w:p>
        </w:tc>
      </w:tr>
      <w:tr>
        <w:trPr>
          <w:trHeight w:val="171"/>
        </w:trPr>
        <w:tc>
          <w:tcPr>
            <w:tcW w:w="3940" w:type="dxa"/>
            <w:vAlign w:val="bottom"/>
          </w:tcPr>
          <w:p>
            <w:pPr>
              <w:spacing w:after="0"/>
              <w:rPr>
                <w:sz w:val="14"/>
                <w:szCs w:val="14"/>
                <w:color w:val="auto"/>
              </w:rPr>
            </w:pPr>
          </w:p>
        </w:tc>
        <w:tc>
          <w:tcPr>
            <w:tcW w:w="11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7"/>
              </w:rPr>
              <w:t>Loss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4"/>
                <w:szCs w:val="14"/>
                <w:color w:val="auto"/>
              </w:rPr>
            </w:pPr>
          </w:p>
        </w:tc>
      </w:tr>
      <w:tr>
        <w:trPr>
          <w:trHeight w:val="155"/>
        </w:trPr>
        <w:tc>
          <w:tcPr>
            <w:tcW w:w="39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Balances as of December 31, 2023</w:t>
            </w: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24,229</w:t>
            </w:r>
          </w:p>
        </w:tc>
        <w:tc>
          <w:tcPr>
            <w:tcW w:w="8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ind w:left="480"/>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3,470</w:t>
            </w:r>
          </w:p>
        </w:tc>
        <w:tc>
          <w:tcPr>
            <w:tcW w:w="8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ind w:right="9"/>
              <w:spacing w:after="0" w:line="155"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(7)</w:t>
            </w:r>
          </w:p>
        </w:tc>
        <w:tc>
          <w:tcPr>
            <w:tcW w:w="200" w:type="dxa"/>
            <w:vAlign w:val="bottom"/>
            <w:gridSpan w:val="2"/>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(3,246)</w:t>
            </w:r>
          </w:p>
        </w:tc>
        <w:tc>
          <w:tcPr>
            <w:tcW w:w="1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217</w:t>
            </w:r>
          </w:p>
        </w:tc>
        <w:tc>
          <w:tcPr>
            <w:tcW w:w="120" w:type="dxa"/>
            <w:vAlign w:val="bottom"/>
            <w:shd w:val="clear" w:color="auto" w:fill="CFF0FC"/>
          </w:tcPr>
          <w:p>
            <w:pPr>
              <w:spacing w:after="0"/>
              <w:rPr>
                <w:sz w:val="13"/>
                <w:szCs w:val="13"/>
                <w:color w:val="auto"/>
              </w:rPr>
            </w:pPr>
          </w:p>
        </w:tc>
      </w:tr>
      <w:tr>
        <w:trPr>
          <w:trHeight w:val="153"/>
        </w:trPr>
        <w:tc>
          <w:tcPr>
            <w:tcW w:w="3940" w:type="dxa"/>
            <w:vAlign w:val="bottom"/>
          </w:tcPr>
          <w:p>
            <w:pPr>
              <w:ind w:left="80"/>
              <w:spacing w:after="0" w:line="153" w:lineRule="exact"/>
              <w:rPr>
                <w:sz w:val="20"/>
                <w:szCs w:val="20"/>
                <w:color w:val="auto"/>
              </w:rPr>
            </w:pPr>
            <w:r>
              <w:rPr>
                <w:rFonts w:ascii="Arial" w:cs="Arial" w:eastAsia="Arial" w:hAnsi="Arial"/>
                <w:sz w:val="14"/>
                <w:szCs w:val="14"/>
                <w:color w:val="auto"/>
              </w:rPr>
              <w:t>Issuance of common stock upon settlement of restricted</w:t>
            </w: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1"/>
        </w:trPr>
        <w:tc>
          <w:tcPr>
            <w:tcW w:w="3940" w:type="dxa"/>
            <w:vAlign w:val="bottom"/>
          </w:tcPr>
          <w:p>
            <w:pPr>
              <w:ind w:left="80"/>
              <w:spacing w:after="0"/>
              <w:rPr>
                <w:sz w:val="20"/>
                <w:szCs w:val="20"/>
                <w:color w:val="auto"/>
              </w:rPr>
            </w:pPr>
            <w:r>
              <w:rPr>
                <w:rFonts w:ascii="Arial" w:cs="Arial" w:eastAsia="Arial" w:hAnsi="Arial"/>
                <w:sz w:val="14"/>
                <w:szCs w:val="14"/>
                <w:color w:val="auto"/>
              </w:rPr>
              <w:t>stock units</w:t>
            </w:r>
          </w:p>
        </w:tc>
        <w:tc>
          <w:tcPr>
            <w:tcW w:w="1100" w:type="dxa"/>
            <w:vAlign w:val="bottom"/>
          </w:tcPr>
          <w:p>
            <w:pPr>
              <w:jc w:val="right"/>
              <w:spacing w:after="0"/>
              <w:rPr>
                <w:sz w:val="20"/>
                <w:szCs w:val="20"/>
                <w:color w:val="auto"/>
              </w:rPr>
            </w:pPr>
            <w:r>
              <w:rPr>
                <w:rFonts w:ascii="Arial" w:cs="Arial" w:eastAsia="Arial" w:hAnsi="Arial"/>
                <w:sz w:val="14"/>
                <w:szCs w:val="14"/>
                <w:color w:val="auto"/>
              </w:rPr>
              <w:t>288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4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3940" w:type="dxa"/>
            <w:vAlign w:val="bottom"/>
            <w:shd w:val="clear" w:color="auto" w:fill="CFF0FC"/>
          </w:tcPr>
          <w:p>
            <w:pPr>
              <w:ind w:left="80"/>
              <w:spacing w:after="0"/>
              <w:rPr>
                <w:sz w:val="20"/>
                <w:szCs w:val="20"/>
                <w:color w:val="auto"/>
              </w:rPr>
            </w:pPr>
            <w:r>
              <w:rPr>
                <w:rFonts w:ascii="Arial" w:cs="Arial" w:eastAsia="Arial" w:hAnsi="Arial"/>
                <w:sz w:val="14"/>
                <w:szCs w:val="14"/>
                <w:color w:val="auto"/>
              </w:rPr>
              <w:t>Shares withheld related to net share settlement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(119)</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ind w:left="4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w:t>
            </w:r>
          </w:p>
        </w:tc>
      </w:tr>
      <w:tr>
        <w:trPr>
          <w:trHeight w:val="162"/>
        </w:trPr>
        <w:tc>
          <w:tcPr>
            <w:tcW w:w="3940" w:type="dxa"/>
            <w:vAlign w:val="bottom"/>
          </w:tcPr>
          <w:p>
            <w:pPr>
              <w:ind w:left="80"/>
              <w:spacing w:after="0"/>
              <w:rPr>
                <w:sz w:val="20"/>
                <w:szCs w:val="20"/>
                <w:color w:val="auto"/>
              </w:rPr>
            </w:pPr>
            <w:r>
              <w:rPr>
                <w:rFonts w:ascii="Arial" w:cs="Arial" w:eastAsia="Arial" w:hAnsi="Arial"/>
                <w:sz w:val="14"/>
                <w:szCs w:val="14"/>
                <w:color w:val="auto"/>
              </w:rPr>
              <w:t>Stock-based compensation</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4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r>
      <w:tr>
        <w:trPr>
          <w:trHeight w:val="162"/>
        </w:trPr>
        <w:tc>
          <w:tcPr>
            <w:tcW w:w="3940" w:type="dxa"/>
            <w:vAlign w:val="bottom"/>
            <w:shd w:val="clear" w:color="auto" w:fill="CFF0FC"/>
          </w:tcPr>
          <w:p>
            <w:pPr>
              <w:ind w:left="80"/>
              <w:spacing w:after="0"/>
              <w:rPr>
                <w:sz w:val="20"/>
                <w:szCs w:val="20"/>
                <w:color w:val="auto"/>
              </w:rPr>
            </w:pPr>
            <w:r>
              <w:rPr>
                <w:rFonts w:ascii="Arial" w:cs="Arial" w:eastAsia="Arial" w:hAnsi="Arial"/>
                <w:sz w:val="14"/>
                <w:szCs w:val="14"/>
                <w:color w:val="auto"/>
              </w:rPr>
              <w:t>Other comprehensive loss, net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ind w:left="4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w:t>
            </w:r>
          </w:p>
        </w:tc>
      </w:tr>
      <w:tr>
        <w:trPr>
          <w:trHeight w:val="162"/>
        </w:trPr>
        <w:tc>
          <w:tcPr>
            <w:tcW w:w="3940" w:type="dxa"/>
            <w:vAlign w:val="bottom"/>
          </w:tcPr>
          <w:p>
            <w:pPr>
              <w:ind w:left="80"/>
              <w:spacing w:after="0"/>
              <w:rPr>
                <w:sz w:val="20"/>
                <w:szCs w:val="20"/>
                <w:color w:val="auto"/>
              </w:rPr>
            </w:pPr>
            <w:r>
              <w:rPr>
                <w:rFonts w:ascii="Arial" w:cs="Arial" w:eastAsia="Arial" w:hAnsi="Arial"/>
                <w:sz w:val="14"/>
                <w:szCs w:val="14"/>
                <w:color w:val="auto"/>
              </w:rPr>
              <w:t>Net loss</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4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(59)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(59)</w:t>
            </w:r>
          </w:p>
        </w:tc>
      </w:tr>
      <w:tr>
        <w:trPr>
          <w:trHeight w:val="155"/>
        </w:trPr>
        <w:tc>
          <w:tcPr>
            <w:tcW w:w="3940" w:type="dxa"/>
            <w:vAlign w:val="bottom"/>
          </w:tcPr>
          <w:p>
            <w:pPr>
              <w:spacing w:after="0" w:line="155" w:lineRule="exact"/>
              <w:rPr>
                <w:sz w:val="20"/>
                <w:szCs w:val="20"/>
                <w:color w:val="auto"/>
              </w:rPr>
            </w:pPr>
            <w:r>
              <w:rPr>
                <w:rFonts w:ascii="Arial" w:cs="Arial" w:eastAsia="Arial" w:hAnsi="Arial"/>
                <w:sz w:val="14"/>
                <w:szCs w:val="14"/>
                <w:color w:val="auto"/>
              </w:rPr>
              <w:t>Balances as of March 31, 2024</w:t>
            </w: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24,398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ind w:left="480"/>
              <w:spacing w:after="0" w:line="142"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3,478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(3,305)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164</w:t>
            </w:r>
          </w:p>
        </w:tc>
        <w:tc>
          <w:tcPr>
            <w:tcW w:w="1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-110490</wp:posOffset>
            </wp:positionV>
            <wp:extent cx="698627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86270" cy="12890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type w:val="continuous"/>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CONTEXTLOGIC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ind w:left="5120"/>
        <w:spacing w:after="0" w:line="234" w:lineRule="auto"/>
        <w:rPr>
          <w:sz w:val="20"/>
          <w:szCs w:val="20"/>
          <w:color w:val="auto"/>
        </w:rPr>
      </w:pPr>
      <w:r>
        <w:rPr>
          <w:rFonts w:ascii="Arial" w:cs="Arial" w:eastAsia="Arial" w:hAnsi="Arial"/>
          <w:sz w:val="18"/>
          <w:szCs w:val="18"/>
          <w:b w:val="1"/>
          <w:bCs w:val="1"/>
          <w:color w:val="auto"/>
        </w:rPr>
        <w:t>(in millions)</w:t>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4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jc w:val="right"/>
              <w:ind w:right="364"/>
              <w:spacing w:after="0"/>
              <w:rPr>
                <w:sz w:val="20"/>
                <w:szCs w:val="20"/>
                <w:color w:val="auto"/>
              </w:rPr>
            </w:pPr>
            <w:r>
              <w:rPr>
                <w:rFonts w:ascii="Arial" w:cs="Arial" w:eastAsia="Arial" w:hAnsi="Arial"/>
                <w:sz w:val="16"/>
                <w:szCs w:val="16"/>
                <w:b w:val="1"/>
                <w:bCs w:val="1"/>
                <w:color w:val="auto"/>
              </w:rPr>
              <w:t>March 31,</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39"/>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Net loss attributable to common stockholders</w:t>
            </w:r>
          </w:p>
        </w:tc>
        <w:tc>
          <w:tcPr>
            <w:tcW w:w="1160" w:type="dxa"/>
            <w:vAlign w:val="bottom"/>
            <w:gridSpan w:val="2"/>
          </w:tcPr>
          <w:p>
            <w:pPr>
              <w:jc w:val="right"/>
              <w:ind w:right="899"/>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6"/>
                <w:szCs w:val="16"/>
                <w:color w:val="auto"/>
              </w:rPr>
            </w:pPr>
          </w:p>
        </w:tc>
        <w:tc>
          <w:tcPr>
            <w:tcW w:w="660" w:type="dxa"/>
            <w:vAlign w:val="bottom"/>
          </w:tcPr>
          <w:p>
            <w:pPr>
              <w:jc w:val="right"/>
              <w:ind w:right="50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89"/>
        </w:trPr>
        <w:tc>
          <w:tcPr>
            <w:tcW w:w="7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 and adjustment attributable to redeemable non-controlling interest</w:t>
            </w:r>
          </w:p>
        </w:tc>
        <w:tc>
          <w:tcPr>
            <w:tcW w:w="10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40" w:type="dxa"/>
            <w:vAlign w:val="bottom"/>
          </w:tcPr>
          <w:p>
            <w:pPr>
              <w:spacing w:after="0" w:line="183" w:lineRule="exact"/>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(4)</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89"/>
        </w:trPr>
        <w:tc>
          <w:tcPr>
            <w:tcW w:w="72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Noncash lease expense</w:t>
            </w: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98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accretion of discounts and premiums on marketable securities</w:t>
            </w: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7240" w:type="dxa"/>
            <w:vAlign w:val="bottom"/>
            <w:shd w:val="clear" w:color="auto" w:fill="CFF0FC"/>
          </w:tcPr>
          <w:p>
            <w:pPr>
              <w:spacing w:after="0"/>
              <w:rPr>
                <w:sz w:val="20"/>
                <w:szCs w:val="20"/>
                <w:color w:val="auto"/>
              </w:rPr>
            </w:pPr>
            <w:r>
              <w:rPr>
                <w:rFonts w:ascii="Arial" w:cs="Arial" w:eastAsia="Arial" w:hAnsi="Arial"/>
                <w:sz w:val="16"/>
                <w:szCs w:val="16"/>
                <w:color w:val="auto"/>
              </w:rPr>
              <w:t>Changes in operating assets and liabilities:</w:t>
            </w: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6"/>
                <w:szCs w:val="16"/>
                <w:color w:val="auto"/>
              </w:rPr>
              <w:t>Funds receivable</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72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Prepaid expenses, other current and noncurrent assets</w:t>
            </w: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98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9"/>
        </w:trPr>
        <w:tc>
          <w:tcPr>
            <w:tcW w:w="72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Merchants payable</w:t>
            </w: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98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6"/>
                <w:szCs w:val="16"/>
                <w:color w:val="auto"/>
              </w:rPr>
              <w:t>Accrued and refund liabilities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9"/>
        </w:trPr>
        <w:tc>
          <w:tcPr>
            <w:tcW w:w="72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Lease liabilities</w:t>
            </w: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98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6"/>
                <w:szCs w:val="16"/>
                <w:color w:val="auto"/>
              </w:rPr>
              <w:t>Other current and noncurrent liabilities</w:t>
            </w: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cash used in operating activities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(5)</w:t>
            </w: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3"/>
        </w:trPr>
        <w:tc>
          <w:tcPr>
            <w:tcW w:w="724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00" w:type="dxa"/>
            <w:vAlign w:val="bottom"/>
            <w:tcBorders>
              <w:top w:val="single" w:sz="8" w:color="CFF0FC"/>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Purchases of marketable securities</w:t>
            </w: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(158)</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6"/>
                <w:szCs w:val="16"/>
                <w:color w:val="auto"/>
              </w:rPr>
              <w:t>Maturities of marketable securities</w:t>
            </w: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cash (used in) provided by investing activities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(75)</w:t>
            </w: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tcBorders>
              <w:top w:val="single" w:sz="8" w:color="CFF0FC"/>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Proceeds from issuance of redeemable convertible Preferred Units, net</w:t>
            </w: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6"/>
                <w:szCs w:val="16"/>
                <w:color w:val="auto"/>
              </w:rPr>
              <w:t>Payment of taxes related to RSU settlement</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72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provided by (used in) financing activities</w:t>
            </w:r>
          </w:p>
        </w:tc>
        <w:tc>
          <w:tcPr>
            <w:tcW w:w="1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72</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7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40" w:type="dxa"/>
            <w:vAlign w:val="bottom"/>
          </w:tcPr>
          <w:p>
            <w:pPr>
              <w:spacing w:after="0" w:line="183" w:lineRule="exact"/>
              <w:rPr>
                <w:sz w:val="20"/>
                <w:szCs w:val="20"/>
                <w:color w:val="auto"/>
              </w:rPr>
            </w:pPr>
            <w:r>
              <w:rPr>
                <w:rFonts w:ascii="Arial" w:cs="Arial" w:eastAsia="Arial" w:hAnsi="Arial"/>
                <w:sz w:val="16"/>
                <w:szCs w:val="16"/>
                <w:color w:val="auto"/>
              </w:rPr>
              <w:t>Foreign currency effects on cash, cash equivalents and restricted cash</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30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(decrease) increase in cash, cash equivalents and restricted cash</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(8)</w:t>
            </w: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Cash, cash equivalents and restricted cash at end of period</w:t>
            </w:r>
          </w:p>
        </w:tc>
        <w:tc>
          <w:tcPr>
            <w:tcW w:w="1160" w:type="dxa"/>
            <w:vAlign w:val="bottom"/>
            <w:gridSpan w:val="2"/>
            <w:shd w:val="clear" w:color="auto" w:fill="CFF0FC"/>
          </w:tcPr>
          <w:p>
            <w:pPr>
              <w:jc w:val="right"/>
              <w:ind w:right="899"/>
              <w:spacing w:after="0" w:line="169" w:lineRule="exact"/>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65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4"/>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7240" w:type="dxa"/>
            <w:vAlign w:val="bottom"/>
            <w:tcBorders>
              <w:top w:val="single" w:sz="8" w:color="CFF0FC"/>
            </w:tcBorders>
          </w:tcPr>
          <w:p>
            <w:pPr>
              <w:spacing w:after="0" w:line="155" w:lineRule="exact"/>
              <w:rPr>
                <w:sz w:val="20"/>
                <w:szCs w:val="20"/>
                <w:color w:val="auto"/>
              </w:rPr>
            </w:pPr>
            <w:r>
              <w:rPr>
                <w:rFonts w:ascii="Arial" w:cs="Arial" w:eastAsia="Arial" w:hAnsi="Arial"/>
                <w:sz w:val="16"/>
                <w:szCs w:val="16"/>
                <w:b w:val="1"/>
                <w:bCs w:val="1"/>
                <w:color w:val="auto"/>
              </w:rPr>
              <w:t>Reconciliation of cash, cash equivalents, and restricted cash to the condensed consolidated</w:t>
            </w:r>
          </w:p>
        </w:tc>
        <w:tc>
          <w:tcPr>
            <w:tcW w:w="100" w:type="dxa"/>
            <w:vAlign w:val="bottom"/>
            <w:tcBorders>
              <w:top w:val="single" w:sz="8" w:color="CFF0FC"/>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240" w:type="dxa"/>
            <w:vAlign w:val="bottom"/>
          </w:tcPr>
          <w:p>
            <w:pPr>
              <w:spacing w:after="0"/>
              <w:rPr>
                <w:sz w:val="20"/>
                <w:szCs w:val="20"/>
                <w:color w:val="auto"/>
              </w:rPr>
            </w:pPr>
            <w:r>
              <w:rPr>
                <w:rFonts w:ascii="Arial" w:cs="Arial" w:eastAsia="Arial" w:hAnsi="Arial"/>
                <w:sz w:val="16"/>
                <w:szCs w:val="16"/>
                <w:b w:val="1"/>
                <w:bCs w:val="1"/>
                <w:color w:val="auto"/>
              </w:rPr>
              <w:t>balance sheets: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24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160" w:type="dxa"/>
            <w:vAlign w:val="bottom"/>
            <w:gridSpan w:val="2"/>
            <w:shd w:val="clear" w:color="auto" w:fill="CFF0FC"/>
          </w:tcPr>
          <w:p>
            <w:pPr>
              <w:jc w:val="right"/>
              <w:ind w:right="899"/>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50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240" w:type="dxa"/>
            <w:vAlign w:val="bottom"/>
          </w:tcPr>
          <w:p>
            <w:pPr>
              <w:spacing w:after="0" w:line="175" w:lineRule="exact"/>
              <w:rPr>
                <w:sz w:val="20"/>
                <w:szCs w:val="20"/>
                <w:color w:val="auto"/>
              </w:rPr>
            </w:pPr>
            <w:r>
              <w:rPr>
                <w:rFonts w:ascii="Arial" w:cs="Arial" w:eastAsia="Arial" w:hAnsi="Arial"/>
                <w:sz w:val="16"/>
                <w:szCs w:val="16"/>
                <w:color w:val="auto"/>
              </w:rPr>
              <w:t>Restricted cash included in prepaid and other current assets in the condensed consolidated</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240" w:type="dxa"/>
            <w:vAlign w:val="bottom"/>
          </w:tcPr>
          <w:p>
            <w:pPr>
              <w:spacing w:after="0"/>
              <w:rPr>
                <w:sz w:val="20"/>
                <w:szCs w:val="20"/>
                <w:color w:val="auto"/>
              </w:rPr>
            </w:pPr>
            <w:r>
              <w:rPr>
                <w:rFonts w:ascii="Arial" w:cs="Arial" w:eastAsia="Arial" w:hAnsi="Arial"/>
                <w:sz w:val="16"/>
                <w:szCs w:val="16"/>
                <w:color w:val="auto"/>
              </w:rPr>
              <w:t>balance sheets</w:t>
            </w: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Total cash, cash equivalents and restricted cash</w:t>
            </w:r>
          </w:p>
        </w:tc>
        <w:tc>
          <w:tcPr>
            <w:tcW w:w="1160" w:type="dxa"/>
            <w:vAlign w:val="bottom"/>
            <w:gridSpan w:val="2"/>
            <w:shd w:val="clear" w:color="auto" w:fill="CFF0FC"/>
          </w:tcPr>
          <w:p>
            <w:pPr>
              <w:jc w:val="right"/>
              <w:ind w:right="899"/>
              <w:spacing w:after="0" w:line="169" w:lineRule="exact"/>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65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4"/>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24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b w:val="1"/>
                <w:bCs w:val="1"/>
                <w:color w:val="auto"/>
              </w:rPr>
              <w:t>Supplemental cash flow disclosures:</w:t>
            </w:r>
          </w:p>
        </w:tc>
        <w:tc>
          <w:tcPr>
            <w:tcW w:w="100" w:type="dxa"/>
            <w:vAlign w:val="bottom"/>
            <w:tcBorders>
              <w:top w:val="single" w:sz="8" w:color="CFF0FC"/>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Cash paid for operating leases</w:t>
            </w:r>
          </w:p>
        </w:tc>
        <w:tc>
          <w:tcPr>
            <w:tcW w:w="1160" w:type="dxa"/>
            <w:vAlign w:val="bottom"/>
            <w:gridSpan w:val="2"/>
            <w:shd w:val="clear" w:color="auto" w:fill="CFF0FC"/>
          </w:tcPr>
          <w:p>
            <w:pPr>
              <w:jc w:val="right"/>
              <w:ind w:right="899"/>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50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Cash paid for income taxes, net of refunds</w:t>
            </w:r>
          </w:p>
        </w:tc>
        <w:tc>
          <w:tcPr>
            <w:tcW w:w="1160" w:type="dxa"/>
            <w:vAlign w:val="bottom"/>
            <w:gridSpan w:val="2"/>
          </w:tcPr>
          <w:p>
            <w:pPr>
              <w:jc w:val="right"/>
              <w:ind w:right="899"/>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50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-4584700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-4584700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-2647315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-2647315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-2150110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-2150110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5753100</wp:posOffset>
            </wp:positionH>
            <wp:positionV relativeFrom="paragraph">
              <wp:posOffset>-1794510</wp:posOffset>
            </wp:positionV>
            <wp:extent cx="93980"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-1794510</wp:posOffset>
            </wp:positionV>
            <wp:extent cx="93980"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-1147445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-1130300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-1147445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-1130300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-401320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-384175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-401320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-384175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CONTEXTLOGIC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BASIS OF PRESENTATION AND SIGNIFICANT ACCOUNTING POLICIES</w:t>
      </w:r>
    </w:p>
    <w:p>
      <w:pPr>
        <w:spacing w:after="0" w:line="158"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ContextLogic Inc. (the "Company", "ContextLogic", "we", “our” or "us") is a publicly traded company currently seeking to develop and grow a de novo business and finance potential future bolt-on acquisitions of assets or businesses that are complementary to its operations. The Company currently does not generate revenue.</w:t>
      </w:r>
    </w:p>
    <w:p>
      <w:pPr>
        <w:spacing w:after="0" w:line="115" w:lineRule="exact"/>
        <w:rPr>
          <w:sz w:val="20"/>
          <w:szCs w:val="20"/>
          <w:color w:val="auto"/>
        </w:rPr>
      </w:pPr>
    </w:p>
    <w:p>
      <w:pPr>
        <w:ind w:left="640" w:right="1460"/>
        <w:spacing w:after="0" w:line="422" w:lineRule="auto"/>
        <w:rPr>
          <w:sz w:val="20"/>
          <w:szCs w:val="20"/>
          <w:color w:val="auto"/>
        </w:rPr>
      </w:pPr>
      <w:r>
        <w:rPr>
          <w:rFonts w:ascii="Arial" w:cs="Arial" w:eastAsia="Arial" w:hAnsi="Arial"/>
          <w:sz w:val="18"/>
          <w:szCs w:val="18"/>
          <w:color w:val="auto"/>
        </w:rPr>
        <w:t xml:space="preserve">The Company was incorporated in the state of Delaware in June 2010 and is headquartered in Oakland, California. </w:t>
      </w:r>
      <w:r>
        <w:rPr>
          <w:rFonts w:ascii="Arial" w:cs="Arial" w:eastAsia="Arial" w:hAnsi="Arial"/>
          <w:sz w:val="18"/>
          <w:szCs w:val="18"/>
          <w:b w:val="1"/>
          <w:bCs w:val="1"/>
          <w:i w:val="1"/>
          <w:iCs w:val="1"/>
          <w:color w:val="auto"/>
        </w:rPr>
        <w:t>Asset Sale</w:t>
      </w:r>
    </w:p>
    <w:p>
      <w:pPr>
        <w:spacing w:after="0" w:line="1"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On April 19, 2024, following the vote by a majority of the outstanding shares of the Company’s common stock and the satisfaction of other customary closing conditions the Company consummated the transaction pursuant to that certain asset purchase agreement (the “Asset Purchase Agreement”) with Qoo10 Inc., a Delaware corporation (“Qoo10 Delaware”), and, for certain specified purposes, Qoo10 Pte. Ltd., a Singapore private limited company and Qoo10 Delaware’s parent company (“Qoo10”), pursuant to which (i) the Company agreed to sell substantially all of its assets to Qoo10 Delaware or an affiliate designated by Qoo10 Delaware (such designated affiliate, the “Buyer”), other than (A) the Company’s net operating losses (“NOLs”) and certain other tax attributes, (B) the Company’s marketable securities and (C) certain of the Company’s cash and cash equivalents, and (ii) Qoo10 agreed to acquire those assets and assume substantially all of the Company’s liabilities as specified in the Asset Purchase Agreement (the “Asset Sale”).</w:t>
      </w:r>
    </w:p>
    <w:p>
      <w:pPr>
        <w:spacing w:after="0" w:line="126"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Prior to the Asset Sale, the Company owned and operated the Wish platform (“Wish”). The Wish platform generated revenue for the Company from the marketplace and logistics services provided to merchants. As a result of the Asset Sale, the Wish platform and all related operating assets were sold to the Buyer. The condensed consolidated financial statements presented in this Quarterly Report on Form 10-Q reflect the Asset Sale as it was completed on April 19, 2024. Accordingly, the condensed consolidated financial statements and the narrative description of the Company’s business, assets, liabilities and risks contained in the related Notes to Unaudited Condensed Consolidated Financial Statements, as well as in the accompanying Management’s Discussion and Analysis of Financial Condition and Results of Operations reflect, where applicable, the pre-Asset Sale operations, the results of the Asset Sale, and the post-Asset Sale activities.</w:t>
      </w:r>
    </w:p>
    <w:p>
      <w:pPr>
        <w:spacing w:after="0" w:line="131"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The net assets associated with the Asset Purchase Agreement met the criteria to be classified as assets held for sale upon approval of the stockholders on April 18, 2024. On April 19, 2024, all outstanding unvested restricted awards for employees and directors were accelerated and fully vested. Following the Asset Sale, substantially all of the Company's employees became employees of the Buyer.</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56"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United States generally accepted accounting principles (“U.S. GAAP”). The condensed consolidated financial statements include the accounts of the Company and its wholly owned subsidiaries along with the ContextLogic Holdings, LLC entity for which the Company is the majority owner. All intercompany balances and transactions have been eliminated in consolidation. The interim condensed consolidated financial statements as of March 31, 2025 and for the three months ended March 31, 2025 and 2024 are unaudited. In the opinion of management, the interim financial data includes all adjustments, consisting only of normal recurring adjustments, necessary to a fair statement of the results for the interim periods. The consolidated balance sheet as of December 31, 2024 is derived from consolidated financial statements audited by BPM LLP, an independent registered public accounting firm, however, it does not include all of the information and footnotes required by U.S. GAAP for complete financial statements. These condensed consolidated financial statements should be read in conjunction with the consolidated financial statements and related notes in the Company’s Annual Report on Form 10-K for the year ended December 31, 2024, which was filed with the SEC on March 12, 2025, as amended by Amendment No. 1 to Annual Report on Form 10-K/A, which was filed with the SEC on April 17, 2025 (as amended, the “2024 Form 10-K”). The results of operations for the interim periods presented are not necessarily indicative of the results to be expected for the year ending December 31, 2025 or for any future interim periods.</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6"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and assumptions that affect the reported amounts of assets and liabilities, disclosures of contingent assets and liabilities at the date of the condensed consolidated financial statements, and the reported amounts of revenue and expenses during the reporting period. These estimates form the basis for judgments the Company makes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9" w:name="page10"/>
    <w:bookmarkEnd w:id="9"/>
    <w:p>
      <w:pPr>
        <w:jc w:val="both"/>
        <w:spacing w:after="0" w:line="271" w:lineRule="auto"/>
        <w:rPr>
          <w:sz w:val="20"/>
          <w:szCs w:val="20"/>
          <w:color w:val="auto"/>
        </w:rPr>
      </w:pPr>
      <w:r>
        <w:rPr>
          <w:rFonts w:ascii="Arial" w:cs="Arial" w:eastAsia="Arial" w:hAnsi="Arial"/>
          <w:sz w:val="18"/>
          <w:szCs w:val="18"/>
          <w:color w:val="auto"/>
        </w:rPr>
        <w:t>about the carrying values of its assets and liabilities that are not readily available from other sources. These estimates include, but are not limited to, fair value of financial instruments, contingent liabilities, and uncertain tax positions.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Redeemable Non-Controlling Interest</w:t>
      </w:r>
    </w:p>
    <w:p>
      <w:pPr>
        <w:spacing w:after="0" w:line="15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Redeemable non-controlling interest represents the shares of the Class A convertible preferred units ("Preferred Units") issued by ContextLogic Holdings, LLC (“Holdings”), a Delaware limited liability company and subsidiary of the Company, to BCP Special Opportunities Fund III Originations LP, a Delaware limited partnership (the “Investor”) who has a 20.8% ownership of Holdings. The Preferred Units are redeemable upon (i) a liquidation, (ii) at the Investor's option upon Holdings failing to complete an acquisition on or prior to the second anniversary of the initial closing on March 6, 2025 ("Initial Closing") or (iii) at Holdings' option on or after the fifth anniversary of an acquisition event. If the interest of the minority investors were to be redeemed under this agreement, the Company would be required to redeem the interest based on a prescribed formula in the amended and restated investment agreement (the “A&amp;R Investment Agreement”). Holdings is required to seek written consent from the Investor prior to the consummation of an acquisition. As such, the redemption of the Preferred Units is outside the control of Holdings and the Company has classified the Preferred Units as mezzanine equity.</w:t>
      </w:r>
    </w:p>
    <w:p>
      <w:pPr>
        <w:spacing w:after="0" w:line="129"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The balance of the redeemable non-controlling interest is reported at the greater of the initial carrying value amount adjusted for the redeemable non-controlling interest's share of earnings or losses or its estimated redemption value. The resulting changes in the estimated redemption amount are recorded with corresponding adjustments against retained earnings or, in the absence of retained earnings, additional paid-in-capital. These interests are presented on the condensed consolidated balance sheet outside of stockholders' equity under the caption "Redeemable non-controlling interest." Refer to Note 6 - Redeemable Non-Controlling Interest for additional information.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56"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Besides the above mentioned policy on the redeemable non-controlling interest, there have been no changes to the Company’s significant accounting policies described in its 2024 Form 10-K that have had a material impact on its condensed consolidated financial statements.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has reviewed recent accounting pronouncements and concluded as follows:</w:t>
      </w:r>
    </w:p>
    <w:p>
      <w:pPr>
        <w:spacing w:after="0" w:line="158"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In November 2024, the Financial Accounting Standards Board ("FASB") issued Accounting Standards Update ("ASU") No. 2024-03, Income Statement—Reporting Comprehensive Income—Expense Disaggregation Disclosures (Subtopic 220-40): Disaggregation of Income Statement Expenses, which requires disclosure of specified information about certain costs and expenses including the amounts of purchase of inventory, employee compensation, depreciation, intangible asset amortization, and depreciation, depletion, and amortization recognized as part of oil- and gas-producing activities, and the total amount of selling expenses and an entity's definition of selling expenses. The amendments in this ASU are effective to all public business entities for fiscal years beginning after December 15, 2026. Early adoption is permitted. The Company is evaluating the impact this amended guidance may have on the footnotes to the consolidated financial statements.</w:t>
      </w:r>
    </w:p>
    <w:p>
      <w:pPr>
        <w:spacing w:after="0" w:line="126"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In November 2024, the FASB issued ASU No. 2024 -04, Debt—Debt with Conversion and Other Options (Subtopic 470-20): Induced Conversions of Convertible Debt Instruments, which clarifies the requirements for determining whether certain settlements of convertible debt instruments should be accounted for as an induced conversion. The amendments in this ASU are effective to entities that settle convertible debt instruments for fiscal years beginning after December 15, 2025. Early adoption is permitted for all entities that have adopted the amendments in ASU No. 2020-06. This amended guidance is not expected to have an impact on the footnotes of the consolidated financial statements.</w:t>
      </w:r>
    </w:p>
    <w:p>
      <w:pPr>
        <w:spacing w:after="0" w:line="125"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In January 2025, the FASB issued ASU No. 2025-01, Income Statement—Reporting Comprehensive Income—Expense Disaggregation Disclosures (Subtopic 220-40): Clarifying the Effective Date, which clarified the effective date of ASU No. 2024-03 to be annual reporting periods beginning after December 15, 2026 and interim periods within the annual reporting periods beginning after December 15, 2027. The amendments in this ASU are effective to all public business entities. Early adoption is permitted. This amended guidance is not expected to have an impact on the footnotes of the consolidated financial statements.</w:t>
      </w:r>
    </w:p>
    <w:p>
      <w:pPr>
        <w:spacing w:after="0" w:line="122"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In March 2025, the FASB issued ASU No. 2025-02, Liabilities (Topic 405)—Amendments to SEC Paragraphs Pursuant to SEC Staff Accounting Bulletin No. 122, which deleted an SEC paragraph originally titled "Accounting for Obligations to Safeguard Crypto Assets an Entity Holds for Its Platform User." This amended guidance is not applicable to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2. DISAGGREGATION OF REVENUE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Following the completion of the Asset Sale, the Company no longer has revenue as it has no marketplace and logistics operations.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Prior to the Asset Sale, the Company generated revenue from marketplace and logistics services provided to its customers.</w:t>
      </w:r>
    </w:p>
    <w:p>
      <w:pPr>
        <w:spacing w:after="0" w:line="158"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Prior to the Asset Sale, revenue was recognized as the Company transferred control of promised goods or services to its customers in an amount that reflects the consideration the Company expected to be entitled to in exchange for those goods or services. The Company considered both the merchant and the user to be customers, depending on the revenue stream. The Company evaluated whether it is appropriate to recognize revenue on a gross or net basis based upon its evaluation of whether the Company obtained control of the specified goods or services by considering if it was primarily responsible for fulfillment of the promise, had inventory risk and had latitude in establishing pricing and selecting suppliers, among other factors. Based on these factors, marketplace revenue was generally recognized on a net basis and logistics revenue was generally recognized on a gross basis. Revenue excluded any amounts collected on behalf of third parties, including indirect taxes.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Marketplace Revenue</w:t>
      </w:r>
    </w:p>
    <w:p>
      <w:pPr>
        <w:spacing w:after="0" w:line="156"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Prior to the Asset Sale, the Company provided a mix of marketplace services to its customers. The Company provided merchants access to its marketplace where merchants displayed and sold their products to users. The Company also provided ProductBoost services to help merchants promote their products within the Company’s marketplace.</w:t>
      </w:r>
    </w:p>
    <w:p>
      <w:pPr>
        <w:spacing w:after="0" w:line="115"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Prior to the Asset Sale, marketplace revenue included commission fees collected in connection with user purchases of the merchants’ products. The commission fees varied depending on factors such as geography, product category, Wish Standards' tier, item value and dynamic pricing. The Company recognized revenue when a user’s order was processed, and the related order information had been made available to the merchant. Commission fees were recognized net of estimated refunds and chargebacks. Marketplace revenue also included ProductBoost revenue generated by increasing exposure for a merchant’s relevant products within the Company's marketplace. The Company recognized ProductBoost revenue based on the number of impressions delivered, or clicks by users.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Logistics Revenue</w:t>
      </w:r>
    </w:p>
    <w:p>
      <w:pPr>
        <w:spacing w:after="0" w:line="156"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Prior to the Asset Sale, the Company’s logistics offering for merchants was designed for direct end-to-end single order shipment from a merchant’s location to the user. Logistics services included transportation and delivery of the merchant’s products to the user. Merchants were required to prepay for logistics services on a per order basis.</w:t>
      </w:r>
    </w:p>
    <w:p>
      <w:pPr>
        <w:spacing w:after="0" w:line="115"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Prior to the Asset Sale, the Company recognized revenue over time as the merchant simultaneously received and consumed the logistics services benefit as the logistics services were performed. The Company used an output method of progress based on days in transit as the Company believed that it best depicted the Company’s progress toward complete satisfaction of the performance obligation.</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disaggregated revenue for the applicable periods: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38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March 31,</w:t>
            </w:r>
          </w:p>
        </w:tc>
        <w:tc>
          <w:tcPr>
            <w:tcW w:w="1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38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2025</w:t>
            </w:r>
          </w:p>
        </w:tc>
        <w:tc>
          <w:tcPr>
            <w:tcW w:w="8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7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38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0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Core marketplace revenue</w:t>
            </w:r>
          </w:p>
        </w:tc>
        <w:tc>
          <w:tcPr>
            <w:tcW w:w="3960" w:type="dxa"/>
            <w:vAlign w:val="bottom"/>
            <w:gridSpan w:val="2"/>
            <w:shd w:val="clear" w:color="auto" w:fill="CFF0FC"/>
          </w:tcPr>
          <w:p>
            <w:pPr>
              <w:jc w:val="right"/>
              <w:ind w:right="119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78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7"/>
                <w:szCs w:val="17"/>
                <w:color w:val="auto"/>
              </w:rPr>
            </w:pP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color w:val="auto"/>
              </w:rPr>
              <w:t>ProductBoost revenue</w:t>
            </w:r>
          </w:p>
        </w:tc>
        <w:tc>
          <w:tcPr>
            <w:tcW w:w="258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60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r>
      <w:tr>
        <w:trPr>
          <w:trHeight w:val="196"/>
        </w:trPr>
        <w:tc>
          <w:tcPr>
            <w:tcW w:w="3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Marketplace revenue</w:t>
            </w:r>
          </w:p>
        </w:tc>
        <w:tc>
          <w:tcPr>
            <w:tcW w:w="25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800" w:type="dxa"/>
            <w:vAlign w:val="bottom"/>
            <w:shd w:val="clear" w:color="auto" w:fill="CFF0FC"/>
          </w:tcPr>
          <w:p>
            <w:pPr>
              <w:ind w:left="60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7"/>
                <w:szCs w:val="17"/>
                <w:color w:val="auto"/>
              </w:rPr>
            </w:pP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color w:val="auto"/>
              </w:rPr>
              <w:t>Logistics revenue</w:t>
            </w:r>
          </w:p>
        </w:tc>
        <w:tc>
          <w:tcPr>
            <w:tcW w:w="258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60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7"/>
                <w:szCs w:val="17"/>
                <w:color w:val="auto"/>
              </w:rPr>
            </w:pPr>
          </w:p>
        </w:tc>
      </w:tr>
      <w:tr>
        <w:trPr>
          <w:trHeight w:val="236"/>
        </w:trPr>
        <w:tc>
          <w:tcPr>
            <w:tcW w:w="386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Revenue</w:t>
            </w:r>
          </w:p>
        </w:tc>
        <w:tc>
          <w:tcPr>
            <w:tcW w:w="3960" w:type="dxa"/>
            <w:vAlign w:val="bottom"/>
            <w:gridSpan w:val="2"/>
            <w:shd w:val="clear" w:color="auto" w:fill="CFF0FC"/>
          </w:tcPr>
          <w:p>
            <w:pPr>
              <w:jc w:val="right"/>
              <w:ind w:right="119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60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78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20"/>
                <w:szCs w:val="20"/>
                <w:color w:val="auto"/>
              </w:rPr>
            </w:pPr>
          </w:p>
        </w:tc>
      </w:tr>
      <w:tr>
        <w:trPr>
          <w:trHeight w:val="795"/>
        </w:trPr>
        <w:tc>
          <w:tcPr>
            <w:tcW w:w="3860" w:type="dxa"/>
            <w:vAlign w:val="bottom"/>
            <w:tcBorders>
              <w:top w:val="single" w:sz="8" w:color="CFF0FC"/>
            </w:tcBorders>
          </w:tcPr>
          <w:p>
            <w:pPr>
              <w:spacing w:after="0"/>
              <w:rPr>
                <w:sz w:val="24"/>
                <w:szCs w:val="24"/>
                <w:color w:val="auto"/>
              </w:rPr>
            </w:pPr>
          </w:p>
        </w:tc>
        <w:tc>
          <w:tcPr>
            <w:tcW w:w="2580" w:type="dxa"/>
            <w:vAlign w:val="bottom"/>
            <w:tcBorders>
              <w:top w:val="single" w:sz="8" w:color="CFF0FC"/>
            </w:tcBorders>
          </w:tcPr>
          <w:p>
            <w:pPr>
              <w:jc w:val="right"/>
              <w:ind w:right="670"/>
              <w:spacing w:after="0"/>
              <w:rPr>
                <w:sz w:val="20"/>
                <w:szCs w:val="20"/>
                <w:color w:val="auto"/>
              </w:rPr>
            </w:pPr>
            <w:r>
              <w:rPr>
                <w:rFonts w:ascii="Arial" w:cs="Arial" w:eastAsia="Arial" w:hAnsi="Arial"/>
                <w:sz w:val="18"/>
                <w:szCs w:val="18"/>
                <w:color w:val="auto"/>
              </w:rPr>
              <w:t>8</w:t>
            </w:r>
          </w:p>
        </w:tc>
        <w:tc>
          <w:tcPr>
            <w:tcW w:w="13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5"/>
        </w:trPr>
        <w:tc>
          <w:tcPr>
            <w:tcW w:w="38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-1028065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-1010920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 FINANCIAL INSTRUMENTS AND FAIR VALUE MEASUREMENT</w:t>
      </w:r>
    </w:p>
    <w:p>
      <w:pPr>
        <w:spacing w:after="0" w:line="158"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 Company’s financial instruments consist of cash equivalents, marketable securities, accounts payable, and accrued liabilities. Cash equivalents’ carrying value approximates fair value at the balance sheet dates, due to the short period of time to maturity. Marketable securities are recognized at fair value. Accounts payable and accrued liabilities carrying values approximate fair value due to the short time to the expected receipt or payment date.</w:t>
      </w:r>
    </w:p>
    <w:p>
      <w:pPr>
        <w:spacing w:after="0" w:line="120"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Assets and liabilities recognized at fair value on a recurring basis in the condensed consolidated balance sheets consisting of cash equivalents and marketable securities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p>
    <w:p>
      <w:pPr>
        <w:spacing w:after="0" w:line="120"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Financial assets and liabilities subject to fair value measurements on a recurring basis and the level of inputs used in such measurements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rPr>
              <w:t>March 31, 2025</w:t>
            </w:r>
          </w:p>
        </w:tc>
        <w:tc>
          <w:tcPr>
            <w:tcW w:w="4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40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gridSpan w:val="2"/>
          </w:tcPr>
          <w:p>
            <w:pPr>
              <w:jc w:val="right"/>
              <w:ind w:right="170"/>
              <w:spacing w:after="0" w:line="196" w:lineRule="exact"/>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7"/>
                <w:szCs w:val="17"/>
                <w:color w:val="auto"/>
              </w:rPr>
            </w:pPr>
          </w:p>
        </w:tc>
      </w:tr>
      <w:tr>
        <w:trPr>
          <w:trHeight w:val="196"/>
        </w:trPr>
        <w:tc>
          <w:tcPr>
            <w:tcW w:w="40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5"/>
          </w:tcPr>
          <w:p>
            <w:pPr>
              <w:jc w:val="right"/>
              <w:ind w:right="31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0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Financial assets:</w:t>
            </w:r>
          </w:p>
        </w:tc>
        <w:tc>
          <w:tcPr>
            <w:tcW w:w="17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0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Money market funds</w:t>
            </w:r>
          </w:p>
        </w:tc>
        <w:tc>
          <w:tcPr>
            <w:tcW w:w="2580" w:type="dxa"/>
            <w:vAlign w:val="bottom"/>
            <w:gridSpan w:val="2"/>
            <w:shd w:val="clear" w:color="auto" w:fill="CFF0FC"/>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1040" w:type="dxa"/>
            <w:vAlign w:val="bottom"/>
            <w:gridSpan w:val="2"/>
            <w:shd w:val="clear" w:color="auto" w:fill="CFF0FC"/>
          </w:tcPr>
          <w:p>
            <w:pPr>
              <w:jc w:val="right"/>
              <w:ind w:right="735"/>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820" w:type="dxa"/>
            <w:vAlign w:val="bottom"/>
            <w:gridSpan w:val="2"/>
            <w:shd w:val="clear" w:color="auto" w:fill="CFF0FC"/>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ind w:left="780"/>
              <w:spacing w:after="0" w:line="202" w:lineRule="exact"/>
              <w:rPr>
                <w:sz w:val="20"/>
                <w:szCs w:val="20"/>
                <w:color w:val="auto"/>
              </w:rPr>
            </w:pPr>
            <w:r>
              <w:rPr>
                <w:rFonts w:ascii="Arial" w:cs="Arial" w:eastAsia="Arial" w:hAnsi="Arial"/>
                <w:sz w:val="18"/>
                <w:szCs w:val="18"/>
                <w:color w:val="auto"/>
              </w:rPr>
              <w:t>—</w:t>
            </w:r>
          </w:p>
        </w:tc>
      </w:tr>
      <w:tr>
        <w:trPr>
          <w:trHeight w:val="202"/>
        </w:trPr>
        <w:tc>
          <w:tcPr>
            <w:tcW w:w="4060" w:type="dxa"/>
            <w:vAlign w:val="bottom"/>
          </w:tcPr>
          <w:p>
            <w:pPr>
              <w:ind w:left="160"/>
              <w:spacing w:after="0" w:line="202" w:lineRule="exact"/>
              <w:rPr>
                <w:sz w:val="20"/>
                <w:szCs w:val="20"/>
                <w:color w:val="auto"/>
              </w:rPr>
            </w:pPr>
            <w:r>
              <w:rPr>
                <w:rFonts w:ascii="Arial" w:cs="Arial" w:eastAsia="Arial" w:hAnsi="Arial"/>
                <w:sz w:val="18"/>
                <w:szCs w:val="18"/>
                <w:color w:val="auto"/>
              </w:rPr>
              <w:t>U.S. Treasury bills</w:t>
            </w: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61</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61</w:t>
            </w:r>
          </w:p>
        </w:tc>
        <w:tc>
          <w:tcPr>
            <w:tcW w:w="180" w:type="dxa"/>
            <w:vAlign w:val="bottom"/>
          </w:tcPr>
          <w:p>
            <w:pPr>
              <w:spacing w:after="0"/>
              <w:rPr>
                <w:sz w:val="17"/>
                <w:szCs w:val="17"/>
                <w:color w:val="auto"/>
              </w:rPr>
            </w:pPr>
          </w:p>
        </w:tc>
        <w:tc>
          <w:tcPr>
            <w:tcW w:w="108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r>
      <w:tr>
        <w:trPr>
          <w:trHeight w:val="20"/>
        </w:trPr>
        <w:tc>
          <w:tcPr>
            <w:tcW w:w="40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06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cash equivalents:</w:t>
            </w:r>
          </w:p>
        </w:tc>
        <w:tc>
          <w:tcPr>
            <w:tcW w:w="17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64</w:t>
            </w:r>
          </w:p>
        </w:tc>
        <w:tc>
          <w:tcPr>
            <w:tcW w:w="1040" w:type="dxa"/>
            <w:vAlign w:val="bottom"/>
            <w:gridSpan w:val="2"/>
            <w:shd w:val="clear" w:color="auto" w:fill="CFF0FC"/>
          </w:tcPr>
          <w:p>
            <w:pPr>
              <w:jc w:val="right"/>
              <w:ind w:right="735"/>
              <w:spacing w:after="0" w:line="196"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3</w:t>
            </w:r>
          </w:p>
        </w:tc>
        <w:tc>
          <w:tcPr>
            <w:tcW w:w="820" w:type="dxa"/>
            <w:vAlign w:val="bottom"/>
            <w:gridSpan w:val="2"/>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ind w:left="780"/>
              <w:spacing w:after="0" w:line="196" w:lineRule="exact"/>
              <w:rPr>
                <w:sz w:val="20"/>
                <w:szCs w:val="20"/>
                <w:color w:val="auto"/>
              </w:rPr>
            </w:pPr>
            <w:r>
              <w:rPr>
                <w:rFonts w:ascii="Arial" w:cs="Arial" w:eastAsia="Arial" w:hAnsi="Arial"/>
                <w:sz w:val="18"/>
                <w:szCs w:val="18"/>
                <w:color w:val="auto"/>
              </w:rPr>
              <w:t>—</w:t>
            </w:r>
          </w:p>
        </w:tc>
      </w:tr>
      <w:tr>
        <w:trPr>
          <w:trHeight w:val="196"/>
        </w:trPr>
        <w:tc>
          <w:tcPr>
            <w:tcW w:w="40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Marketable securities:</w:t>
            </w:r>
          </w:p>
        </w:tc>
        <w:tc>
          <w:tcPr>
            <w:tcW w:w="176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40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U.S. treasury bills</w:t>
            </w:r>
          </w:p>
        </w:tc>
        <w:tc>
          <w:tcPr>
            <w:tcW w:w="2580" w:type="dxa"/>
            <w:vAlign w:val="bottom"/>
            <w:gridSpan w:val="2"/>
            <w:shd w:val="clear" w:color="auto" w:fill="CFF0FC"/>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w w:val="99"/>
              </w:rPr>
              <w:t>158</w:t>
            </w:r>
          </w:p>
        </w:tc>
        <w:tc>
          <w:tcPr>
            <w:tcW w:w="1040" w:type="dxa"/>
            <w:vAlign w:val="bottom"/>
            <w:gridSpan w:val="2"/>
            <w:shd w:val="clear" w:color="auto" w:fill="CFF0FC"/>
          </w:tcPr>
          <w:p>
            <w:pPr>
              <w:jc w:val="right"/>
              <w:ind w:right="735"/>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158</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ind w:left="780"/>
              <w:spacing w:after="0" w:line="202" w:lineRule="exact"/>
              <w:rPr>
                <w:sz w:val="20"/>
                <w:szCs w:val="20"/>
                <w:color w:val="auto"/>
              </w:rPr>
            </w:pPr>
            <w:r>
              <w:rPr>
                <w:rFonts w:ascii="Arial" w:cs="Arial" w:eastAsia="Arial" w:hAnsi="Arial"/>
                <w:sz w:val="18"/>
                <w:szCs w:val="18"/>
                <w:color w:val="auto"/>
              </w:rPr>
              <w:t>—</w:t>
            </w:r>
          </w:p>
        </w:tc>
      </w:tr>
      <w:tr>
        <w:trPr>
          <w:trHeight w:val="196"/>
        </w:trPr>
        <w:tc>
          <w:tcPr>
            <w:tcW w:w="4060" w:type="dxa"/>
            <w:vAlign w:val="bottom"/>
          </w:tcPr>
          <w:p>
            <w:pPr>
              <w:ind w:left="160"/>
              <w:spacing w:after="0" w:line="196" w:lineRule="exact"/>
              <w:rPr>
                <w:sz w:val="20"/>
                <w:szCs w:val="20"/>
                <w:color w:val="auto"/>
              </w:rPr>
            </w:pPr>
            <w:r>
              <w:rPr>
                <w:rFonts w:ascii="Arial" w:cs="Arial" w:eastAsia="Arial" w:hAnsi="Arial"/>
                <w:sz w:val="18"/>
                <w:szCs w:val="18"/>
                <w:color w:val="auto"/>
              </w:rPr>
              <w:t>Total marketable securities</w:t>
            </w:r>
          </w:p>
        </w:tc>
        <w:tc>
          <w:tcPr>
            <w:tcW w:w="176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35"/>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w:t>
            </w: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780"/>
              <w:spacing w:after="0" w:line="196"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r>
      <w:tr>
        <w:trPr>
          <w:trHeight w:val="216"/>
        </w:trPr>
        <w:tc>
          <w:tcPr>
            <w:tcW w:w="406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financial assets</w:t>
            </w:r>
          </w:p>
        </w:tc>
        <w:tc>
          <w:tcPr>
            <w:tcW w:w="17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w w:val="99"/>
              </w:rPr>
              <w:t>222</w:t>
            </w:r>
          </w:p>
        </w:tc>
        <w:tc>
          <w:tcPr>
            <w:tcW w:w="1040" w:type="dxa"/>
            <w:vAlign w:val="bottom"/>
            <w:gridSpan w:val="2"/>
            <w:shd w:val="clear" w:color="auto" w:fill="CFF0FC"/>
          </w:tcPr>
          <w:p>
            <w:pPr>
              <w:jc w:val="right"/>
              <w:ind w:right="735"/>
              <w:spacing w:after="0" w:line="196"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3</w:t>
            </w:r>
          </w:p>
        </w:tc>
        <w:tc>
          <w:tcPr>
            <w:tcW w:w="820" w:type="dxa"/>
            <w:vAlign w:val="bottom"/>
            <w:gridSpan w:val="2"/>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219</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ind w:left="780"/>
              <w:spacing w:after="0" w:line="196" w:lineRule="exact"/>
              <w:rPr>
                <w:sz w:val="20"/>
                <w:szCs w:val="20"/>
                <w:color w:val="auto"/>
              </w:rPr>
            </w:pPr>
            <w:r>
              <w:rPr>
                <w:rFonts w:ascii="Arial" w:cs="Arial" w:eastAsia="Arial" w:hAnsi="Arial"/>
                <w:sz w:val="18"/>
                <w:szCs w:val="18"/>
                <w:color w:val="auto"/>
              </w:rPr>
              <w:t>—</w:t>
            </w: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-565150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-565150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-565150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-565150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-312420</wp:posOffset>
            </wp:positionV>
            <wp:extent cx="93980" cy="1708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-312420</wp:posOffset>
            </wp:positionV>
            <wp:extent cx="93980" cy="1708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-312420</wp:posOffset>
            </wp:positionV>
            <wp:extent cx="93980" cy="1708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-312420</wp:posOffset>
            </wp:positionV>
            <wp:extent cx="102870" cy="1708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1708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 2024</w:t>
            </w:r>
          </w:p>
        </w:tc>
        <w:tc>
          <w:tcPr>
            <w:tcW w:w="3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Level 1</w:t>
            </w:r>
          </w:p>
        </w:tc>
        <w:tc>
          <w:tcPr>
            <w:tcW w:w="2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bottom w:val="single" w:sz="8" w:color="auto"/>
            </w:tcBorders>
            <w:gridSpan w:val="2"/>
          </w:tcPr>
          <w:p>
            <w:pPr>
              <w:jc w:val="right"/>
              <w:ind w:right="170"/>
              <w:spacing w:after="0" w:line="196" w:lineRule="exact"/>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4"/>
          </w:tcPr>
          <w:p>
            <w:pPr>
              <w:jc w:val="right"/>
              <w:ind w:right="378"/>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Financial assets:</w:t>
            </w:r>
          </w:p>
        </w:tc>
        <w:tc>
          <w:tcPr>
            <w:tcW w:w="17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1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Money market funds</w:t>
            </w:r>
          </w:p>
        </w:tc>
        <w:tc>
          <w:tcPr>
            <w:tcW w:w="2480" w:type="dxa"/>
            <w:vAlign w:val="bottom"/>
            <w:gridSpan w:val="2"/>
            <w:shd w:val="clear" w:color="auto" w:fill="CFF0FC"/>
          </w:tcPr>
          <w:p>
            <w:pPr>
              <w:jc w:val="right"/>
              <w:ind w:right="618"/>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100" w:type="dxa"/>
            <w:vAlign w:val="bottom"/>
            <w:gridSpan w:val="2"/>
            <w:shd w:val="clear" w:color="auto" w:fill="CFF0FC"/>
          </w:tcPr>
          <w:p>
            <w:pPr>
              <w:jc w:val="right"/>
              <w:ind w:right="695"/>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980" w:type="dxa"/>
            <w:vAlign w:val="bottom"/>
            <w:gridSpan w:val="2"/>
            <w:shd w:val="clear" w:color="auto" w:fill="CFF0FC"/>
          </w:tcPr>
          <w:p>
            <w:pPr>
              <w:jc w:val="right"/>
              <w:ind w:right="578"/>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980" w:type="dxa"/>
            <w:vAlign w:val="bottom"/>
          </w:tcPr>
          <w:p>
            <w:pPr>
              <w:ind w:left="120"/>
              <w:spacing w:after="0" w:line="202" w:lineRule="exact"/>
              <w:rPr>
                <w:sz w:val="20"/>
                <w:szCs w:val="20"/>
                <w:color w:val="auto"/>
              </w:rPr>
            </w:pPr>
            <w:r>
              <w:rPr>
                <w:rFonts w:ascii="Arial" w:cs="Arial" w:eastAsia="Arial" w:hAnsi="Arial"/>
                <w:sz w:val="18"/>
                <w:szCs w:val="18"/>
                <w:color w:val="auto"/>
              </w:rPr>
              <w:t>U.S. treasury bills</w:t>
            </w:r>
          </w:p>
        </w:tc>
        <w:tc>
          <w:tcPr>
            <w:tcW w:w="17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w:t>
            </w:r>
          </w:p>
        </w:tc>
        <w:tc>
          <w:tcPr>
            <w:tcW w:w="2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78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98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cash equivalents</w:t>
            </w:r>
          </w:p>
        </w:tc>
        <w:tc>
          <w:tcPr>
            <w:tcW w:w="2480" w:type="dxa"/>
            <w:vAlign w:val="bottom"/>
            <w:gridSpan w:val="2"/>
            <w:shd w:val="clear" w:color="auto" w:fill="CFF0FC"/>
          </w:tcPr>
          <w:p>
            <w:pPr>
              <w:jc w:val="right"/>
              <w:ind w:right="618"/>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w:t>
            </w:r>
          </w:p>
        </w:tc>
        <w:tc>
          <w:tcPr>
            <w:tcW w:w="1100" w:type="dxa"/>
            <w:vAlign w:val="bottom"/>
            <w:gridSpan w:val="2"/>
            <w:shd w:val="clear" w:color="auto" w:fill="CFF0FC"/>
          </w:tcPr>
          <w:p>
            <w:pPr>
              <w:jc w:val="right"/>
              <w:ind w:right="695"/>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980" w:type="dxa"/>
            <w:vAlign w:val="bottom"/>
            <w:gridSpan w:val="2"/>
            <w:shd w:val="clear" w:color="auto" w:fill="CFF0FC"/>
          </w:tcPr>
          <w:p>
            <w:pPr>
              <w:jc w:val="right"/>
              <w:ind w:right="578"/>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w:t>
            </w:r>
          </w:p>
        </w:tc>
        <w:tc>
          <w:tcPr>
            <w:tcW w:w="400" w:type="dxa"/>
            <w:vAlign w:val="bottom"/>
            <w:gridSpan w:val="2"/>
            <w:shd w:val="clear" w:color="auto" w:fill="CFF0FC"/>
          </w:tcPr>
          <w:p>
            <w:pPr>
              <w:jc w:val="right"/>
              <w:ind w:right="7"/>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ind w:left="780"/>
              <w:spacing w:after="0" w:line="196"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39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Marketable securities:</w:t>
            </w:r>
          </w:p>
        </w:tc>
        <w:tc>
          <w:tcPr>
            <w:tcW w:w="1700" w:type="dxa"/>
            <w:vAlign w:val="bottom"/>
            <w:tcBorders>
              <w:top w:val="single" w:sz="8" w:color="CFF0FC"/>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U.S. treasury bills</w:t>
            </w:r>
          </w:p>
        </w:tc>
        <w:tc>
          <w:tcPr>
            <w:tcW w:w="2480" w:type="dxa"/>
            <w:vAlign w:val="bottom"/>
            <w:gridSpan w:val="2"/>
            <w:shd w:val="clear" w:color="auto" w:fill="CFF0FC"/>
          </w:tcPr>
          <w:p>
            <w:pPr>
              <w:jc w:val="right"/>
              <w:ind w:right="618"/>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w:t>
            </w:r>
          </w:p>
        </w:tc>
        <w:tc>
          <w:tcPr>
            <w:tcW w:w="1100" w:type="dxa"/>
            <w:vAlign w:val="bottom"/>
            <w:gridSpan w:val="2"/>
            <w:shd w:val="clear" w:color="auto" w:fill="CFF0FC"/>
          </w:tcPr>
          <w:p>
            <w:pPr>
              <w:jc w:val="right"/>
              <w:ind w:right="695"/>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578"/>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w:t>
            </w:r>
          </w:p>
        </w:tc>
        <w:tc>
          <w:tcPr>
            <w:tcW w:w="400" w:type="dxa"/>
            <w:vAlign w:val="bottom"/>
            <w:gridSpan w:val="2"/>
            <w:shd w:val="clear" w:color="auto" w:fill="CFF0FC"/>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ind w:left="780"/>
              <w:spacing w:after="0" w:line="202"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3980" w:type="dxa"/>
            <w:vAlign w:val="bottom"/>
          </w:tcPr>
          <w:p>
            <w:pPr>
              <w:ind w:left="120"/>
              <w:spacing w:after="0" w:line="196" w:lineRule="exact"/>
              <w:rPr>
                <w:sz w:val="20"/>
                <w:szCs w:val="20"/>
                <w:color w:val="auto"/>
              </w:rPr>
            </w:pPr>
            <w:r>
              <w:rPr>
                <w:rFonts w:ascii="Arial" w:cs="Arial" w:eastAsia="Arial" w:hAnsi="Arial"/>
                <w:sz w:val="18"/>
                <w:szCs w:val="18"/>
                <w:color w:val="auto"/>
              </w:rPr>
              <w:t>Total marketable securities</w:t>
            </w:r>
          </w:p>
        </w:tc>
        <w:tc>
          <w:tcPr>
            <w:tcW w:w="17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1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w:t>
            </w:r>
          </w:p>
        </w:tc>
        <w:tc>
          <w:tcPr>
            <w:tcW w:w="22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695"/>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7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ind w:left="78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financial assets</w:t>
            </w:r>
          </w:p>
        </w:tc>
        <w:tc>
          <w:tcPr>
            <w:tcW w:w="2480" w:type="dxa"/>
            <w:vAlign w:val="bottom"/>
            <w:gridSpan w:val="2"/>
            <w:shd w:val="clear" w:color="auto" w:fill="CFF0FC"/>
          </w:tcPr>
          <w:p>
            <w:pPr>
              <w:jc w:val="right"/>
              <w:ind w:right="618"/>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149</w:t>
            </w:r>
          </w:p>
        </w:tc>
        <w:tc>
          <w:tcPr>
            <w:tcW w:w="1100" w:type="dxa"/>
            <w:vAlign w:val="bottom"/>
            <w:gridSpan w:val="2"/>
            <w:shd w:val="clear" w:color="auto" w:fill="CFF0FC"/>
          </w:tcPr>
          <w:p>
            <w:pPr>
              <w:jc w:val="right"/>
              <w:ind w:right="695"/>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980" w:type="dxa"/>
            <w:vAlign w:val="bottom"/>
            <w:gridSpan w:val="2"/>
            <w:shd w:val="clear" w:color="auto" w:fill="CFF0FC"/>
          </w:tcPr>
          <w:p>
            <w:pPr>
              <w:jc w:val="right"/>
              <w:ind w:right="578"/>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w:t>
            </w:r>
          </w:p>
        </w:tc>
        <w:tc>
          <w:tcPr>
            <w:tcW w:w="400" w:type="dxa"/>
            <w:vAlign w:val="bottom"/>
            <w:gridSpan w:val="2"/>
            <w:shd w:val="clear" w:color="auto" w:fill="CFF0FC"/>
          </w:tcPr>
          <w:p>
            <w:pPr>
              <w:jc w:val="right"/>
              <w:ind w:right="7"/>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ind w:left="780"/>
              <w:spacing w:after="0" w:line="196"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-565150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-565150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-565150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-565150</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4389755</wp:posOffset>
            </wp:positionH>
            <wp:positionV relativeFrom="paragraph">
              <wp:posOffset>-311785</wp:posOffset>
            </wp:positionV>
            <wp:extent cx="93980" cy="1708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5247005</wp:posOffset>
            </wp:positionH>
            <wp:positionV relativeFrom="paragraph">
              <wp:posOffset>-311785</wp:posOffset>
            </wp:positionV>
            <wp:extent cx="93980" cy="1708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6113145</wp:posOffset>
            </wp:positionH>
            <wp:positionV relativeFrom="paragraph">
              <wp:posOffset>-311785</wp:posOffset>
            </wp:positionV>
            <wp:extent cx="93980" cy="1708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6978650</wp:posOffset>
            </wp:positionH>
            <wp:positionV relativeFrom="paragraph">
              <wp:posOffset>-311785</wp:posOffset>
            </wp:positionV>
            <wp:extent cx="102235" cy="1708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235" cy="1708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768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23"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As of March 31, 2025, the Company’s “cash and cash equivalents” line item was comprised of cash deposited with banks, U.S. Treasury bills, and money market funds, and “marketable securities” was comprised solely of government securities. The Company classifies cash equivalents and marketable securities within Level 1 or Level 2 because the Company uses quoted market prices or alternative pricing sources and models utilizing market observable inputs to determine their fair value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contractual maturities of the Company’s marketable securities: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ind w:left="72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ind w:left="5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39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2025</w:t>
            </w:r>
          </w:p>
        </w:tc>
        <w:tc>
          <w:tcPr>
            <w:tcW w:w="10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2024</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9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50"/>
              <w:spacing w:after="0" w:line="177" w:lineRule="exact"/>
              <w:rPr>
                <w:sz w:val="20"/>
                <w:szCs w:val="20"/>
                <w:color w:val="auto"/>
              </w:rPr>
            </w:pPr>
            <w:r>
              <w:rPr>
                <w:rFonts w:ascii="Arial" w:cs="Arial" w:eastAsia="Arial" w:hAnsi="Arial"/>
                <w:sz w:val="18"/>
                <w:szCs w:val="18"/>
                <w:b w:val="1"/>
                <w:bCs w:val="1"/>
                <w:color w:val="auto"/>
                <w:w w:val="99"/>
              </w:rPr>
              <w:t>Amortized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ind w:left="20"/>
              <w:spacing w:after="0" w:line="177" w:lineRule="exact"/>
              <w:rPr>
                <w:sz w:val="20"/>
                <w:szCs w:val="20"/>
                <w:color w:val="auto"/>
              </w:rPr>
            </w:pPr>
            <w:r>
              <w:rPr>
                <w:rFonts w:ascii="Arial" w:cs="Arial" w:eastAsia="Arial" w:hAnsi="Arial"/>
                <w:sz w:val="18"/>
                <w:szCs w:val="18"/>
                <w:b w:val="1"/>
                <w:bCs w:val="1"/>
                <w:color w:val="auto"/>
              </w:rPr>
              <w:t>Estimated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50"/>
              <w:spacing w:after="0" w:line="177" w:lineRule="exact"/>
              <w:rPr>
                <w:sz w:val="20"/>
                <w:szCs w:val="20"/>
                <w:color w:val="auto"/>
              </w:rPr>
            </w:pPr>
            <w:r>
              <w:rPr>
                <w:rFonts w:ascii="Arial" w:cs="Arial" w:eastAsia="Arial" w:hAnsi="Arial"/>
                <w:sz w:val="18"/>
                <w:szCs w:val="18"/>
                <w:b w:val="1"/>
                <w:bCs w:val="1"/>
                <w:color w:val="auto"/>
                <w:w w:val="97"/>
              </w:rPr>
              <w:t>Amortized</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w w:val="99"/>
              </w:rPr>
              <w:t>Estimated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9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Cost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Fair Value</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Fair Value</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9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4"/>
          </w:tcPr>
          <w:p>
            <w:pPr>
              <w:ind w:left="7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Due within one year</w:t>
            </w:r>
          </w:p>
        </w:tc>
        <w:tc>
          <w:tcPr>
            <w:tcW w:w="19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720"/>
              <w:spacing w:after="0" w:line="202" w:lineRule="exact"/>
              <w:rPr>
                <w:sz w:val="20"/>
                <w:szCs w:val="20"/>
                <w:color w:val="auto"/>
              </w:rPr>
            </w:pPr>
            <w:r>
              <w:rPr>
                <w:rFonts w:ascii="Arial" w:cs="Arial" w:eastAsia="Arial" w:hAnsi="Arial"/>
                <w:sz w:val="18"/>
                <w:szCs w:val="18"/>
                <w:color w:val="auto"/>
                <w:w w:val="93"/>
              </w:rPr>
              <w:t>158</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ind w:left="720"/>
              <w:spacing w:after="0" w:line="202" w:lineRule="exact"/>
              <w:rPr>
                <w:sz w:val="20"/>
                <w:szCs w:val="20"/>
                <w:color w:val="auto"/>
              </w:rPr>
            </w:pPr>
            <w:r>
              <w:rPr>
                <w:rFonts w:ascii="Arial" w:cs="Arial" w:eastAsia="Arial" w:hAnsi="Arial"/>
                <w:sz w:val="18"/>
                <w:szCs w:val="18"/>
                <w:color w:val="auto"/>
                <w:w w:val="99"/>
              </w:rPr>
              <w:t>158</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40" w:type="dxa"/>
            <w:vAlign w:val="bottom"/>
          </w:tcPr>
          <w:p>
            <w:pPr>
              <w:ind w:left="160"/>
              <w:spacing w:after="0" w:line="196" w:lineRule="exact"/>
              <w:rPr>
                <w:sz w:val="20"/>
                <w:szCs w:val="20"/>
                <w:color w:val="auto"/>
              </w:rPr>
            </w:pPr>
            <w:r>
              <w:rPr>
                <w:rFonts w:ascii="Arial" w:cs="Arial" w:eastAsia="Arial" w:hAnsi="Arial"/>
                <w:sz w:val="18"/>
                <w:szCs w:val="18"/>
                <w:color w:val="auto"/>
              </w:rPr>
              <w:t>Total marketable securities</w:t>
            </w:r>
          </w:p>
        </w:tc>
        <w:tc>
          <w:tcPr>
            <w:tcW w:w="18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720"/>
              <w:spacing w:after="0" w:line="196" w:lineRule="exact"/>
              <w:rPr>
                <w:sz w:val="20"/>
                <w:szCs w:val="20"/>
                <w:color w:val="auto"/>
              </w:rPr>
            </w:pPr>
            <w:r>
              <w:rPr>
                <w:rFonts w:ascii="Arial" w:cs="Arial" w:eastAsia="Arial" w:hAnsi="Arial"/>
                <w:sz w:val="18"/>
                <w:szCs w:val="18"/>
                <w:color w:val="auto"/>
                <w:w w:val="93"/>
              </w:rPr>
              <w:t>158</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720"/>
              <w:spacing w:after="0" w:line="196" w:lineRule="exact"/>
              <w:rPr>
                <w:sz w:val="20"/>
                <w:szCs w:val="20"/>
                <w:color w:val="auto"/>
              </w:rPr>
            </w:pPr>
            <w:r>
              <w:rPr>
                <w:rFonts w:ascii="Arial" w:cs="Arial" w:eastAsia="Arial" w:hAnsi="Arial"/>
                <w:sz w:val="18"/>
                <w:szCs w:val="18"/>
                <w:color w:val="auto"/>
                <w:w w:val="99"/>
              </w:rPr>
              <w:t>158</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w:t>
            </w: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860" w:type="dxa"/>
            <w:vAlign w:val="bottom"/>
            <w:vMerge w:val="restart"/>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394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39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2" w:name="page13"/>
    <w:bookmarkEnd w:id="12"/>
    <w:p>
      <w:pPr>
        <w:jc w:val="both"/>
        <w:ind w:firstLine="636"/>
        <w:spacing w:after="0"/>
        <w:rPr>
          <w:sz w:val="20"/>
          <w:szCs w:val="20"/>
          <w:color w:val="auto"/>
        </w:rPr>
      </w:pPr>
      <w:r>
        <w:rPr>
          <w:rFonts w:ascii="Arial" w:cs="Arial" w:eastAsia="Arial" w:hAnsi="Arial"/>
          <w:sz w:val="18"/>
          <w:szCs w:val="18"/>
          <w:color w:val="auto"/>
        </w:rPr>
        <w:t>All of the Company’s available-for-sale marketable securities are subject to a periodic evaluation for a credit loss allowance and impairment review. The Company did not identify any of its available-for-sale marketable securities requiring an allowance for credit loss or as other-than-temporarily impaired in any of the periods presented. Additionally, the unrealized net loss and net gain on available-for-sale marketable securities as of March 31, 2025 and December 31, 2024 were insignificant. As of March 31, 2025 and December 31, 2024, those investments with an original maturity of three months or less were classified as cash equivalents and those investments with original maturities beyond three months were classified as marketable securities. The Company has classified all of the marketable securities as available-for-sale.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7"/>
        </w:trPr>
        <w:tc>
          <w:tcPr>
            <w:tcW w:w="5840" w:type="dxa"/>
            <w:vAlign w:val="bottom"/>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8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57"/>
        </w:trPr>
        <w:tc>
          <w:tcPr>
            <w:tcW w:w="5840" w:type="dxa"/>
            <w:vAlign w:val="bottom"/>
          </w:tcPr>
          <w:p>
            <w:pPr>
              <w:spacing w:after="0"/>
              <w:rPr>
                <w:sz w:val="20"/>
                <w:szCs w:val="20"/>
                <w:color w:val="auto"/>
              </w:rPr>
            </w:pPr>
            <w:r>
              <w:rPr>
                <w:rFonts w:ascii="Arial" w:cs="Arial" w:eastAsia="Arial" w:hAnsi="Arial"/>
                <w:sz w:val="18"/>
                <w:szCs w:val="18"/>
                <w:i w:val="1"/>
                <w:iCs w:val="1"/>
                <w:color w:val="auto"/>
              </w:rPr>
              <w:t>Accrued Liabilities</w:t>
            </w:r>
          </w:p>
        </w:tc>
        <w:tc>
          <w:tcPr>
            <w:tcW w:w="1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5840" w:type="dxa"/>
            <w:vAlign w:val="bottom"/>
          </w:tcPr>
          <w:p>
            <w:pPr>
              <w:ind w:left="640"/>
              <w:spacing w:after="0"/>
              <w:rPr>
                <w:sz w:val="20"/>
                <w:szCs w:val="20"/>
                <w:color w:val="auto"/>
              </w:rPr>
            </w:pPr>
            <w:r>
              <w:rPr>
                <w:rFonts w:ascii="Arial" w:cs="Arial" w:eastAsia="Arial" w:hAnsi="Arial"/>
                <w:sz w:val="18"/>
                <w:szCs w:val="18"/>
                <w:color w:val="auto"/>
              </w:rPr>
              <w:t>Accrued liabilities consist of the following:</w:t>
            </w:r>
          </w:p>
        </w:tc>
        <w:tc>
          <w:tcPr>
            <w:tcW w:w="1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5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58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8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20" w:type="dxa"/>
            <w:vAlign w:val="bottom"/>
            <w:gridSpan w:val="3"/>
          </w:tcPr>
          <w:p>
            <w:pPr>
              <w:jc w:val="right"/>
              <w:ind w:right="107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Accrued services</w:t>
            </w:r>
            <w:r>
              <w:rPr>
                <w:rFonts w:ascii="Arial" w:cs="Arial" w:eastAsia="Arial" w:hAnsi="Arial"/>
                <w:sz w:val="23"/>
                <w:szCs w:val="23"/>
                <w:color w:val="auto"/>
                <w:vertAlign w:val="superscript"/>
              </w:rPr>
              <w:t>(1)</w:t>
            </w:r>
          </w:p>
        </w:tc>
        <w:tc>
          <w:tcPr>
            <w:tcW w:w="3120" w:type="dxa"/>
            <w:vAlign w:val="bottom"/>
            <w:gridSpan w:val="2"/>
            <w:shd w:val="clear" w:color="auto" w:fill="CFF0FC"/>
          </w:tcPr>
          <w:p>
            <w:pPr>
              <w:jc w:val="right"/>
              <w:ind w:right="105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700" w:type="dxa"/>
            <w:vAlign w:val="bottom"/>
            <w:gridSpan w:val="2"/>
            <w:shd w:val="clear" w:color="auto" w:fill="CFF0FC"/>
          </w:tcPr>
          <w:p>
            <w:pPr>
              <w:jc w:val="right"/>
              <w:ind w:right="123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3"/>
                <w:szCs w:val="23"/>
                <w:color w:val="auto"/>
                <w:vertAlign w:val="superscript"/>
              </w:rPr>
              <w:t>(2)</w:t>
            </w:r>
          </w:p>
        </w:tc>
        <w:tc>
          <w:tcPr>
            <w:tcW w:w="188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r>
      <w:tr>
        <w:trPr>
          <w:trHeight w:val="216"/>
        </w:trPr>
        <w:tc>
          <w:tcPr>
            <w:tcW w:w="584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accrued liabilities</w:t>
            </w:r>
          </w:p>
        </w:tc>
        <w:tc>
          <w:tcPr>
            <w:tcW w:w="3120" w:type="dxa"/>
            <w:vAlign w:val="bottom"/>
            <w:gridSpan w:val="2"/>
            <w:shd w:val="clear" w:color="auto" w:fill="CFF0FC"/>
          </w:tcPr>
          <w:p>
            <w:pPr>
              <w:jc w:val="right"/>
              <w:ind w:right="1050"/>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1700" w:type="dxa"/>
            <w:vAlign w:val="bottom"/>
            <w:gridSpan w:val="2"/>
            <w:shd w:val="clear" w:color="auto" w:fill="CFF0FC"/>
          </w:tcPr>
          <w:p>
            <w:pPr>
              <w:jc w:val="right"/>
              <w:ind w:right="123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1" w:lineRule="exact"/>
        <w:rPr>
          <w:sz w:val="20"/>
          <w:szCs w:val="20"/>
          <w:color w:val="auto"/>
        </w:rPr>
      </w:pPr>
    </w:p>
    <w:p>
      <w:pPr>
        <w:ind w:left="1140" w:hanging="383"/>
        <w:spacing w:after="0" w:line="285" w:lineRule="auto"/>
        <w:tabs>
          <w:tab w:leader="none" w:pos="11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Accrued services primarily consist of professional services and other services for both 2025 and 2024. The services in 2025 are primarily associated with the issuance of redeemable convertible Preferred Units.</w:t>
      </w:r>
    </w:p>
    <w:p>
      <w:pPr>
        <w:spacing w:after="0" w:line="49" w:lineRule="exact"/>
        <w:rPr>
          <w:rFonts w:ascii="Arial" w:cs="Arial" w:eastAsia="Arial" w:hAnsi="Arial"/>
          <w:sz w:val="14"/>
          <w:szCs w:val="14"/>
          <w:color w:val="auto"/>
        </w:rPr>
      </w:pPr>
    </w:p>
    <w:p>
      <w:pPr>
        <w:ind w:left="1140" w:hanging="383"/>
        <w:spacing w:after="0" w:line="285" w:lineRule="auto"/>
        <w:tabs>
          <w:tab w:leader="none" w:pos="11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accrued liabilities primarily consist of other payables to Qoo10 related to restricted cash held at JPMorgan for the One Sansome lease's letter of credit. When the letter of credit is closed and the restriction on cash is lifted, this payable will be repaid.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56"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In November 2020, the Company entered into a five-year $280 million senior secured revolving credit facility (the “Revolving Credit Facility”). The Company also entered into letters of credit from time to time, which reduced its borrowing capacity under the Revolving Credit Facility. Interest on any borrowings under the Revolving Credit Facility accrued at either adjusted reference rate plus 1.50% or at an alternative base rate plus 0.50%, at the Company’s election, and the Company was required to pay a commitment fee that accrued at 0.25% per annum on the unused portion of the aggregate commitments under the Revolving Credit Facility. The Company was required to pay a fee that accrued at 1.50% per annum on the average daily amount available to be drawn under any letters of credit outstanding under the Revolving Credit Facility. In March 2024, the Company executed a letter to reduce the Revolving Credit Facility from an aggregate principal amount of $280 million to $7 million.</w:t>
      </w:r>
    </w:p>
    <w:p>
      <w:pPr>
        <w:spacing w:after="0" w:line="12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The Revolving Credit Facility contained customary conditions to borrowing, events of default and covenants, including covenants that restricted the Company’s ability (and the ability of certain of the Company’s subsidiaries) to incur indebtedness, grant liens, make certain fundamental changes and asset sales, make distributions to stockholders, make investments or engage in transactions with affiliates. It also contained a minimum liquidity financial covenant of $350 million, which included unrestricted cash and any available borrowing capacity under the Revolving Credit Facility. The obligations under the Revolving Credit Facility were secured by liens on substantially all of the Company’s domestic assets and were guaranteed by any material domestic subsidiaries, subject to customary exceptions. A standby letter of credit (the "Letter of Credit") in the amount of approximately $7 million was issued under the Revolving Credit Facility in conjunction with the lease of the Company’s previous headquarters in San Francisco, California. Fees incurred under the Revolving Credit Facility were insignificant for the three months ended March 31, 2025 and 2024.</w:t>
      </w:r>
    </w:p>
    <w:p>
      <w:pPr>
        <w:spacing w:after="0" w:line="129" w:lineRule="exact"/>
        <w:rPr>
          <w:sz w:val="20"/>
          <w:szCs w:val="20"/>
          <w:color w:val="auto"/>
        </w:rPr>
      </w:pPr>
    </w:p>
    <w:p>
      <w:pPr>
        <w:jc w:val="both"/>
        <w:ind w:firstLine="686"/>
        <w:spacing w:after="0" w:line="247" w:lineRule="auto"/>
        <w:rPr>
          <w:sz w:val="20"/>
          <w:szCs w:val="20"/>
          <w:color w:val="auto"/>
        </w:rPr>
      </w:pPr>
      <w:r>
        <w:rPr>
          <w:rFonts w:ascii="Arial" w:cs="Arial" w:eastAsia="Arial" w:hAnsi="Arial"/>
          <w:sz w:val="18"/>
          <w:szCs w:val="18"/>
          <w:color w:val="auto"/>
        </w:rPr>
        <w:t>At the closing of the Asset Sale on April 19, 2024, the Company terminated the Revolving Credit Facility. At that closing, the Letter of Credit ceased to be issued under the Revolving Credit Facility and was cash collateralized in equal amounts by the Company and the Buyer. Furthermore, the Company's previous headquarters was transferred to the Buyer, which has assumed the Company's obligations under the lease for those headquarters upon closing of the Asset Sale.</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three months ended March 31, 2025, the Letter of Credit was reduced to $1 million.</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Contingencies and Proceedings</w:t>
      </w:r>
    </w:p>
    <w:p>
      <w:pPr>
        <w:spacing w:after="0" w:line="156"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Beginning in May 2021, four putative class action lawsuits were filed in the U.S. District Court for the Northern District of California against the Company, its directors, certain of its officers and the underwriters named in its initial public offering (“IPO”) registration statement alleging violations of securities laws based on statements made in its registration statement on Form S-1 filed with the SEC in connection with its IPO and seeking monetary damages. One of these cases has since been dismissed by the plaintiff and the remaining three have been coordinated and consolidated. In May 2022, the Court appointed lead plaintiffs, who subsequently filed an amended consolidated class action complaint pursuant to Sections 11 and 15 of the Securities Act and Sections 10(b) and 20(a) of the Exchange Act. On April 10, 2023, the plaintiffs filed an amended complaint and asserted only claims made under Sections 11 and 15 of the Securities Act. In December 2023, the Court granted the defendants' motion to dismiss the first amended consolidated complaint. In February 2024, plaintiffs filed a second amended consolidated complaint, which the defendants have moved to dismiss. In August 2024, the Court granted the motion to dismiss without leave to amend and with prejudice. In September 2024, plaintiffs filed a motion to alter judgment noticed for hearing in January 2025. In February 2025, the court denied the plaintiffs' motion to alter judgement. In March 2025, plaintiffs filed a notice of appeal to the Ninth Circuit. The Company believes these lawsuits are without merit and intends to vigorously defend them. Based on the preliminary nature of the proceedings in these cases, the Company cannot estimate a range of potential losses at this point in time.</w:t>
      </w:r>
    </w:p>
    <w:p>
      <w:pPr>
        <w:spacing w:after="0" w:line="113"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In August 2021, a shareholder derivative action purportedly brought on behalf of the Company, Patel v. Szulczewski, was filed in the U.S. District Court for the Northern District of California alleging that the Company’s directors and officers made or caused the Company to make false and/or misleading statements about the Company’s business operations and financial prospects in various public filings. Plaintiff asserts claims for breach of fiduciary duties, unjust enrichment, abuse of control, gross mismanagement, waste of corporate assets, violations of Section 14(a) of the Exchange Act, and for contribution under Sections 10(b) and 21D of the Exchange Act and is seeking monetary damages. This matter is currently stayed. The Company believes this lawsuit is without merit and it intends to vigorously defend it. Based on the preliminary nature of the proceedings in these cases, the Company cannot estimate a range of potential losses at this point in time.</w:t>
      </w:r>
    </w:p>
    <w:p>
      <w:pPr>
        <w:spacing w:after="0" w:line="99"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As of March 31, 2025, in the opinion of management, there were no other legal contingency matters that arose in the ordinary course of business, either individually or in aggregate, that would have a material adverse effect on the financial position, results of operations, or cash flows of the Company. Given the unpredictable nature of legal proceedings, the Company bases its estimate on the information available at the time of the assessment. As additional information becomes available, the Company will reassess the potential liability and may revise the estimate.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REDEEMABLE NON-CONTROLLING INTEREST</w:t>
      </w:r>
    </w:p>
    <w:p>
      <w:pPr>
        <w:spacing w:after="0" w:line="15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In March 2025, Holdings entered into the A&amp;R Investment Agreement with the Investor under which Holdings may issue up to 150 thousand Preferred Units for an aggregate purchase price of up to $150 million (the "Investment Transaction"). An initial closing of the Investment Transaction occurred in March 2025 whereby Holdings issued and sold 75 thousand Preferred Units for an aggregate purchase price of $75 million.</w:t>
      </w:r>
    </w:p>
    <w:p>
      <w:pPr>
        <w:spacing w:after="0" w:line="106" w:lineRule="exact"/>
        <w:rPr>
          <w:sz w:val="20"/>
          <w:szCs w:val="20"/>
          <w:color w:val="auto"/>
        </w:rPr>
      </w:pPr>
    </w:p>
    <w:p>
      <w:pPr>
        <w:jc w:val="both"/>
        <w:ind w:firstLine="636"/>
        <w:spacing w:after="0" w:line="238" w:lineRule="auto"/>
        <w:rPr>
          <w:sz w:val="20"/>
          <w:szCs w:val="20"/>
          <w:color w:val="auto"/>
        </w:rPr>
      </w:pPr>
      <w:r>
        <w:rPr>
          <w:rFonts w:ascii="Arial" w:cs="Arial" w:eastAsia="Arial" w:hAnsi="Arial"/>
          <w:sz w:val="18"/>
          <w:szCs w:val="18"/>
          <w:color w:val="auto"/>
        </w:rPr>
        <w:t>The Preferred Units (a) have a stated value of $1,000 per share; (b) accrue a distribution of 4.0% per annum of the Class A accrued amount, which is the product of the number of Class A preferred units outstanding multiplied by their stated value plus all Class A distributions accrued but not yet paid, until the consummation of an acquisition of businesses or assets with an aggregate enterprise value of at least $100 million ("Acquisition"); (c) accrue a distribution of 8.0% per annum of the Class A accrued amount from the date of the consummation of an Acquisition; and (d) convert into newly issued Class B common units ("Common Units") equal to the conversion ratio multiplied by the number of Preferred Units submitted for conversion, where the conversion ratio is the Class A accrued amounts plus any accrued and unpaid distributions which have not been added to the Class A accrued amount yet divided by $8.00 (subject to adjustment as set forth in the Amended and Restated Limited Liability Company Agreement of Holdings). Accrued distributions can be settled either in cash or through conversion to Common Units. As of March 31, 2025, Holdings had accrued distributions of an insignificant amount on the outstanding Preferred Units. The accrued distributions are treated as a deemed dividend and are recorded as an adjustment to additional paid-in capital.</w:t>
      </w:r>
    </w:p>
    <w:p>
      <w:pPr>
        <w:spacing w:after="0" w:line="105"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The Preferred Units are convertible only into Common Units of Holdings and only redeemable upon (i) an “ordinary liquidation”, (ii) at the Investor's option upon Holdings' failure to complete an acquisition on or prior to the second anniversary of the Initial Closing or (iii) at Holdings' option on or after the fifth anniversary of an acquisition event. Holdings is required to seek written consent from the Investor prior to the consummation of an acquisition. As such, the redemption of the Preferred Units is outside the control of Holdings and the Company has classified the Preferred Units as mezzanine equity.</w:t>
      </w:r>
    </w:p>
    <w:p>
      <w:pPr>
        <w:spacing w:after="0" w:line="109"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Preferred Units included the right to participate in a future investment of 75 thousand additional Preferred Units for $75 million, contingent on the Acquisition. The Company concluded that this future tranche right was not a freestanding financial instrument, as it was neither separately exercisable nor legally detachable. It was evaluated as an embedded derivative and was not bifurcated, as it lacked net settlement characteristics and therefore did not meet the definition of a derivative.</w:t>
      </w:r>
    </w:p>
    <w:p>
      <w:pPr>
        <w:spacing w:after="0" w:line="106"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The Preferred Units have been initially recognized at a fair value of $75 million, the proceeds on the date of issuance. This amount has been reduced by $3 million, the cost of issuing the Preferred Units, resulting in an adjusted initial carrying value of $72 million. The adjusted initial carrying value is being accreted to the redemption value at the end of each reporting period. The accretion to the redemption value is treated as a deemed dividend and is recorded as an adjustment to Holdings' additional paid-in capital. As of March 31, 2025, the Company has accreted $3 million bringing the redemption value of the redeemable non-controlling interest to $75 million.</w:t>
      </w:r>
    </w:p>
    <w:p>
      <w:pPr>
        <w:spacing w:after="0" w:line="95"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The following table summarizes Holdings' non-controlling interest presented as a separate component of the Company's condensed consolidated statements of operations:</w:t>
      </w:r>
    </w:p>
    <w:p>
      <w:pPr>
        <w:spacing w:after="0" w:line="154" w:lineRule="exact"/>
        <w:rPr>
          <w:sz w:val="20"/>
          <w:szCs w:val="20"/>
          <w:color w:val="auto"/>
        </w:rPr>
      </w:pPr>
    </w:p>
    <w:p>
      <w:pPr>
        <w:jc w:val="center"/>
        <w:ind w:left="7720"/>
        <w:spacing w:after="0"/>
        <w:rPr>
          <w:sz w:val="20"/>
          <w:szCs w:val="20"/>
          <w:color w:val="auto"/>
        </w:rPr>
      </w:pPr>
      <w:r>
        <w:rPr>
          <w:rFonts w:ascii="Arial" w:cs="Arial" w:eastAsia="Arial" w:hAnsi="Arial"/>
          <w:sz w:val="18"/>
          <w:szCs w:val="18"/>
          <w:b w:val="1"/>
          <w:bCs w:val="1"/>
          <w:color w:val="auto"/>
        </w:rPr>
        <w:t>Three months ended</w:t>
      </w:r>
    </w:p>
    <w:p>
      <w:pPr>
        <w:spacing w:after="0" w:line="14" w:lineRule="exact"/>
        <w:rPr>
          <w:sz w:val="20"/>
          <w:szCs w:val="20"/>
          <w:color w:val="auto"/>
        </w:rPr>
      </w:pPr>
    </w:p>
    <w:p>
      <w:pPr>
        <w:jc w:val="center"/>
        <w:ind w:left="7720"/>
        <w:spacing w:after="0"/>
        <w:rPr>
          <w:sz w:val="20"/>
          <w:szCs w:val="20"/>
          <w:color w:val="auto"/>
        </w:rPr>
      </w:pPr>
      <w:r>
        <w:rPr>
          <w:rFonts w:ascii="Arial" w:cs="Arial" w:eastAsia="Arial" w:hAnsi="Arial"/>
          <w:sz w:val="18"/>
          <w:szCs w:val="18"/>
          <w:b w:val="1"/>
          <w:bCs w:val="1"/>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-1905</wp:posOffset>
            </wp:positionV>
            <wp:extent cx="19291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21"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(in millions)</w:t>
      </w:r>
    </w:p>
    <w:p>
      <w:pPr>
        <w:spacing w:after="0" w:line="9" w:lineRule="exact"/>
        <w:rPr>
          <w:sz w:val="20"/>
          <w:szCs w:val="20"/>
          <w:color w:val="auto"/>
        </w:rPr>
      </w:pPr>
    </w:p>
    <w:p>
      <w:pPr>
        <w:ind w:left="120"/>
        <w:spacing w:after="0"/>
        <w:tabs>
          <w:tab w:leader="none" w:pos="7960" w:val="left"/>
          <w:tab w:leader="none" w:pos="10800" w:val="left"/>
        </w:tabs>
        <w:rPr>
          <w:sz w:val="20"/>
          <w:szCs w:val="20"/>
          <w:color w:val="auto"/>
        </w:rPr>
      </w:pPr>
      <w:r>
        <w:rPr>
          <w:rFonts w:ascii="Arial" w:cs="Arial" w:eastAsia="Arial" w:hAnsi="Arial"/>
          <w:sz w:val="18"/>
          <w:szCs w:val="18"/>
          <w:color w:val="auto"/>
        </w:rPr>
        <w:t>Net loss attributable to redeemable non-controlling interest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-130175</wp:posOffset>
            </wp:positionV>
            <wp:extent cx="6986270"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86270" cy="128905"/>
                    </a:xfrm>
                    <a:prstGeom prst="rect">
                      <a:avLst/>
                    </a:prstGeom>
                    <a:noFill/>
                  </pic:spPr>
                </pic:pic>
              </a:graphicData>
            </a:graphic>
          </wp:anchor>
        </w:drawing>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activity in the redeemable non-controlling interest for the period indicated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1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99"/>
              </w:rPr>
              <w:t>March 31, 2025</w:t>
            </w:r>
          </w:p>
        </w:tc>
        <w:tc>
          <w:tcPr>
            <w:tcW w:w="220" w:type="dxa"/>
            <w:vAlign w:val="bottom"/>
            <w:gridSpan w:val="2"/>
          </w:tcPr>
          <w:p>
            <w:pPr>
              <w:spacing w:after="0"/>
              <w:rPr>
                <w:sz w:val="19"/>
                <w:szCs w:val="19"/>
                <w:color w:val="auto"/>
              </w:rPr>
            </w:pPr>
          </w:p>
        </w:tc>
      </w:tr>
      <w:tr>
        <w:trPr>
          <w:trHeight w:val="196"/>
        </w:trPr>
        <w:tc>
          <w:tcPr>
            <w:tcW w:w="1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(in millions)</w:t>
            </w:r>
          </w:p>
        </w:tc>
      </w:tr>
      <w:tr>
        <w:trPr>
          <w:trHeight w:val="203"/>
        </w:trPr>
        <w:tc>
          <w:tcPr>
            <w:tcW w:w="120" w:type="dxa"/>
            <w:vAlign w:val="bottom"/>
          </w:tcPr>
          <w:p>
            <w:pPr>
              <w:spacing w:after="0"/>
              <w:rPr>
                <w:sz w:val="17"/>
                <w:szCs w:val="17"/>
                <w:color w:val="auto"/>
              </w:rPr>
            </w:pPr>
          </w:p>
        </w:tc>
        <w:tc>
          <w:tcPr>
            <w:tcW w:w="7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beginning of period</w:t>
            </w:r>
          </w:p>
        </w:tc>
        <w:tc>
          <w:tcPr>
            <w:tcW w:w="11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7040" w:type="dxa"/>
            <w:vAlign w:val="bottom"/>
          </w:tcPr>
          <w:p>
            <w:pPr>
              <w:spacing w:after="0" w:line="202" w:lineRule="exact"/>
              <w:rPr>
                <w:sz w:val="20"/>
                <w:szCs w:val="20"/>
                <w:color w:val="auto"/>
              </w:rPr>
            </w:pPr>
            <w:r>
              <w:rPr>
                <w:rFonts w:ascii="Arial" w:cs="Arial" w:eastAsia="Arial" w:hAnsi="Arial"/>
                <w:sz w:val="18"/>
                <w:szCs w:val="18"/>
                <w:color w:val="auto"/>
              </w:rPr>
              <w:t>Issuance of subsidiary's Preferred Units to redeemable non-controlling interest</w:t>
            </w: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8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7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Accretion to adjust redemption value of subsidiary's Preferred Units</w:t>
            </w:r>
          </w:p>
        </w:tc>
        <w:tc>
          <w:tcPr>
            <w:tcW w:w="8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7040" w:type="dxa"/>
            <w:vAlign w:val="bottom"/>
          </w:tcPr>
          <w:p>
            <w:pPr>
              <w:spacing w:after="0" w:line="202" w:lineRule="exact"/>
              <w:rPr>
                <w:sz w:val="20"/>
                <w:szCs w:val="20"/>
                <w:color w:val="auto"/>
              </w:rPr>
            </w:pPr>
            <w:r>
              <w:rPr>
                <w:rFonts w:ascii="Arial" w:cs="Arial" w:eastAsia="Arial" w:hAnsi="Arial"/>
                <w:sz w:val="18"/>
                <w:szCs w:val="18"/>
                <w:color w:val="auto"/>
              </w:rPr>
              <w:t>Dividends accrued to holders of subsidiary's Preferred Units</w:t>
            </w:r>
          </w:p>
        </w:tc>
        <w:tc>
          <w:tcPr>
            <w:tcW w:w="8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120" w:type="dxa"/>
            <w:vAlign w:val="bottom"/>
          </w:tcPr>
          <w:p>
            <w:pPr>
              <w:spacing w:after="0"/>
              <w:rPr>
                <w:sz w:val="20"/>
                <w:szCs w:val="20"/>
                <w:color w:val="auto"/>
              </w:rPr>
            </w:pPr>
          </w:p>
        </w:tc>
        <w:tc>
          <w:tcPr>
            <w:tcW w:w="7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end of period</w:t>
            </w:r>
          </w:p>
        </w:tc>
        <w:tc>
          <w:tcPr>
            <w:tcW w:w="118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2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w:t>
            </w:r>
          </w:p>
        </w:tc>
        <w:tc>
          <w:tcPr>
            <w:tcW w:w="12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633"/>
        </w:trPr>
        <w:tc>
          <w:tcPr>
            <w:tcW w:w="120" w:type="dxa"/>
            <w:vAlign w:val="bottom"/>
          </w:tcPr>
          <w:p>
            <w:pPr>
              <w:spacing w:after="0"/>
              <w:rPr>
                <w:sz w:val="24"/>
                <w:szCs w:val="24"/>
                <w:color w:val="auto"/>
              </w:rPr>
            </w:pPr>
          </w:p>
        </w:tc>
        <w:tc>
          <w:tcPr>
            <w:tcW w:w="7040" w:type="dxa"/>
            <w:vAlign w:val="bottom"/>
            <w:tcBorders>
              <w:top w:val="single" w:sz="8" w:color="CFF0FC"/>
            </w:tcBorders>
          </w:tcPr>
          <w:p>
            <w:pPr>
              <w:ind w:left="5400"/>
              <w:spacing w:after="0"/>
              <w:rPr>
                <w:sz w:val="20"/>
                <w:szCs w:val="20"/>
                <w:color w:val="auto"/>
              </w:rPr>
            </w:pPr>
            <w:r>
              <w:rPr>
                <w:rFonts w:ascii="Arial" w:cs="Arial" w:eastAsia="Arial" w:hAnsi="Arial"/>
                <w:sz w:val="18"/>
                <w:szCs w:val="18"/>
                <w:color w:val="auto"/>
              </w:rPr>
              <w:t>13</w:t>
            </w:r>
          </w:p>
        </w:tc>
        <w:tc>
          <w:tcPr>
            <w:tcW w:w="82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12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-925195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-908050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7. EQUITY AWARD ACTIVITY AND STOCK-BASED COMPENSATION</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Award Activity</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activity under the equity plans and related information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gridSpan w:val="4"/>
          </w:tcPr>
          <w:p>
            <w:pPr>
              <w:ind w:left="140"/>
              <w:spacing w:after="0"/>
              <w:rPr>
                <w:sz w:val="20"/>
                <w:szCs w:val="20"/>
                <w:color w:val="auto"/>
              </w:rPr>
            </w:pPr>
            <w:r>
              <w:rPr>
                <w:rFonts w:ascii="Arial" w:cs="Arial" w:eastAsia="Arial" w:hAnsi="Arial"/>
                <w:sz w:val="16"/>
                <w:szCs w:val="16"/>
                <w:b w:val="1"/>
                <w:bCs w:val="1"/>
                <w:color w:val="auto"/>
              </w:rPr>
              <w:t>Options Outstanding</w:t>
            </w: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RSUs Outstanding</w:t>
            </w:r>
          </w:p>
        </w:tc>
      </w:tr>
      <w:tr>
        <w:trPr>
          <w:trHeight w:val="168"/>
        </w:trPr>
        <w:tc>
          <w:tcPr>
            <w:tcW w:w="442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4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Weighted-</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Average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420" w:type="dxa"/>
            <w:vAlign w:val="bottom"/>
          </w:tcPr>
          <w:p>
            <w:pPr>
              <w:spacing w:after="0"/>
              <w:rPr>
                <w:sz w:val="16"/>
                <w:szCs w:val="16"/>
                <w:color w:val="auto"/>
              </w:rPr>
            </w:pPr>
          </w:p>
        </w:tc>
        <w:tc>
          <w:tcPr>
            <w:tcW w:w="1220" w:type="dxa"/>
            <w:vAlign w:val="bottom"/>
          </w:tcPr>
          <w:p>
            <w:pPr>
              <w:jc w:val="center"/>
              <w:ind w:left="239"/>
              <w:spacing w:after="0"/>
              <w:rPr>
                <w:sz w:val="20"/>
                <w:szCs w:val="20"/>
                <w:color w:val="auto"/>
              </w:rPr>
            </w:pPr>
            <w:r>
              <w:rPr>
                <w:rFonts w:ascii="Arial" w:cs="Arial" w:eastAsia="Arial" w:hAnsi="Arial"/>
                <w:sz w:val="16"/>
                <w:szCs w:val="16"/>
                <w:b w:val="1"/>
                <w:bCs w:val="1"/>
                <w:color w:val="auto"/>
              </w:rPr>
              <w:t>Number of</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Exercise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Term (In</w:t>
            </w:r>
          </w:p>
        </w:tc>
        <w:tc>
          <w:tcPr>
            <w:tcW w:w="22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 of</w:t>
            </w:r>
          </w:p>
        </w:tc>
      </w:tr>
      <w:tr>
        <w:trPr>
          <w:trHeight w:val="203"/>
        </w:trPr>
        <w:tc>
          <w:tcPr>
            <w:tcW w:w="4420" w:type="dxa"/>
            <w:vAlign w:val="bottom"/>
          </w:tcPr>
          <w:p>
            <w:pPr>
              <w:spacing w:after="0"/>
              <w:rPr>
                <w:sz w:val="17"/>
                <w:szCs w:val="17"/>
                <w:color w:val="auto"/>
              </w:rPr>
            </w:pPr>
          </w:p>
        </w:tc>
        <w:tc>
          <w:tcPr>
            <w:tcW w:w="1220" w:type="dxa"/>
            <w:vAlign w:val="bottom"/>
          </w:tcPr>
          <w:p>
            <w:pPr>
              <w:jc w:val="center"/>
              <w:ind w:left="239"/>
              <w:spacing w:after="0"/>
              <w:rPr>
                <w:sz w:val="20"/>
                <w:szCs w:val="20"/>
                <w:color w:val="auto"/>
              </w:rPr>
            </w:pPr>
            <w:r>
              <w:rPr>
                <w:rFonts w:ascii="Arial" w:cs="Arial" w:eastAsia="Arial" w:hAnsi="Arial"/>
                <w:sz w:val="16"/>
                <w:szCs w:val="16"/>
                <w:b w:val="1"/>
                <w:bCs w:val="1"/>
                <w:color w:val="auto"/>
              </w:rPr>
              <w:t>Options</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Price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Years)</w:t>
            </w:r>
          </w:p>
        </w:tc>
        <w:tc>
          <w:tcPr>
            <w:tcW w:w="2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RSUs</w:t>
            </w:r>
          </w:p>
        </w:tc>
      </w:tr>
      <w:tr>
        <w:trPr>
          <w:trHeight w:val="183"/>
        </w:trPr>
        <w:tc>
          <w:tcPr>
            <w:tcW w:w="4420" w:type="dxa"/>
            <w:vAlign w:val="bottom"/>
          </w:tcPr>
          <w:p>
            <w:pPr>
              <w:spacing w:after="0"/>
              <w:rPr>
                <w:sz w:val="15"/>
                <w:szCs w:val="15"/>
                <w:color w:val="auto"/>
              </w:rPr>
            </w:pPr>
          </w:p>
        </w:tc>
        <w:tc>
          <w:tcPr>
            <w:tcW w:w="1540" w:type="dxa"/>
            <w:vAlign w:val="bottom"/>
            <w:tcBorders>
              <w:top w:val="single" w:sz="8" w:color="auto"/>
            </w:tcBorders>
            <w:gridSpan w:val="2"/>
          </w:tcPr>
          <w:p>
            <w:pPr>
              <w:jc w:val="center"/>
              <w:spacing w:after="0" w:line="183" w:lineRule="exact"/>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9"/>
              </w:rPr>
              <w:t>(in thousands)</w:t>
            </w:r>
          </w:p>
        </w:tc>
        <w:tc>
          <w:tcPr>
            <w:tcW w:w="100" w:type="dxa"/>
            <w:vAlign w:val="bottom"/>
          </w:tcPr>
          <w:p>
            <w:pPr>
              <w:spacing w:after="0"/>
              <w:rPr>
                <w:sz w:val="15"/>
                <w:szCs w:val="15"/>
                <w:color w:val="auto"/>
              </w:rPr>
            </w:pPr>
          </w:p>
        </w:tc>
      </w:tr>
      <w:tr>
        <w:trPr>
          <w:trHeight w:val="189"/>
        </w:trPr>
        <w:tc>
          <w:tcPr>
            <w:tcW w:w="5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Balances as of December 31, 2024</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w:t>
            </w:r>
          </w:p>
        </w:tc>
        <w:tc>
          <w:tcPr>
            <w:tcW w:w="22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CFF0FC"/>
          </w:tcPr>
          <w:p>
            <w:pPr>
              <w:spacing w:after="0"/>
              <w:rPr>
                <w:sz w:val="16"/>
                <w:szCs w:val="16"/>
                <w:color w:val="auto"/>
              </w:rPr>
            </w:pPr>
          </w:p>
        </w:tc>
      </w:tr>
      <w:tr>
        <w:trPr>
          <w:trHeight w:val="189"/>
        </w:trPr>
        <w:tc>
          <w:tcPr>
            <w:tcW w:w="5640" w:type="dxa"/>
            <w:vAlign w:val="bottom"/>
            <w:gridSpan w:val="2"/>
          </w:tcPr>
          <w:p>
            <w:pPr>
              <w:spacing w:after="0"/>
              <w:rPr>
                <w:sz w:val="20"/>
                <w:szCs w:val="20"/>
                <w:color w:val="auto"/>
              </w:rPr>
            </w:pPr>
            <w:r>
              <w:rPr>
                <w:rFonts w:ascii="Arial" w:cs="Arial" w:eastAsia="Arial" w:hAnsi="Arial"/>
                <w:sz w:val="16"/>
                <w:szCs w:val="16"/>
                <w:color w:val="auto"/>
              </w:rPr>
              <w:t>Granted</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6"/>
                <w:szCs w:val="16"/>
                <w:color w:val="auto"/>
              </w:rPr>
            </w:pPr>
          </w:p>
        </w:tc>
      </w:tr>
      <w:tr>
        <w:trPr>
          <w:trHeight w:val="189"/>
        </w:trPr>
        <w:tc>
          <w:tcPr>
            <w:tcW w:w="5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Exercised or vested</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8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(14)</w:t>
            </w:r>
          </w:p>
        </w:tc>
      </w:tr>
      <w:tr>
        <w:trPr>
          <w:trHeight w:val="209"/>
        </w:trPr>
        <w:tc>
          <w:tcPr>
            <w:tcW w:w="4420" w:type="dxa"/>
            <w:vAlign w:val="bottom"/>
          </w:tcPr>
          <w:p>
            <w:pPr>
              <w:spacing w:after="0"/>
              <w:rPr>
                <w:sz w:val="20"/>
                <w:szCs w:val="20"/>
                <w:color w:val="auto"/>
              </w:rPr>
            </w:pPr>
            <w:r>
              <w:rPr>
                <w:rFonts w:ascii="Arial" w:cs="Arial" w:eastAsia="Arial" w:hAnsi="Arial"/>
                <w:sz w:val="16"/>
                <w:szCs w:val="16"/>
                <w:color w:val="auto"/>
              </w:rPr>
              <w:t>Forfeited or cancelled</w:t>
            </w:r>
          </w:p>
        </w:tc>
        <w:tc>
          <w:tcPr>
            <w:tcW w:w="1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4420" w:type="dxa"/>
            <w:vAlign w:val="bottom"/>
            <w:tcBorders>
              <w:top w:val="single" w:sz="8" w:color="CFF0FC"/>
              <w:bottom w:val="single" w:sz="8" w:color="CFF0FC"/>
            </w:tcBorders>
            <w:shd w:val="clear" w:color="auto" w:fill="CFF0FC"/>
          </w:tcPr>
          <w:p>
            <w:pPr>
              <w:spacing w:after="0" w:line="162" w:lineRule="exact"/>
              <w:rPr>
                <w:sz w:val="20"/>
                <w:szCs w:val="20"/>
                <w:color w:val="auto"/>
              </w:rPr>
            </w:pPr>
            <w:r>
              <w:rPr>
                <w:rFonts w:ascii="Arial" w:cs="Arial" w:eastAsia="Arial" w:hAnsi="Arial"/>
                <w:sz w:val="16"/>
                <w:szCs w:val="16"/>
                <w:color w:val="auto"/>
              </w:rPr>
              <w:t>Balances as of March 31, 2025</w:t>
            </w:r>
          </w:p>
        </w:tc>
        <w:tc>
          <w:tcPr>
            <w:tcW w:w="1220" w:type="dxa"/>
            <w:vAlign w:val="bottom"/>
            <w:tcBorders>
              <w:top w:val="single" w:sz="8" w:color="CFF0FC"/>
              <w:bottom w:val="single" w:sz="8" w:color="auto"/>
            </w:tcBorders>
            <w:shd w:val="clear" w:color="auto" w:fill="CFF0FC"/>
          </w:tcPr>
          <w:p>
            <w:pPr>
              <w:spacing w:after="0"/>
              <w:rPr>
                <w:sz w:val="18"/>
                <w:szCs w:val="18"/>
                <w:color w:val="auto"/>
              </w:rPr>
            </w:pPr>
          </w:p>
        </w:tc>
        <w:tc>
          <w:tcPr>
            <w:tcW w:w="320" w:type="dxa"/>
            <w:vAlign w:val="bottom"/>
            <w:tcBorders>
              <w:top w:val="single" w:sz="8" w:color="CFF0FC"/>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6"/>
                <w:szCs w:val="16"/>
                <w:color w:val="auto"/>
              </w:rPr>
              <w:t>366</w:t>
            </w:r>
          </w:p>
        </w:tc>
        <w:tc>
          <w:tcPr>
            <w:tcW w:w="480" w:type="dxa"/>
            <w:vAlign w:val="bottom"/>
            <w:tcBorders>
              <w:top w:val="single" w:sz="8" w:color="CFF0FC"/>
              <w:bottom w:val="single" w:sz="8" w:color="CFF0FC"/>
            </w:tcBorders>
            <w:gridSpan w:val="2"/>
            <w:shd w:val="clear" w:color="auto" w:fill="CFF0FC"/>
          </w:tcPr>
          <w:p>
            <w:pPr>
              <w:jc w:val="right"/>
              <w:ind w:right="120"/>
              <w:spacing w:after="0" w:line="169" w:lineRule="exact"/>
              <w:rPr>
                <w:sz w:val="20"/>
                <w:szCs w:val="20"/>
                <w:color w:val="auto"/>
              </w:rPr>
            </w:pPr>
            <w:r>
              <w:rPr>
                <w:rFonts w:ascii="Arial" w:cs="Arial" w:eastAsia="Arial" w:hAnsi="Arial"/>
                <w:sz w:val="16"/>
                <w:szCs w:val="16"/>
                <w:color w:val="auto"/>
              </w:rPr>
              <w:t>$</w:t>
            </w:r>
          </w:p>
        </w:tc>
        <w:tc>
          <w:tcPr>
            <w:tcW w:w="1240" w:type="dxa"/>
            <w:vAlign w:val="bottom"/>
            <w:tcBorders>
              <w:top w:val="single" w:sz="8" w:color="CFF0FC"/>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18.00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500" w:type="dxa"/>
            <w:vAlign w:val="bottom"/>
            <w:tcBorders>
              <w:top w:val="single" w:sz="8" w:color="CFF0FC"/>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5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655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-24765</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The weighted-average grant date fair value of restricted stock was $6.78 for the three months ended March 31, 2025. As of March 31, 2025, 4,024 thousand shares remained available for grant under the Company’s equity incentive plans.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stock-based compensation expense included in the condensed consolidated statements of operations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9"/>
              </w:rPr>
              <w:t>Three Months Ended</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652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March 31,</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520" w:type="dxa"/>
            <w:vAlign w:val="bottom"/>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7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6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Sales and marketing</w:t>
            </w:r>
          </w:p>
        </w:tc>
        <w:tc>
          <w:tcPr>
            <w:tcW w:w="1340" w:type="dxa"/>
            <w:vAlign w:val="bottom"/>
            <w:shd w:val="clear" w:color="auto" w:fill="CFF0FC"/>
          </w:tcPr>
          <w:p>
            <w:pPr>
              <w:jc w:val="right"/>
              <w:ind w:right="11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Product development</w:t>
            </w:r>
          </w:p>
        </w:tc>
        <w:tc>
          <w:tcPr>
            <w:tcW w:w="13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r>
      <w:tr>
        <w:trPr>
          <w:trHeight w:val="203"/>
        </w:trPr>
        <w:tc>
          <w:tcPr>
            <w:tcW w:w="65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General and administrative</w:t>
            </w:r>
          </w:p>
        </w:tc>
        <w:tc>
          <w:tcPr>
            <w:tcW w:w="13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3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20" w:type="dxa"/>
            <w:vAlign w:val="bottom"/>
          </w:tcPr>
          <w:p>
            <w:pPr>
              <w:ind w:left="160"/>
              <w:spacing w:after="0" w:line="196" w:lineRule="exact"/>
              <w:rPr>
                <w:sz w:val="20"/>
                <w:szCs w:val="20"/>
                <w:color w:val="auto"/>
              </w:rPr>
            </w:pPr>
            <w:r>
              <w:rPr>
                <w:rFonts w:ascii="Arial" w:cs="Arial" w:eastAsia="Arial" w:hAnsi="Arial"/>
                <w:sz w:val="18"/>
                <w:szCs w:val="18"/>
                <w:color w:val="auto"/>
              </w:rPr>
              <w:t>Total stock-based compensation</w:t>
            </w:r>
          </w:p>
        </w:tc>
        <w:tc>
          <w:tcPr>
            <w:tcW w:w="1340" w:type="dxa"/>
            <w:vAlign w:val="bottom"/>
          </w:tcPr>
          <w:p>
            <w:pPr>
              <w:jc w:val="right"/>
              <w:ind w:right="11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680"/>
              <w:spacing w:after="0" w:line="196"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-162560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3"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The Company will recognize the remaining $3 million of unrecognized stock-based compensation expense related to restricted stock units ("RSUs") granted following the Asset Sale over a weighted-average period of approximately 1 year and the remaining $6 million of unrecognized stock-based compensation related to Class P Units over a weighted-average period of approximately 4 years.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Class P Units</w:t>
      </w:r>
    </w:p>
    <w:p>
      <w:pPr>
        <w:spacing w:after="0" w:line="15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8"/>
          <w:szCs w:val="18"/>
          <w:color w:val="auto"/>
        </w:rPr>
        <w:t>On March 6, 2025, the Board approved, and the Company entered into, an employment agreement for Mr. Rishi Bajaj to serve as the Chief Executive Officer ("CEO"), including a revised compensation package (the “Employment Agreement”), effective March 6, 2025 (the “Effective Date” or "Valuation Date"). On the Effective Date, Mr. Bajaj was awarded 2,372 thousand Class P units (the “Class P Units”) in Holdings, consisting of (i) an award of 474 thousand time-based Class P Units (the “Time Vesting Grant”) which will vest over time, in four (4) equal installments, subject to Mr. Bajaj’s continuous service, with 25% of the Time Vesting Grant vesting on the first anniversary of the Effective Date and an additional 25% on each anniversary thereafter; and (ii) an award targeted at 1,423 thousand performance-based Class P Units (the “Performance Vesting Grant”) which will be earned and will vest based on the achievement of specified performance criteria, up to a maximum of 1,898 thousand performance-based Class P Units, subject to Mr. Bajaj’s continuous service through the four (4) year anniversary of the Effective Date.</w:t>
      </w:r>
    </w:p>
    <w:p>
      <w:pPr>
        <w:spacing w:after="0" w:line="129"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If Mr. Bajaj’s employment is terminated due his death or Disability (as defined in the Employment Agreement), then (a) the Time Vesting Grant will immediately vest upon termination; and (b) the Performance Vesting Grant will remain outstanding through the four (4) year anniversary of the Effective Date and will vest as follows: (A) 712 thousand of the Class P Units will vest upon the date the performance metrics applicable to such Class P Units are achieved; (B) 712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7" w:name="page18"/>
    <w:bookmarkEnd w:id="17"/>
    <w:p>
      <w:pPr>
        <w:jc w:val="both"/>
        <w:ind w:right="20" w:firstLine="59"/>
        <w:spacing w:after="0" w:line="271" w:lineRule="auto"/>
        <w:rPr>
          <w:sz w:val="20"/>
          <w:szCs w:val="20"/>
          <w:color w:val="auto"/>
        </w:rPr>
      </w:pPr>
      <w:r>
        <w:rPr>
          <w:rFonts w:ascii="Arial" w:cs="Arial" w:eastAsia="Arial" w:hAnsi="Arial"/>
          <w:sz w:val="18"/>
          <w:szCs w:val="18"/>
          <w:color w:val="auto"/>
        </w:rPr>
        <w:t>thousand of the Class P Units will vest upon the date the performance metrics applicable to such Class P Units are achieved; and (C) 474 thousand of the Class P Units will vest upon the date the performance metrics applicable to such Class P Units are achieved.</w:t>
      </w:r>
    </w:p>
    <w:p>
      <w:pPr>
        <w:spacing w:after="0" w:line="100" w:lineRule="exact"/>
        <w:rPr>
          <w:sz w:val="20"/>
          <w:szCs w:val="20"/>
          <w:color w:val="auto"/>
        </w:rPr>
      </w:pPr>
    </w:p>
    <w:p>
      <w:pPr>
        <w:jc w:val="both"/>
        <w:ind w:firstLine="636"/>
        <w:spacing w:after="0"/>
        <w:rPr>
          <w:sz w:val="20"/>
          <w:szCs w:val="20"/>
          <w:color w:val="auto"/>
        </w:rPr>
      </w:pPr>
      <w:r>
        <w:rPr>
          <w:rFonts w:ascii="Arial" w:cs="Arial" w:eastAsia="Arial" w:hAnsi="Arial"/>
          <w:sz w:val="18"/>
          <w:szCs w:val="18"/>
          <w:color w:val="auto"/>
        </w:rPr>
        <w:t>If Mr. Bajaj’s employment is terminated by the Company without Cause (other than by reason of Disability) or by Mr. Bajaj for Good Reason (as such terms are defined in the Employment Agreement), then (a) the Time Vesting Grant will immediately vest upon termination; and (b) the Performance Vesting Grant will remain outstanding through the four (4) year anniversary of the Effective Date and will vest as follows: (A) 712 thousand of the Class P Units will vest upon the later of (x) the two (2) year anniversary of the Effective Date or (y) the date the performance metrics applicable to such Class P Units are achieved; (B) 712 thousand of the Class P Units will vest upon the later of (x) the three (3) year anniversary of the Effective Date or (y) the date the performance metrics applicable to such Class P Units are achieved; and (C) 474 thousand of the Class P Units will vest upon the four (4) year anniversary of the Effective Date provided the performance metrics applicable to such Class P Units are achieved.</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non-vested Class P Units as of March 31, 2025, were as follows (in thousands, except per share amounts):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4400" w:type="dxa"/>
            <w:vAlign w:val="bottom"/>
          </w:tcPr>
          <w:p>
            <w:pPr>
              <w:spacing w:after="0"/>
              <w:rPr>
                <w:sz w:val="19"/>
                <w:szCs w:val="19"/>
                <w:color w:val="auto"/>
              </w:rPr>
            </w:pPr>
          </w:p>
        </w:tc>
        <w:tc>
          <w:tcPr>
            <w:tcW w:w="31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Time Vesting Grant</w:t>
            </w:r>
          </w:p>
        </w:tc>
        <w:tc>
          <w:tcPr>
            <w:tcW w:w="220" w:type="dxa"/>
            <w:vAlign w:val="bottom"/>
          </w:tcPr>
          <w:p>
            <w:pPr>
              <w:spacing w:after="0"/>
              <w:rPr>
                <w:sz w:val="19"/>
                <w:szCs w:val="19"/>
                <w:color w:val="auto"/>
              </w:rPr>
            </w:pPr>
          </w:p>
        </w:tc>
        <w:tc>
          <w:tcPr>
            <w:tcW w:w="3280" w:type="dxa"/>
            <w:vAlign w:val="bottom"/>
            <w:gridSpan w:val="5"/>
          </w:tcPr>
          <w:p>
            <w:pPr>
              <w:ind w:left="400"/>
              <w:spacing w:after="0"/>
              <w:rPr>
                <w:sz w:val="20"/>
                <w:szCs w:val="20"/>
                <w:color w:val="auto"/>
              </w:rPr>
            </w:pPr>
            <w:r>
              <w:rPr>
                <w:rFonts w:ascii="Arial" w:cs="Arial" w:eastAsia="Arial" w:hAnsi="Arial"/>
                <w:sz w:val="18"/>
                <w:szCs w:val="18"/>
                <w:b w:val="1"/>
                <w:bCs w:val="1"/>
                <w:color w:val="auto"/>
              </w:rPr>
              <w:t>Performance Vesting Grant</w:t>
            </w:r>
          </w:p>
        </w:tc>
      </w:tr>
      <w:tr>
        <w:trPr>
          <w:trHeight w:val="177"/>
        </w:trPr>
        <w:tc>
          <w:tcPr>
            <w:tcW w:w="440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center"/>
              <w:ind w:right="90"/>
              <w:spacing w:after="0" w:line="177" w:lineRule="exact"/>
              <w:rPr>
                <w:sz w:val="20"/>
                <w:szCs w:val="20"/>
                <w:color w:val="auto"/>
              </w:rPr>
            </w:pPr>
            <w:r>
              <w:rPr>
                <w:rFonts w:ascii="Arial" w:cs="Arial" w:eastAsia="Arial" w:hAnsi="Arial"/>
                <w:sz w:val="18"/>
                <w:szCs w:val="18"/>
                <w:b w:val="1"/>
                <w:bCs w:val="1"/>
                <w:color w:val="auto"/>
                <w:w w:val="98"/>
              </w:rPr>
              <w:t>Weighted</w:t>
            </w:r>
          </w:p>
        </w:tc>
        <w:tc>
          <w:tcPr>
            <w:tcW w:w="22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gridSpan w:val="3"/>
          </w:tcPr>
          <w:p>
            <w:pPr>
              <w:ind w:left="240"/>
              <w:spacing w:after="0" w:line="177" w:lineRule="exact"/>
              <w:rPr>
                <w:sz w:val="20"/>
                <w:szCs w:val="20"/>
                <w:color w:val="auto"/>
              </w:rPr>
            </w:pPr>
            <w:r>
              <w:rPr>
                <w:rFonts w:ascii="Arial" w:cs="Arial" w:eastAsia="Arial" w:hAnsi="Arial"/>
                <w:sz w:val="18"/>
                <w:szCs w:val="18"/>
                <w:b w:val="1"/>
                <w:bCs w:val="1"/>
                <w:color w:val="auto"/>
              </w:rPr>
              <w:t>Weighted Average</w:t>
            </w:r>
          </w:p>
        </w:tc>
        <w:tc>
          <w:tcPr>
            <w:tcW w:w="120" w:type="dxa"/>
            <w:vAlign w:val="bottom"/>
          </w:tcPr>
          <w:p>
            <w:pPr>
              <w:spacing w:after="0"/>
              <w:rPr>
                <w:sz w:val="15"/>
                <w:szCs w:val="15"/>
                <w:color w:val="auto"/>
              </w:rPr>
            </w:pPr>
          </w:p>
        </w:tc>
      </w:tr>
      <w:tr>
        <w:trPr>
          <w:trHeight w:val="203"/>
        </w:trPr>
        <w:tc>
          <w:tcPr>
            <w:tcW w:w="4400" w:type="dxa"/>
            <w:vAlign w:val="bottom"/>
          </w:tcPr>
          <w:p>
            <w:pPr>
              <w:spacing w:after="0"/>
              <w:rPr>
                <w:sz w:val="17"/>
                <w:szCs w:val="17"/>
                <w:color w:val="auto"/>
              </w:rPr>
            </w:pPr>
          </w:p>
        </w:tc>
        <w:tc>
          <w:tcPr>
            <w:tcW w:w="130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Number of</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Average Grant</w:t>
            </w:r>
          </w:p>
        </w:tc>
        <w:tc>
          <w:tcPr>
            <w:tcW w:w="220" w:type="dxa"/>
            <w:vAlign w:val="bottom"/>
          </w:tcPr>
          <w:p>
            <w:pPr>
              <w:spacing w:after="0"/>
              <w:rPr>
                <w:sz w:val="17"/>
                <w:szCs w:val="17"/>
                <w:color w:val="auto"/>
              </w:rPr>
            </w:pPr>
          </w:p>
        </w:tc>
        <w:tc>
          <w:tcPr>
            <w:tcW w:w="13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Number of</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Grant Date Fair</w:t>
            </w:r>
          </w:p>
        </w:tc>
      </w:tr>
      <w:tr>
        <w:trPr>
          <w:trHeight w:val="221"/>
        </w:trPr>
        <w:tc>
          <w:tcPr>
            <w:tcW w:w="4400" w:type="dxa"/>
            <w:vAlign w:val="bottom"/>
          </w:tcPr>
          <w:p>
            <w:pPr>
              <w:spacing w:after="0"/>
              <w:rPr>
                <w:sz w:val="19"/>
                <w:szCs w:val="19"/>
                <w:color w:val="auto"/>
              </w:rPr>
            </w:pP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Units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Date Fair Value</w:t>
            </w:r>
          </w:p>
        </w:tc>
        <w:tc>
          <w:tcPr>
            <w:tcW w:w="220" w:type="dxa"/>
            <w:vAlign w:val="bottom"/>
          </w:tcPr>
          <w:p>
            <w:pPr>
              <w:spacing w:after="0"/>
              <w:rPr>
                <w:sz w:val="19"/>
                <w:szCs w:val="19"/>
                <w:color w:val="auto"/>
              </w:rPr>
            </w:pP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Units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19"/>
                <w:szCs w:val="19"/>
                <w:color w:val="auto"/>
              </w:rPr>
            </w:pPr>
          </w:p>
        </w:tc>
      </w:tr>
      <w:tr>
        <w:trPr>
          <w:trHeight w:val="196"/>
        </w:trPr>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Nonvested at January 1, 2025</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474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3.21</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1,898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2.39</w:t>
            </w:r>
          </w:p>
        </w:tc>
        <w:tc>
          <w:tcPr>
            <w:tcW w:w="120" w:type="dxa"/>
            <w:vAlign w:val="bottom"/>
          </w:tcPr>
          <w:p>
            <w:pPr>
              <w:spacing w:after="0"/>
              <w:rPr>
                <w:sz w:val="17"/>
                <w:szCs w:val="17"/>
                <w:color w:val="auto"/>
              </w:rPr>
            </w:pPr>
          </w:p>
        </w:tc>
      </w:tr>
      <w:tr>
        <w:trPr>
          <w:trHeight w:val="203"/>
        </w:trPr>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Vested</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36"/>
        </w:trPr>
        <w:tc>
          <w:tcPr>
            <w:tcW w:w="44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Nonvested at March 31, 2025</w:t>
            </w:r>
          </w:p>
        </w:tc>
        <w:tc>
          <w:tcPr>
            <w:tcW w:w="13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474</w:t>
            </w:r>
          </w:p>
        </w:tc>
        <w:tc>
          <w:tcPr>
            <w:tcW w:w="360" w:type="dxa"/>
            <w:vAlign w:val="bottom"/>
            <w:tcBorders>
              <w:bottom w:val="single" w:sz="8" w:color="CFF0FC"/>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3.21</w:t>
            </w:r>
          </w:p>
        </w:tc>
        <w:tc>
          <w:tcPr>
            <w:tcW w:w="22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1,898</w:t>
            </w:r>
          </w:p>
        </w:tc>
        <w:tc>
          <w:tcPr>
            <w:tcW w:w="340" w:type="dxa"/>
            <w:vAlign w:val="bottom"/>
            <w:tcBorders>
              <w:bottom w:val="single" w:sz="8" w:color="CFF0FC"/>
            </w:tcBorders>
            <w:gridSpan w:val="2"/>
            <w:shd w:val="clear" w:color="auto" w:fill="CFF0FC"/>
          </w:tcPr>
          <w:p>
            <w:pPr>
              <w:ind w:left="240"/>
              <w:spacing w:after="0" w:line="182"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2.39</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-25400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-25400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A Monte Carlo simulation model under the option pricing method was used to estimate the fair value of the Class P Units. The fair value included a discount for lack of marketability, as these units are non-marketable, minority interests in Holdings, without an active market and are subject to restrictions on transfer. The total cumulative fair value of the Time Vesting Grant and Performance Vesting Grant was $1 million and $5 million, respectively.</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valuation assumptions utilized for the Class P Units as of the March 6, 2025, grant date were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shd w:val="clear" w:color="auto" w:fill="CFF0FC"/>
          </w:tcPr>
          <w:p>
            <w:pPr>
              <w:spacing w:after="0" w:line="203" w:lineRule="exact"/>
              <w:rPr>
                <w:sz w:val="20"/>
                <w:szCs w:val="20"/>
                <w:color w:val="auto"/>
              </w:rPr>
            </w:pPr>
            <w:r>
              <w:rPr>
                <w:rFonts w:ascii="Arial" w:cs="Arial" w:eastAsia="Arial" w:hAnsi="Arial"/>
                <w:sz w:val="17"/>
                <w:szCs w:val="17"/>
                <w:color w:val="auto"/>
              </w:rPr>
              <w:t xml:space="preserve">Expected time to a liquidity event </w:t>
            </w:r>
            <w:r>
              <w:rPr>
                <w:rFonts w:ascii="Times New Roman" w:cs="Times New Roman" w:eastAsia="Times New Roman" w:hAnsi="Times New Roman"/>
                <w:sz w:val="23"/>
                <w:szCs w:val="23"/>
                <w:color w:val="auto"/>
                <w:vertAlign w:val="superscript"/>
              </w:rPr>
              <w:t>(1)</w:t>
            </w:r>
          </w:p>
        </w:tc>
        <w:tc>
          <w:tcPr>
            <w:tcW w:w="3620" w:type="dxa"/>
            <w:vAlign w:val="bottom"/>
            <w:shd w:val="clear" w:color="auto" w:fill="CFF0FC"/>
          </w:tcPr>
          <w:p>
            <w:pPr>
              <w:spacing w:after="0"/>
              <w:rPr>
                <w:sz w:val="17"/>
                <w:szCs w:val="17"/>
                <w:color w:val="auto"/>
              </w:rPr>
            </w:pPr>
          </w:p>
        </w:tc>
        <w:tc>
          <w:tcPr>
            <w:tcW w:w="224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5.00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3" w:lineRule="exact"/>
              <w:rPr>
                <w:sz w:val="20"/>
                <w:szCs w:val="20"/>
                <w:color w:val="auto"/>
              </w:rPr>
            </w:pPr>
            <w:r>
              <w:rPr>
                <w:rFonts w:ascii="Arial" w:cs="Arial" w:eastAsia="Arial" w:hAnsi="Arial"/>
                <w:sz w:val="17"/>
                <w:szCs w:val="17"/>
                <w:color w:val="auto"/>
              </w:rPr>
              <w:t xml:space="preserve">Expected volatility </w:t>
            </w:r>
            <w:r>
              <w:rPr>
                <w:rFonts w:ascii="Times New Roman" w:cs="Times New Roman" w:eastAsia="Times New Roman" w:hAnsi="Times New Roman"/>
                <w:sz w:val="23"/>
                <w:szCs w:val="23"/>
                <w:color w:val="auto"/>
                <w:vertAlign w:val="superscript"/>
              </w:rPr>
              <w:t>(2)</w:t>
            </w:r>
          </w:p>
        </w:tc>
        <w:tc>
          <w:tcPr>
            <w:tcW w:w="3620" w:type="dxa"/>
            <w:vAlign w:val="bottom"/>
          </w:tcPr>
          <w:p>
            <w:pPr>
              <w:spacing w:after="0"/>
              <w:rPr>
                <w:sz w:val="17"/>
                <w:szCs w:val="17"/>
                <w:color w:val="auto"/>
              </w:rPr>
            </w:pPr>
          </w:p>
        </w:tc>
        <w:tc>
          <w:tcPr>
            <w:tcW w:w="224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FF0FC"/>
          </w:tcPr>
          <w:p>
            <w:pPr>
              <w:spacing w:after="0" w:line="203" w:lineRule="exact"/>
              <w:rPr>
                <w:sz w:val="20"/>
                <w:szCs w:val="20"/>
                <w:color w:val="auto"/>
              </w:rPr>
            </w:pPr>
            <w:r>
              <w:rPr>
                <w:rFonts w:ascii="Arial" w:cs="Arial" w:eastAsia="Arial" w:hAnsi="Arial"/>
                <w:sz w:val="17"/>
                <w:szCs w:val="17"/>
                <w:color w:val="auto"/>
              </w:rPr>
              <w:t xml:space="preserve">Risk-free interest rate </w:t>
            </w:r>
            <w:r>
              <w:rPr>
                <w:rFonts w:ascii="Times New Roman" w:cs="Times New Roman" w:eastAsia="Times New Roman" w:hAnsi="Times New Roman"/>
                <w:sz w:val="23"/>
                <w:szCs w:val="23"/>
                <w:color w:val="auto"/>
                <w:vertAlign w:val="superscript"/>
              </w:rPr>
              <w:t>(3)</w:t>
            </w:r>
          </w:p>
        </w:tc>
        <w:tc>
          <w:tcPr>
            <w:tcW w:w="3620" w:type="dxa"/>
            <w:vAlign w:val="bottom"/>
            <w:shd w:val="clear" w:color="auto" w:fill="CFF0FC"/>
          </w:tcPr>
          <w:p>
            <w:pPr>
              <w:spacing w:after="0"/>
              <w:rPr>
                <w:sz w:val="17"/>
                <w:szCs w:val="17"/>
                <w:color w:val="auto"/>
              </w:rPr>
            </w:pPr>
          </w:p>
        </w:tc>
        <w:tc>
          <w:tcPr>
            <w:tcW w:w="2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3" w:lineRule="exact"/>
              <w:rPr>
                <w:sz w:val="20"/>
                <w:szCs w:val="20"/>
                <w:color w:val="auto"/>
              </w:rPr>
            </w:pPr>
            <w:r>
              <w:rPr>
                <w:rFonts w:ascii="Arial" w:cs="Arial" w:eastAsia="Arial" w:hAnsi="Arial"/>
                <w:sz w:val="17"/>
                <w:szCs w:val="17"/>
                <w:color w:val="auto"/>
              </w:rPr>
              <w:t xml:space="preserve">Equity value </w:t>
            </w:r>
            <w:r>
              <w:rPr>
                <w:rFonts w:ascii="Times New Roman" w:cs="Times New Roman" w:eastAsia="Times New Roman" w:hAnsi="Times New Roman"/>
                <w:sz w:val="23"/>
                <w:szCs w:val="23"/>
                <w:color w:val="auto"/>
                <w:vertAlign w:val="superscript"/>
              </w:rPr>
              <w:t>(4)</w:t>
            </w:r>
          </w:p>
        </w:tc>
        <w:tc>
          <w:tcPr>
            <w:tcW w:w="3620" w:type="dxa"/>
            <w:vAlign w:val="bottom"/>
          </w:tcPr>
          <w:p>
            <w:pPr>
              <w:jc w:val="right"/>
              <w:ind w:right="1110"/>
              <w:spacing w:after="0" w:line="202" w:lineRule="exact"/>
              <w:rPr>
                <w:sz w:val="20"/>
                <w:szCs w:val="20"/>
                <w:color w:val="auto"/>
              </w:rPr>
            </w:pPr>
            <w:r>
              <w:rPr>
                <w:rFonts w:ascii="Arial" w:cs="Arial" w:eastAsia="Arial" w:hAnsi="Arial"/>
                <w:sz w:val="18"/>
                <w:szCs w:val="18"/>
                <w:color w:val="auto"/>
              </w:rPr>
              <w:t>$</w:t>
            </w:r>
          </w:p>
        </w:tc>
        <w:tc>
          <w:tcPr>
            <w:tcW w:w="22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Discount for lack of marketability</w:t>
            </w:r>
          </w:p>
        </w:tc>
        <w:tc>
          <w:tcPr>
            <w:tcW w:w="3620" w:type="dxa"/>
            <w:vAlign w:val="bottom"/>
            <w:shd w:val="clear" w:color="auto" w:fill="CFF0FC"/>
          </w:tcPr>
          <w:p>
            <w:pPr>
              <w:spacing w:after="0"/>
              <w:rPr>
                <w:sz w:val="17"/>
                <w:szCs w:val="17"/>
                <w:color w:val="auto"/>
              </w:rPr>
            </w:pPr>
          </w:p>
        </w:tc>
        <w:tc>
          <w:tcPr>
            <w:tcW w:w="2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980" w:hanging="223"/>
        <w:spacing w:after="0"/>
        <w:tabs>
          <w:tab w:leader="none" w:pos="98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the expected time to a liquidity event as of the measurement date.</w:t>
      </w:r>
    </w:p>
    <w:p>
      <w:pPr>
        <w:spacing w:after="0" w:line="109" w:lineRule="exact"/>
        <w:rPr>
          <w:rFonts w:ascii="Arial" w:cs="Arial" w:eastAsia="Arial" w:hAnsi="Arial"/>
          <w:sz w:val="14"/>
          <w:szCs w:val="14"/>
          <w:color w:val="auto"/>
        </w:rPr>
      </w:pPr>
    </w:p>
    <w:p>
      <w:pPr>
        <w:ind w:right="100" w:firstLine="757"/>
        <w:spacing w:after="0" w:line="256" w:lineRule="auto"/>
        <w:tabs>
          <w:tab w:leader="none" w:pos="965" w:val="left"/>
        </w:tabs>
        <w:numPr>
          <w:ilvl w:val="0"/>
          <w:numId w:val="4"/>
        </w:numPr>
        <w:rPr>
          <w:rFonts w:ascii="Arial" w:cs="Arial" w:eastAsia="Arial" w:hAnsi="Arial"/>
          <w:sz w:val="14"/>
          <w:szCs w:val="14"/>
          <w:color w:val="auto"/>
        </w:rPr>
      </w:pPr>
      <w:r>
        <w:rPr>
          <w:rFonts w:ascii="Arial" w:cs="Arial" w:eastAsia="Arial" w:hAnsi="Arial"/>
          <w:sz w:val="14"/>
          <w:szCs w:val="14"/>
          <w:color w:val="auto"/>
        </w:rPr>
        <w:t>Because Holdings is a private company that was formed on the grant date, it is not possible to base Holding’s expected volatility assumption on the historical volatility of the Holding’s stock price. A selected specific peer group was used to develop a volatility indication for Holdings as of the Valuation Date using each peer company’s historical equity volatility over the period commensurate with the expected time to a liquidity event, adjusting for differences in financial leverage. The peer group was selected based on the types of companies that Holdings will likely acquire.</w:t>
      </w:r>
    </w:p>
    <w:p>
      <w:pPr>
        <w:spacing w:after="0" w:line="69" w:lineRule="exact"/>
        <w:rPr>
          <w:rFonts w:ascii="Arial" w:cs="Arial" w:eastAsia="Arial" w:hAnsi="Arial"/>
          <w:sz w:val="14"/>
          <w:szCs w:val="14"/>
          <w:color w:val="auto"/>
        </w:rPr>
      </w:pPr>
    </w:p>
    <w:p>
      <w:pPr>
        <w:ind w:right="180" w:firstLine="757"/>
        <w:spacing w:after="0" w:line="285" w:lineRule="auto"/>
        <w:tabs>
          <w:tab w:leader="none" w:pos="965"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risk-free rate equals the continuously compounded yield on zero-coupon U.S. Treasury Separate Trading of Registered Interest and Principal of Securities as of the Valuation Date for a period equal to the time from the Valuation Date until the expected liquidity event, assuming linear interpolation between terms.</w:t>
      </w:r>
    </w:p>
    <w:p>
      <w:pPr>
        <w:spacing w:after="0" w:line="49" w:lineRule="exact"/>
        <w:rPr>
          <w:rFonts w:ascii="Arial" w:cs="Arial" w:eastAsia="Arial" w:hAnsi="Arial"/>
          <w:sz w:val="14"/>
          <w:szCs w:val="14"/>
          <w:color w:val="auto"/>
        </w:rPr>
      </w:pPr>
    </w:p>
    <w:p>
      <w:pPr>
        <w:ind w:right="40" w:firstLine="757"/>
        <w:spacing w:after="0" w:line="285" w:lineRule="auto"/>
        <w:tabs>
          <w:tab w:leader="none" w:pos="965"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fair value of the Company’s equity was estimated based on the capital contributions for the Preferred Units and Class B common units given that capital was contributed on the measurement date.</w:t>
      </w:r>
    </w:p>
    <w:p>
      <w:pPr>
        <w:spacing w:after="0" w:line="94"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Compensation costs related to Class P Units are recognized based on the grant date fair value on a straight-line basis over the period starting on the grant date and ending on the fourth anniversary of the grant date. The Time Vesting grant vests based on satisfying a service-based condition. The Performance Vesting Grant vests based on satisfying a service-based vesting condition and a market condition. Compensation costs related to the Class P Units were insignificant for the quarter ended March 31, 2025. As of March 31, 2025, the number of non-vested units was 2,372 thousand with a weighted-average grant date fair value of $2.55.</w:t>
      </w:r>
    </w:p>
    <w:p>
      <w:pPr>
        <w:spacing w:after="0" w:line="122" w:lineRule="exact"/>
        <w:rPr>
          <w:sz w:val="20"/>
          <w:szCs w:val="20"/>
          <w:color w:val="auto"/>
        </w:rPr>
      </w:pPr>
    </w:p>
    <w:p>
      <w:pPr>
        <w:jc w:val="both"/>
        <w:ind w:right="20" w:firstLine="636"/>
        <w:spacing w:after="0" w:line="271" w:lineRule="auto"/>
        <w:rPr>
          <w:sz w:val="20"/>
          <w:szCs w:val="20"/>
          <w:color w:val="auto"/>
        </w:rPr>
      </w:pPr>
      <w:r>
        <w:rPr>
          <w:rFonts w:ascii="Arial" w:cs="Arial" w:eastAsia="Arial" w:hAnsi="Arial"/>
          <w:sz w:val="18"/>
          <w:szCs w:val="18"/>
          <w:color w:val="auto"/>
        </w:rPr>
        <w:t>Compensation cost previously recognized for an award forfeited due to a failure to satisfy a service condition will be reversed by the Company in the period of the forfeiture.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8. INCOME TAXES</w:t>
      </w:r>
    </w:p>
    <w:p>
      <w:pPr>
        <w:spacing w:after="0" w:line="158"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The Company’s tax provision for the interim periods is determined using an estimate of the annual effective tax rate, adjusted for discrete items, if any, that arise during the period. Each quarter, the Company assesses its estimate of the annual effective tax rate, and if the estimated annual effective tax rate changes, the Company makes a cumulative adjustment in the period of change.</w:t>
      </w:r>
    </w:p>
    <w:p>
      <w:pPr>
        <w:spacing w:after="0" w:line="115"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The Company’s quarterly tax provision and the estimate of the annual effective tax rate is subject to fluctuation due to several factors, including variability in pre-tax earnings, the geographic distribution of the pre-tax earnings, tax law changes, non-deductible expenses, such as stock-based compensation, and changes in the estimate of the valuation allowance.</w:t>
      </w:r>
    </w:p>
    <w:p>
      <w:pPr>
        <w:spacing w:after="0" w:line="115"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provision for income taxes was $0 million and $6 million for the three months ended March 31, 2025 and 2024, respectively. The year-over-year decrease in provision for income taxes was due to the sale of the Company's operating business and all foreign subsidiaries in April 2024. The Company continues to maintain a valuation allowance on its domestic net deferred tax assets which is excluded from the annual effective tax rate estimate.</w:t>
      </w:r>
    </w:p>
    <w:p>
      <w:pPr>
        <w:spacing w:after="0" w:line="120" w:lineRule="exact"/>
        <w:rPr>
          <w:sz w:val="20"/>
          <w:szCs w:val="20"/>
          <w:color w:val="auto"/>
        </w:rPr>
      </w:pPr>
    </w:p>
    <w:p>
      <w:pPr>
        <w:jc w:val="both"/>
        <w:ind w:right="20" w:firstLine="636"/>
        <w:spacing w:after="0" w:line="271" w:lineRule="auto"/>
        <w:rPr>
          <w:sz w:val="20"/>
          <w:szCs w:val="20"/>
          <w:color w:val="auto"/>
        </w:rPr>
      </w:pPr>
      <w:r>
        <w:rPr>
          <w:rFonts w:ascii="Arial" w:cs="Arial" w:eastAsia="Arial" w:hAnsi="Arial"/>
          <w:sz w:val="18"/>
          <w:szCs w:val="18"/>
          <w:color w:val="auto"/>
        </w:rPr>
        <w:t>The Company had no unrecognized tax benefits as of March 31, 2025 and December 31, 2024. There were no interest and penalties associated with the unrecognized tax benefits for the three months ended March 31, 2025 and December 31, 2024.</w:t>
      </w:r>
    </w:p>
    <w:p>
      <w:pPr>
        <w:spacing w:after="0" w:line="100"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Company files income tax returns in the U.S. federal jurisdiction and various state and foreign jurisdictions. The Company is not currently under examination by income tax authorities in federal, state or other jurisdictions. 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47"/>
        </w:trPr>
        <w:tc>
          <w:tcPr>
            <w:tcW w:w="7580" w:type="dxa"/>
            <w:vAlign w:val="bottom"/>
          </w:tcPr>
          <w:p>
            <w:pPr>
              <w:spacing w:after="0"/>
              <w:rPr>
                <w:sz w:val="20"/>
                <w:szCs w:val="20"/>
                <w:color w:val="auto"/>
              </w:rPr>
            </w:pPr>
            <w:r>
              <w:rPr>
                <w:rFonts w:ascii="Arial" w:cs="Arial" w:eastAsia="Arial" w:hAnsi="Arial"/>
                <w:sz w:val="18"/>
                <w:szCs w:val="18"/>
                <w:b w:val="1"/>
                <w:bCs w:val="1"/>
                <w:color w:val="auto"/>
              </w:rPr>
              <w:t>NOTE 9. NET LOSS PER SHARE</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57"/>
        </w:trPr>
        <w:tc>
          <w:tcPr>
            <w:tcW w:w="7580" w:type="dxa"/>
            <w:vAlign w:val="bottom"/>
          </w:tcPr>
          <w:p>
            <w:pPr>
              <w:ind w:left="66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7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9"/>
              </w:rPr>
              <w:t>Three Months Ended</w:t>
            </w:r>
          </w:p>
        </w:tc>
      </w:tr>
      <w:tr>
        <w:trPr>
          <w:trHeight w:val="221"/>
        </w:trPr>
        <w:tc>
          <w:tcPr>
            <w:tcW w:w="7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center"/>
              <w:ind w:left="693"/>
              <w:spacing w:after="0"/>
              <w:rPr>
                <w:sz w:val="20"/>
                <w:szCs w:val="20"/>
                <w:color w:val="auto"/>
              </w:rPr>
            </w:pPr>
            <w:r>
              <w:rPr>
                <w:rFonts w:ascii="Arial" w:cs="Arial" w:eastAsia="Arial" w:hAnsi="Arial"/>
                <w:sz w:val="18"/>
                <w:szCs w:val="18"/>
                <w:b w:val="1"/>
                <w:bCs w:val="1"/>
                <w:color w:val="auto"/>
                <w:w w:val="98"/>
              </w:rPr>
              <w:t>March 31,</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3"/>
              <w:spacing w:after="0" w:line="196" w:lineRule="exact"/>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46"/>
        </w:trPr>
        <w:tc>
          <w:tcPr>
            <w:tcW w:w="7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 in millions, shares</w:t>
            </w:r>
          </w:p>
        </w:tc>
        <w:tc>
          <w:tcPr>
            <w:tcW w:w="24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in</w:t>
            </w:r>
          </w:p>
        </w:tc>
        <w:tc>
          <w:tcPr>
            <w:tcW w:w="158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thousands, except per</w:t>
            </w:r>
          </w:p>
        </w:tc>
        <w:tc>
          <w:tcPr>
            <w:tcW w:w="100" w:type="dxa"/>
            <w:vAlign w:val="bottom"/>
          </w:tcPr>
          <w:p>
            <w:pPr>
              <w:spacing w:after="0"/>
              <w:rPr>
                <w:sz w:val="12"/>
                <w:szCs w:val="12"/>
                <w:color w:val="auto"/>
              </w:rPr>
            </w:pPr>
          </w:p>
        </w:tc>
      </w:tr>
      <w:tr>
        <w:trPr>
          <w:trHeight w:val="171"/>
        </w:trPr>
        <w:tc>
          <w:tcPr>
            <w:tcW w:w="7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4"/>
          </w:tcPr>
          <w:p>
            <w:pPr>
              <w:jc w:val="center"/>
              <w:ind w:left="693"/>
              <w:spacing w:after="0"/>
              <w:rPr>
                <w:sz w:val="20"/>
                <w:szCs w:val="20"/>
                <w:color w:val="auto"/>
              </w:rPr>
            </w:pPr>
            <w:r>
              <w:rPr>
                <w:rFonts w:ascii="Arial" w:cs="Arial" w:eastAsia="Arial" w:hAnsi="Arial"/>
                <w:sz w:val="14"/>
                <w:szCs w:val="14"/>
                <w:b w:val="1"/>
                <w:bCs w:val="1"/>
                <w:color w:val="auto"/>
              </w:rPr>
              <w:t>share data)</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5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500" w:type="dxa"/>
            <w:vAlign w:val="bottom"/>
            <w:gridSpan w:val="2"/>
          </w:tcPr>
          <w:p>
            <w:pPr>
              <w:jc w:val="right"/>
              <w:ind w:right="159"/>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(7)</w:t>
            </w:r>
          </w:p>
        </w:tc>
        <w:tc>
          <w:tcPr>
            <w:tcW w:w="5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(59)</w:t>
            </w:r>
          </w:p>
        </w:tc>
      </w:tr>
      <w:tr>
        <w:trPr>
          <w:trHeight w:val="20"/>
        </w:trPr>
        <w:tc>
          <w:tcPr>
            <w:tcW w:w="7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8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Weighted-average shares used in computing net loss per share, basic and diluted</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26,306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24,315</w:t>
            </w:r>
          </w:p>
        </w:tc>
        <w:tc>
          <w:tcPr>
            <w:tcW w:w="100" w:type="dxa"/>
            <w:vAlign w:val="bottom"/>
          </w:tcPr>
          <w:p>
            <w:pPr>
              <w:spacing w:after="0"/>
              <w:rPr>
                <w:sz w:val="17"/>
                <w:szCs w:val="17"/>
                <w:color w:val="auto"/>
              </w:rPr>
            </w:pPr>
          </w:p>
        </w:tc>
      </w:tr>
      <w:tr>
        <w:trPr>
          <w:trHeight w:val="216"/>
        </w:trPr>
        <w:tc>
          <w:tcPr>
            <w:tcW w:w="7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9"/>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(0.27)</w:t>
            </w:r>
          </w:p>
        </w:tc>
        <w:tc>
          <w:tcPr>
            <w:tcW w:w="540" w:type="dxa"/>
            <w:vAlign w:val="bottom"/>
            <w:gridSpan w:val="2"/>
            <w:shd w:val="clear" w:color="auto" w:fill="CFF0FC"/>
          </w:tcPr>
          <w:p>
            <w:pPr>
              <w:ind w:left="10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(2.43)</w:t>
            </w:r>
          </w:p>
        </w:tc>
      </w:tr>
      <w:tr>
        <w:trPr>
          <w:trHeight w:val="20"/>
        </w:trPr>
        <w:tc>
          <w:tcPr>
            <w:tcW w:w="75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because including them would have had an anti-dilutive effect:</w:t>
      </w:r>
    </w:p>
    <w:p>
      <w:pPr>
        <w:spacing w:after="0" w:line="140"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As of March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jc w:val="right"/>
              <w:ind w:right="134"/>
              <w:spacing w:after="0"/>
              <w:rPr>
                <w:sz w:val="20"/>
                <w:szCs w:val="20"/>
                <w:color w:val="auto"/>
              </w:rPr>
            </w:pPr>
            <w:r>
              <w:rPr>
                <w:rFonts w:ascii="Arial" w:cs="Arial" w:eastAsia="Arial" w:hAnsi="Arial"/>
                <w:sz w:val="14"/>
                <w:szCs w:val="14"/>
                <w:b w:val="1"/>
                <w:bCs w:val="1"/>
                <w:color w:val="auto"/>
              </w:rPr>
              <w:t>(in</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2"/>
              </w:rPr>
              <w:t>thousands)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760" w:type="dxa"/>
            <w:vAlign w:val="bottom"/>
            <w:gridSpan w:val="2"/>
            <w:shd w:val="clear" w:color="auto" w:fill="CFF0FC"/>
          </w:tcPr>
          <w:p>
            <w:pPr>
              <w:spacing w:after="0" w:line="206" w:lineRule="exact"/>
              <w:rPr>
                <w:sz w:val="20"/>
                <w:szCs w:val="20"/>
                <w:color w:val="auto"/>
              </w:rPr>
            </w:pPr>
            <w:r>
              <w:rPr>
                <w:rFonts w:ascii="Arial" w:cs="Arial" w:eastAsia="Arial" w:hAnsi="Arial"/>
                <w:sz w:val="18"/>
                <w:szCs w:val="18"/>
                <w:color w:val="auto"/>
              </w:rPr>
              <w:t>Common stock options outstanding</w:t>
            </w:r>
          </w:p>
        </w:tc>
        <w:tc>
          <w:tcPr>
            <w:tcW w:w="54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366</w:t>
            </w: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366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line="202" w:lineRule="exact"/>
              <w:rPr>
                <w:sz w:val="20"/>
                <w:szCs w:val="20"/>
                <w:color w:val="auto"/>
              </w:rPr>
            </w:pPr>
            <w:r>
              <w:rPr>
                <w:rFonts w:ascii="Arial" w:cs="Arial" w:eastAsia="Arial" w:hAnsi="Arial"/>
                <w:sz w:val="18"/>
                <w:szCs w:val="18"/>
                <w:color w:val="auto"/>
              </w:rPr>
              <w:t>Unvested restricted stock units outstanding</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655</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Employee stock purchase plan</w:t>
            </w:r>
          </w:p>
        </w:tc>
        <w:tc>
          <w:tcPr>
            <w:tcW w:w="108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76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1,021</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2,261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ind w:left="5520"/>
              <w:spacing w:after="0"/>
              <w:rPr>
                <w:sz w:val="20"/>
                <w:szCs w:val="20"/>
                <w:color w:val="auto"/>
              </w:rPr>
            </w:pPr>
            <w:r>
              <w:rPr>
                <w:rFonts w:ascii="Arial" w:cs="Arial" w:eastAsia="Arial" w:hAnsi="Arial"/>
                <w:sz w:val="18"/>
                <w:szCs w:val="18"/>
                <w:color w:val="auto"/>
              </w:rPr>
              <w:t>17</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76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76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-1062355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10. SEGMENT INFORMATION</w:t>
      </w:r>
    </w:p>
    <w:p>
      <w:pPr>
        <w:spacing w:after="0" w:line="158"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The Company has determined that from January 1, 2024 through the date of the Asset Sale in April 2024, it operated in one reportable segment, and from the date of the Asset Sale, it does not have a reportable segment. The Company’s chief operating decision-maker is its Chief Executive Officer who makes operating decisions, assesses financial performance and allocates resources based on consolidated financial information.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measure of segment assets is reported on the Company’s condensed consolidated balance sheets.</w:t>
      </w:r>
    </w:p>
    <w:p>
      <w:pPr>
        <w:spacing w:after="0" w:line="158"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The Company’s only significant measures of profit and loss are general and administrative expenses and interest and other income, net which are each separately presented on the Company’s condensed consolidated statements of operations.</w:t>
      </w:r>
    </w:p>
    <w:p>
      <w:pPr>
        <w:spacing w:after="0" w:line="100"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Prior to the Asset Sale, China accounted for substantially all of marketplace and logistics revenue during the three months ended March 31, 2024 based on the location of the merchants’ operations. Marketplace and logistics revenue from merchants based in the United States was immaterial.</w:t>
      </w:r>
    </w:p>
    <w:p>
      <w:pPr>
        <w:spacing w:after="0" w:line="115"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Prior to the Asset Sale, the Company believed it was relevant to disclose geographical revenue information determined by the location of the users. Following the closing of the Asset Sale, the Company no longer considers geographic revenue information by users to be relevant.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11. SUBSEQUENT EVENTS</w:t>
      </w:r>
    </w:p>
    <w:p>
      <w:pPr>
        <w:spacing w:after="0" w:line="158"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On April 16, 2025, Richard Parisi and Elizabeth LaPuma delivered notice to the board of directors (the "Board") of the Company of their resignation as directors, effective immediately, to pursue other opportunities. The Board elected to fully accelerate the vesting of all outstanding RSU awards held by Richard Parisi and Elizabeth LaPuma, consequently, the aggregate unvested 247 thousand RSUs became fully vested on April 16, 2025.</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0"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i w:val="1"/>
          <w:iCs w:val="1"/>
          <w:color w:val="auto"/>
        </w:rPr>
        <w:t>The following discussion and analysis of our financial condition, results of operations and cash flows should be read in conjunction with (1) the unaudited condensed consolidated financial statements and the related notes thereto included elsewhere in this Quarterly Report on Form 10-Q, and (2) the audited consolidated financial statements and notes thereto and management’s discussion and analysis of financial condition and results of operations for the year ended December 31, 2024 included in our Annual Report on Form 10-K for the year ended December 31, 2024, as amended by Amendement No. 1 to Annual Report on Form 10-K/A (as amended, the "2024 Form 10-K"). Unless otherwise indicated, all results presented are prepared in a manner that complies, in all material respects, with U.S. GAAP. Additionally, unless otherwise indicated, all changes identified for the current-period results represent comparisons to results for the prior corresponding fiscal period.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Part II, Item 1A of this Quarterly Report on Form 10-Q, the Special Note Regarding Forward-Looking Statements in this Quarterly Report on Form 10-Q, and elsewhere in this Quarterly Report on Form 10-Q. All references to "we", "us", "our", or "ContextLogic" or the "Company" refer to ContextLogic Inc.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Sale</w:t>
      </w:r>
    </w:p>
    <w:p>
      <w:pPr>
        <w:spacing w:after="0" w:line="158"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8"/>
          <w:szCs w:val="18"/>
          <w:color w:val="auto"/>
        </w:rPr>
        <w:t>On February 10, 2024, we entered into an asset purchase agreement (the “Asset Purchase Agreement”) with Qoo10 Inc., a Delaware corporation (“Qoo10 Delaware”), and, for certain specified purposes, Qoo10 Pte. Ltd., a Singapore private limited company and Qoo10 Delaware’s parent company (“Qoo10”), pursuant to which (i) we agreed to sell substantially all of our assets to Qoo10 Delaware or an affiliate designated by Qoo10 Delaware (such designated affiliate, the “Buyer”), other than (A) our net operating losses (“NOLs”) and certain other tax attributes, (B) our marketable securities and (C) certain of our cash and cash equivalents, and (ii) Qoo10 agreed to acquire those assets and assume substantially all of our liabilities as specified in the Asset Purchase Agreement (the “Asset Sale”). On April 18, 2024, the holders of a majority of the outstanding shares of our common stock voted to approve the Asset Sale. Pursuant to such vote and satisfaction of other customary closing conditions, the Asset Sale closed on April 19, 2024, and immediately following the closing of the Asset Sale, we received/retained approximately $162 million in cash, cash equivalents and marketable securities (consisting of government securities)(the "Post-Closing Cash"), as well as the NOLs and other tax attributes described herein.</w:t>
      </w:r>
    </w:p>
    <w:p>
      <w:pPr>
        <w:spacing w:after="0" w:line="126"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Following the completion of the Asset Sale, we have exited the operation of our marketplace and logistics business and other historical operations. However, we do not currently intend to liquidate. We are actively developing processes and procedures for evaluating strategic alternatives for the use of our Post-Closing Cash and reviewing, identifying and executing those strategic opportunities for the benefit of ContextLogic and its stockholders. Those alternatives are currently expected to include using the Post-Closing Cash to fund, at least in part, the acquisition of assets or a business that will potentially allow us to utilize and derive benefits from our NOLs and certain other tax attributes.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8"/>
          <w:szCs w:val="18"/>
          <w:color w:val="auto"/>
        </w:rPr>
        <w:t>Prior to the completion of the Asset Sale, we were an marketplace and logistics business that connected merchants and consumers from around the world. Since the Asset Sale was consummated, as we pursue strategic opportunities, our primary source of income is interest earned on our marketable securities and cash and cash equivalents. We also have retained a payment license in Europe that we still hold from two subsidiaries in the Netherlands pending approval of transfer to Qoo10 by the Dutch National Bank of certain licenses. Although our Board of Directors is evaluating various strategic alternatives regarding the use of the proceeds from the Asset Sale with a goal to maximize stockholder value, we have not yet identified any particular acquisitions or investments or committed to making any such decision by a particular date. We can provide no assurance that our Board of Directors and management will be able to attract the businesses we identify as viable for our objectives, due to competitive forces in the marketplace beyond our control, or consummate strategic transactions, including the acquisition of assets or a business, on terms and conditions that we believe will be in the best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3" w:name="page24"/>
    <w:bookmarkEnd w:id="23"/>
    <w:p>
      <w:pPr>
        <w:jc w:val="both"/>
        <w:spacing w:after="0" w:line="271" w:lineRule="auto"/>
        <w:rPr>
          <w:sz w:val="20"/>
          <w:szCs w:val="20"/>
          <w:color w:val="auto"/>
        </w:rPr>
      </w:pPr>
      <w:r>
        <w:rPr>
          <w:rFonts w:ascii="Arial" w:cs="Arial" w:eastAsia="Arial" w:hAnsi="Arial"/>
          <w:sz w:val="18"/>
          <w:szCs w:val="18"/>
          <w:color w:val="auto"/>
        </w:rPr>
        <w:t>interests of ContextLogic and its stockholders. The Company is not registered under the Investment Company Act of 1940, as amended (“ICA”), and is not required to register as an investment company under the ICA.</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8"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The following table shows our results of operations for the periods presented. The period-to-period comparison of financial results reflects business that we no longer operate and is not indicative of future results.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2940" w:type="dxa"/>
            <w:vAlign w:val="bottom"/>
            <w:gridSpan w:val="4"/>
          </w:tcPr>
          <w:p>
            <w:pPr>
              <w:jc w:val="center"/>
              <w:ind w:left="342"/>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7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center"/>
              <w:ind w:right="599"/>
              <w:spacing w:after="0"/>
              <w:rPr>
                <w:sz w:val="20"/>
                <w:szCs w:val="20"/>
                <w:color w:val="auto"/>
              </w:rPr>
            </w:pPr>
            <w:r>
              <w:rPr>
                <w:rFonts w:ascii="Arial" w:cs="Arial" w:eastAsia="Arial" w:hAnsi="Arial"/>
                <w:sz w:val="16"/>
                <w:szCs w:val="16"/>
                <w:b w:val="1"/>
                <w:bCs w:val="1"/>
                <w:color w:val="auto"/>
              </w:rPr>
              <w:t>March 31,</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7760" w:type="dxa"/>
            <w:vAlign w:val="bottom"/>
          </w:tcPr>
          <w:p>
            <w:pPr>
              <w:spacing w:after="0"/>
              <w:rPr>
                <w:sz w:val="15"/>
                <w:szCs w:val="15"/>
                <w:color w:val="auto"/>
              </w:rPr>
            </w:pPr>
          </w:p>
        </w:tc>
        <w:tc>
          <w:tcPr>
            <w:tcW w:w="1100" w:type="dxa"/>
            <w:vAlign w:val="bottom"/>
            <w:tcBorders>
              <w:bottom w:val="single" w:sz="8" w:color="auto"/>
            </w:tcBorders>
          </w:tcPr>
          <w:p>
            <w:pPr>
              <w:jc w:val="right"/>
              <w:ind w:right="62"/>
              <w:spacing w:after="0" w:line="183" w:lineRule="exact"/>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7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jc w:val="right"/>
              <w:ind w:right="79"/>
              <w:spacing w:after="0" w:line="183" w:lineRule="exact"/>
              <w:rPr>
                <w:sz w:val="20"/>
                <w:szCs w:val="20"/>
                <w:color w:val="auto"/>
              </w:rPr>
            </w:pPr>
            <w:r>
              <w:rPr>
                <w:rFonts w:ascii="Arial" w:cs="Arial" w:eastAsia="Arial" w:hAnsi="Arial"/>
                <w:sz w:val="16"/>
                <w:szCs w:val="16"/>
                <w:b w:val="1"/>
                <w:bCs w:val="1"/>
                <w:color w:val="auto"/>
              </w:rPr>
              <w:t>(in</w:t>
            </w:r>
          </w:p>
        </w:tc>
        <w:tc>
          <w:tcPr>
            <w:tcW w:w="1360" w:type="dxa"/>
            <w:vAlign w:val="bottom"/>
            <w:gridSpan w:val="2"/>
          </w:tcPr>
          <w:p>
            <w:pPr>
              <w:jc w:val="center"/>
              <w:ind w:right="719"/>
              <w:spacing w:after="0" w:line="183" w:lineRule="exact"/>
              <w:rPr>
                <w:sz w:val="20"/>
                <w:szCs w:val="20"/>
                <w:color w:val="auto"/>
              </w:rPr>
            </w:pPr>
            <w:r>
              <w:rPr>
                <w:rFonts w:ascii="Arial" w:cs="Arial" w:eastAsia="Arial" w:hAnsi="Arial"/>
                <w:sz w:val="16"/>
                <w:szCs w:val="16"/>
                <w:b w:val="1"/>
                <w:bCs w:val="1"/>
                <w:color w:val="auto"/>
                <w:w w:val="85"/>
              </w:rPr>
              <w:t>millions)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100" w:type="dxa"/>
            <w:vAlign w:val="bottom"/>
            <w:shd w:val="clear" w:color="auto" w:fill="CFF0FC"/>
          </w:tcPr>
          <w:p>
            <w:pPr>
              <w:jc w:val="right"/>
              <w:ind w:right="942"/>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center"/>
              <w:ind w:right="9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FF0FC"/>
          </w:tcPr>
          <w:p>
            <w:pPr>
              <w:spacing w:after="0"/>
              <w:rPr>
                <w:sz w:val="16"/>
                <w:szCs w:val="16"/>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Cost of revenue</w:t>
            </w:r>
          </w:p>
        </w:tc>
        <w:tc>
          <w:tcPr>
            <w:tcW w:w="1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6"/>
                <w:szCs w:val="16"/>
                <w:color w:val="auto"/>
              </w:rPr>
            </w:pPr>
          </w:p>
        </w:tc>
      </w:tr>
      <w:tr>
        <w:trPr>
          <w:trHeight w:val="183"/>
        </w:trPr>
        <w:tc>
          <w:tcPr>
            <w:tcW w:w="7760" w:type="dxa"/>
            <w:vAlign w:val="bottom"/>
            <w:shd w:val="clear" w:color="auto" w:fill="CFF0FC"/>
          </w:tcPr>
          <w:p>
            <w:pPr>
              <w:ind w:left="200"/>
              <w:spacing w:after="0" w:line="183" w:lineRule="exact"/>
              <w:rPr>
                <w:sz w:val="20"/>
                <w:szCs w:val="20"/>
                <w:color w:val="auto"/>
              </w:rPr>
            </w:pPr>
            <w:r>
              <w:rPr>
                <w:rFonts w:ascii="Arial" w:cs="Arial" w:eastAsia="Arial" w:hAnsi="Arial"/>
                <w:sz w:val="16"/>
                <w:szCs w:val="16"/>
                <w:color w:val="auto"/>
              </w:rPr>
              <w:t>Gross profit</w:t>
            </w:r>
          </w:p>
        </w:tc>
        <w:tc>
          <w:tcPr>
            <w:tcW w:w="1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5"/>
                <w:szCs w:val="15"/>
                <w:color w:val="auto"/>
              </w:rPr>
            </w:pPr>
          </w:p>
        </w:tc>
      </w:tr>
      <w:tr>
        <w:trPr>
          <w:trHeight w:val="183"/>
        </w:trPr>
        <w:tc>
          <w:tcPr>
            <w:tcW w:w="776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color w:val="auto"/>
              </w:rPr>
              <w:t>Operating expenses:</w:t>
            </w:r>
          </w:p>
        </w:tc>
        <w:tc>
          <w:tcPr>
            <w:tcW w:w="1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Sales and marketing</w:t>
            </w:r>
          </w:p>
        </w:tc>
        <w:tc>
          <w:tcPr>
            <w:tcW w:w="11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6"/>
                <w:szCs w:val="16"/>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6"/>
                <w:szCs w:val="16"/>
                <w:color w:val="auto"/>
              </w:rPr>
              <w:t>Product development</w:t>
            </w:r>
          </w:p>
        </w:tc>
        <w:tc>
          <w:tcPr>
            <w:tcW w:w="1100" w:type="dxa"/>
            <w:vAlign w:val="bottom"/>
          </w:tcPr>
          <w:p>
            <w:pPr>
              <w:spacing w:after="0"/>
              <w:rPr>
                <w:sz w:val="16"/>
                <w:szCs w:val="16"/>
                <w:color w:val="auto"/>
              </w:rPr>
            </w:pPr>
          </w:p>
        </w:tc>
        <w:tc>
          <w:tcPr>
            <w:tcW w:w="7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6"/>
                <w:szCs w:val="16"/>
                <w:color w:val="auto"/>
              </w:rPr>
            </w:pPr>
          </w:p>
        </w:tc>
      </w:tr>
      <w:tr>
        <w:trPr>
          <w:trHeight w:val="189"/>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General and administrative</w:t>
            </w:r>
          </w:p>
        </w:tc>
        <w:tc>
          <w:tcPr>
            <w:tcW w:w="110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760" w:type="dxa"/>
            <w:vAlign w:val="bottom"/>
          </w:tcPr>
          <w:p>
            <w:pPr>
              <w:ind w:left="400"/>
              <w:spacing w:after="0" w:line="183" w:lineRule="exact"/>
              <w:rPr>
                <w:sz w:val="20"/>
                <w:szCs w:val="20"/>
                <w:color w:val="auto"/>
              </w:rPr>
            </w:pPr>
            <w:r>
              <w:rPr>
                <w:rFonts w:ascii="Arial" w:cs="Arial" w:eastAsia="Arial" w:hAnsi="Arial"/>
                <w:sz w:val="16"/>
                <w:szCs w:val="16"/>
                <w:color w:val="auto"/>
              </w:rPr>
              <w:t>Total operating expenses</w:t>
            </w:r>
          </w:p>
        </w:tc>
        <w:tc>
          <w:tcPr>
            <w:tcW w:w="1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w:t>
            </w:r>
          </w:p>
        </w:tc>
        <w:tc>
          <w:tcPr>
            <w:tcW w:w="2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59</w:t>
            </w:r>
          </w:p>
        </w:tc>
        <w:tc>
          <w:tcPr>
            <w:tcW w:w="100" w:type="dxa"/>
            <w:vAlign w:val="bottom"/>
          </w:tcPr>
          <w:p>
            <w:pPr>
              <w:spacing w:after="0"/>
              <w:rPr>
                <w:sz w:val="15"/>
                <w:szCs w:val="15"/>
                <w:color w:val="auto"/>
              </w:rPr>
            </w:pPr>
          </w:p>
        </w:tc>
      </w:tr>
      <w:tr>
        <w:trPr>
          <w:trHeight w:val="183"/>
        </w:trPr>
        <w:tc>
          <w:tcPr>
            <w:tcW w:w="77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Loss from operations</w:t>
            </w:r>
          </w:p>
        </w:tc>
        <w:tc>
          <w:tcPr>
            <w:tcW w:w="1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(6)</w:t>
            </w:r>
          </w:p>
        </w:tc>
        <w:tc>
          <w:tcPr>
            <w:tcW w:w="114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(53)</w:t>
            </w: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Other income, net</w:t>
            </w: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Interest and other income, net</w:t>
            </w:r>
          </w:p>
        </w:tc>
        <w:tc>
          <w:tcPr>
            <w:tcW w:w="110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760" w:type="dxa"/>
            <w:vAlign w:val="bottom"/>
          </w:tcPr>
          <w:p>
            <w:pPr>
              <w:ind w:left="200"/>
              <w:spacing w:after="0" w:line="183" w:lineRule="exact"/>
              <w:rPr>
                <w:sz w:val="20"/>
                <w:szCs w:val="20"/>
                <w:color w:val="auto"/>
              </w:rPr>
            </w:pPr>
            <w:r>
              <w:rPr>
                <w:rFonts w:ascii="Arial" w:cs="Arial" w:eastAsia="Arial" w:hAnsi="Arial"/>
                <w:sz w:val="16"/>
                <w:szCs w:val="16"/>
                <w:color w:val="auto"/>
              </w:rPr>
              <w:t>Loss before provision for income taxes</w:t>
            </w:r>
          </w:p>
        </w:tc>
        <w:tc>
          <w:tcPr>
            <w:tcW w:w="1100" w:type="dxa"/>
            <w:vAlign w:val="bottom"/>
          </w:tcPr>
          <w:p>
            <w:pPr>
              <w:spacing w:after="0"/>
              <w:rPr>
                <w:sz w:val="15"/>
                <w:szCs w:val="15"/>
                <w:color w:val="auto"/>
              </w:rPr>
            </w:pPr>
          </w:p>
        </w:tc>
        <w:tc>
          <w:tcPr>
            <w:tcW w:w="700" w:type="dxa"/>
            <w:vAlign w:val="bottom"/>
            <w:gridSpan w:val="2"/>
          </w:tcPr>
          <w:p>
            <w:pPr>
              <w:jc w:val="right"/>
              <w:ind w:right="79"/>
              <w:spacing w:after="0" w:line="183" w:lineRule="exact"/>
              <w:rPr>
                <w:sz w:val="20"/>
                <w:szCs w:val="20"/>
                <w:color w:val="auto"/>
              </w:rPr>
            </w:pPr>
            <w:r>
              <w:rPr>
                <w:rFonts w:ascii="Arial" w:cs="Arial" w:eastAsia="Arial" w:hAnsi="Arial"/>
                <w:sz w:val="16"/>
                <w:szCs w:val="16"/>
                <w:color w:val="auto"/>
              </w:rPr>
              <w:t>(4)</w:t>
            </w:r>
          </w:p>
        </w:tc>
        <w:tc>
          <w:tcPr>
            <w:tcW w:w="1140" w:type="dxa"/>
            <w:vAlign w:val="bottom"/>
          </w:tcPr>
          <w:p>
            <w:pPr>
              <w:spacing w:after="0"/>
              <w:rPr>
                <w:sz w:val="15"/>
                <w:szCs w:val="15"/>
                <w:color w:val="auto"/>
              </w:rPr>
            </w:pPr>
          </w:p>
        </w:tc>
        <w:tc>
          <w:tcPr>
            <w:tcW w:w="54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(53)</w:t>
            </w:r>
          </w:p>
        </w:tc>
      </w:tr>
      <w:tr>
        <w:trPr>
          <w:trHeight w:val="189"/>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10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760" w:type="dxa"/>
            <w:vAlign w:val="bottom"/>
          </w:tcPr>
          <w:p>
            <w:pPr>
              <w:spacing w:after="0" w:line="183" w:lineRule="exact"/>
              <w:rPr>
                <w:sz w:val="20"/>
                <w:szCs w:val="20"/>
                <w:color w:val="auto"/>
              </w:rPr>
            </w:pPr>
            <w:r>
              <w:rPr>
                <w:rFonts w:ascii="Arial" w:cs="Arial" w:eastAsia="Arial" w:hAnsi="Arial"/>
                <w:sz w:val="16"/>
                <w:szCs w:val="16"/>
                <w:color w:val="auto"/>
              </w:rPr>
              <w:t>Net loss</w:t>
            </w:r>
          </w:p>
        </w:tc>
        <w:tc>
          <w:tcPr>
            <w:tcW w:w="1100" w:type="dxa"/>
            <w:vAlign w:val="bottom"/>
          </w:tcPr>
          <w:p>
            <w:pPr>
              <w:spacing w:after="0"/>
              <w:rPr>
                <w:sz w:val="15"/>
                <w:szCs w:val="15"/>
                <w:color w:val="auto"/>
              </w:rPr>
            </w:pPr>
          </w:p>
        </w:tc>
        <w:tc>
          <w:tcPr>
            <w:tcW w:w="700" w:type="dxa"/>
            <w:vAlign w:val="bottom"/>
            <w:gridSpan w:val="2"/>
          </w:tcPr>
          <w:p>
            <w:pPr>
              <w:jc w:val="right"/>
              <w:ind w:right="79"/>
              <w:spacing w:after="0" w:line="183" w:lineRule="exact"/>
              <w:rPr>
                <w:sz w:val="20"/>
                <w:szCs w:val="20"/>
                <w:color w:val="auto"/>
              </w:rPr>
            </w:pPr>
            <w:r>
              <w:rPr>
                <w:rFonts w:ascii="Arial" w:cs="Arial" w:eastAsia="Arial" w:hAnsi="Arial"/>
                <w:sz w:val="16"/>
                <w:szCs w:val="16"/>
                <w:color w:val="auto"/>
              </w:rPr>
              <w:t>(4)</w:t>
            </w:r>
          </w:p>
        </w:tc>
        <w:tc>
          <w:tcPr>
            <w:tcW w:w="1140" w:type="dxa"/>
            <w:vAlign w:val="bottom"/>
          </w:tcPr>
          <w:p>
            <w:pPr>
              <w:spacing w:after="0"/>
              <w:rPr>
                <w:sz w:val="15"/>
                <w:szCs w:val="15"/>
                <w:color w:val="auto"/>
              </w:rPr>
            </w:pPr>
          </w:p>
        </w:tc>
        <w:tc>
          <w:tcPr>
            <w:tcW w:w="54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(59)</w:t>
            </w:r>
          </w:p>
        </w:tc>
      </w:tr>
      <w:tr>
        <w:trPr>
          <w:trHeight w:val="20"/>
        </w:trPr>
        <w:tc>
          <w:tcPr>
            <w:tcW w:w="77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Adjustment attributable to redeemable non-controlling interest (Note 6)</w:t>
            </w:r>
          </w:p>
        </w:tc>
        <w:tc>
          <w:tcPr>
            <w:tcW w:w="1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(3)</w:t>
            </w:r>
          </w:p>
        </w:tc>
        <w:tc>
          <w:tcPr>
            <w:tcW w:w="114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r>
      <w:tr>
        <w:trPr>
          <w:trHeight w:val="189"/>
        </w:trPr>
        <w:tc>
          <w:tcPr>
            <w:tcW w:w="7760" w:type="dxa"/>
            <w:vAlign w:val="bottom"/>
          </w:tcPr>
          <w:p>
            <w:pPr>
              <w:spacing w:after="0"/>
              <w:rPr>
                <w:sz w:val="20"/>
                <w:szCs w:val="20"/>
                <w:color w:val="auto"/>
              </w:rPr>
            </w:pPr>
            <w:r>
              <w:rPr>
                <w:rFonts w:ascii="Arial" w:cs="Arial" w:eastAsia="Arial" w:hAnsi="Arial"/>
                <w:sz w:val="16"/>
                <w:szCs w:val="16"/>
                <w:color w:val="auto"/>
              </w:rPr>
              <w:t>Net loss attributable to redeemable non-controlling interest (Note 6)</w:t>
            </w:r>
          </w:p>
        </w:tc>
        <w:tc>
          <w:tcPr>
            <w:tcW w:w="1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203"/>
        </w:trPr>
        <w:tc>
          <w:tcPr>
            <w:tcW w:w="77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loss attributable to common stockholders</w:t>
            </w:r>
          </w:p>
        </w:tc>
        <w:tc>
          <w:tcPr>
            <w:tcW w:w="1100" w:type="dxa"/>
            <w:vAlign w:val="bottom"/>
            <w:shd w:val="clear" w:color="auto" w:fill="CFF0FC"/>
          </w:tcPr>
          <w:p>
            <w:pPr>
              <w:jc w:val="right"/>
              <w:ind w:right="942"/>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(7)</w:t>
            </w:r>
          </w:p>
        </w:tc>
        <w:tc>
          <w:tcPr>
            <w:tcW w:w="1140" w:type="dxa"/>
            <w:vAlign w:val="bottom"/>
            <w:shd w:val="clear" w:color="auto" w:fill="CFF0FC"/>
          </w:tcPr>
          <w:p>
            <w:pPr>
              <w:jc w:val="center"/>
              <w:ind w:right="959"/>
              <w:spacing w:after="0" w:line="183" w:lineRule="exact"/>
              <w:rPr>
                <w:sz w:val="20"/>
                <w:szCs w:val="20"/>
                <w:color w:val="auto"/>
              </w:rPr>
            </w:pPr>
            <w:r>
              <w:rPr>
                <w:rFonts w:ascii="Arial" w:cs="Arial" w:eastAsia="Arial" w:hAnsi="Arial"/>
                <w:sz w:val="16"/>
                <w:szCs w:val="16"/>
                <w:color w:val="auto"/>
              </w:rPr>
              <w:t>$</w:t>
            </w:r>
          </w:p>
        </w:tc>
        <w:tc>
          <w:tcPr>
            <w:tcW w:w="54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(59)</w:t>
            </w:r>
          </w:p>
        </w:tc>
      </w:tr>
      <w:tr>
        <w:trPr>
          <w:trHeight w:val="20"/>
        </w:trPr>
        <w:tc>
          <w:tcPr>
            <w:tcW w:w="77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-1765300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-1276350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-779780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-530860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2025 and 2024</w:t>
      </w:r>
    </w:p>
    <w:p>
      <w:pPr>
        <w:spacing w:after="0" w:line="15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Since the consummation of the Asset Sale on April 19, 2024, we no longer earn operating revenue or incur related cost associated with the prior marketplace and logistics operations. We expect to incur general and administrative costs associated with evaluation of business opportunities and in the course of overseeing and curating the remaining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40" w:type="dxa"/>
            <w:vAlign w:val="bottom"/>
          </w:tcPr>
          <w:p>
            <w:pPr>
              <w:spacing w:after="0"/>
              <w:rPr>
                <w:sz w:val="16"/>
                <w:szCs w:val="16"/>
                <w:color w:val="auto"/>
              </w:rPr>
            </w:pPr>
          </w:p>
        </w:tc>
        <w:tc>
          <w:tcPr>
            <w:tcW w:w="2600" w:type="dxa"/>
            <w:vAlign w:val="bottom"/>
            <w:gridSpan w:val="4"/>
          </w:tcPr>
          <w:p>
            <w:pPr>
              <w:jc w:val="center"/>
              <w:ind w:left="242"/>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3"/>
        </w:trPr>
        <w:tc>
          <w:tcPr>
            <w:tcW w:w="51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579"/>
              <w:spacing w:after="0"/>
              <w:rPr>
                <w:sz w:val="20"/>
                <w:szCs w:val="20"/>
                <w:color w:val="auto"/>
              </w:rPr>
            </w:pPr>
            <w:r>
              <w:rPr>
                <w:rFonts w:ascii="Arial" w:cs="Arial" w:eastAsia="Arial" w:hAnsi="Arial"/>
                <w:sz w:val="16"/>
                <w:szCs w:val="16"/>
                <w:b w:val="1"/>
                <w:bCs w:val="1"/>
                <w:color w:val="auto"/>
              </w:rPr>
              <w:t>March 31,</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83"/>
        </w:trPr>
        <w:tc>
          <w:tcPr>
            <w:tcW w:w="5140" w:type="dxa"/>
            <w:vAlign w:val="bottom"/>
          </w:tcPr>
          <w:p>
            <w:pPr>
              <w:spacing w:after="0"/>
              <w:rPr>
                <w:sz w:val="15"/>
                <w:szCs w:val="15"/>
                <w:color w:val="auto"/>
              </w:rPr>
            </w:pPr>
          </w:p>
        </w:tc>
        <w:tc>
          <w:tcPr>
            <w:tcW w:w="980" w:type="dxa"/>
            <w:vAlign w:val="bottom"/>
            <w:tcBorders>
              <w:bottom w:val="single" w:sz="8" w:color="auto"/>
            </w:tcBorders>
          </w:tcPr>
          <w:p>
            <w:pPr>
              <w:jc w:val="right"/>
              <w:ind w:right="42"/>
              <w:spacing w:after="0" w:line="183" w:lineRule="exact"/>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9"/>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r>
      <w:tr>
        <w:trPr>
          <w:trHeight w:val="183"/>
        </w:trPr>
        <w:tc>
          <w:tcPr>
            <w:tcW w:w="5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40" w:type="dxa"/>
            <w:vAlign w:val="bottom"/>
            <w:gridSpan w:val="7"/>
          </w:tcPr>
          <w:p>
            <w:pPr>
              <w:ind w:left="40"/>
              <w:spacing w:after="0" w:line="183" w:lineRule="exact"/>
              <w:rPr>
                <w:sz w:val="20"/>
                <w:szCs w:val="20"/>
                <w:color w:val="auto"/>
              </w:rPr>
            </w:pPr>
            <w:r>
              <w:rPr>
                <w:rFonts w:ascii="Arial" w:cs="Arial" w:eastAsia="Arial" w:hAnsi="Arial"/>
                <w:sz w:val="16"/>
                <w:szCs w:val="16"/>
                <w:b w:val="1"/>
                <w:bCs w:val="1"/>
                <w:color w:val="auto"/>
              </w:rPr>
              <w:t>($ in millions, except percentages)</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9"/>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Core marketplace revenue</w:t>
            </w:r>
          </w:p>
        </w:tc>
        <w:tc>
          <w:tcPr>
            <w:tcW w:w="980" w:type="dxa"/>
            <w:vAlign w:val="bottom"/>
            <w:shd w:val="clear" w:color="auto" w:fill="CFF0FC"/>
          </w:tcPr>
          <w:p>
            <w:pPr>
              <w:jc w:val="right"/>
              <w:ind w:right="822"/>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9"/>
              </w:rPr>
              <w:t>—</w:t>
            </w:r>
          </w:p>
        </w:tc>
        <w:tc>
          <w:tcPr>
            <w:tcW w:w="1240" w:type="dxa"/>
            <w:vAlign w:val="bottom"/>
            <w:gridSpan w:val="2"/>
            <w:shd w:val="clear" w:color="auto" w:fill="CFF0FC"/>
          </w:tcPr>
          <w:p>
            <w:pPr>
              <w:jc w:val="right"/>
              <w:ind w:right="85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w:t>
            </w:r>
          </w:p>
        </w:tc>
        <w:tc>
          <w:tcPr>
            <w:tcW w:w="46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w:t>
            </w:r>
          </w:p>
        </w:tc>
      </w:tr>
      <w:tr>
        <w:trPr>
          <w:trHeight w:val="189"/>
        </w:trPr>
        <w:tc>
          <w:tcPr>
            <w:tcW w:w="5140" w:type="dxa"/>
            <w:vAlign w:val="bottom"/>
          </w:tcPr>
          <w:p>
            <w:pPr>
              <w:spacing w:after="0"/>
              <w:rPr>
                <w:sz w:val="20"/>
                <w:szCs w:val="20"/>
                <w:color w:val="auto"/>
              </w:rPr>
            </w:pPr>
            <w:r>
              <w:rPr>
                <w:rFonts w:ascii="Arial" w:cs="Arial" w:eastAsia="Arial" w:hAnsi="Arial"/>
                <w:sz w:val="16"/>
                <w:szCs w:val="16"/>
                <w:color w:val="auto"/>
              </w:rPr>
              <w:t>ProductBoost revenue</w:t>
            </w:r>
          </w:p>
        </w:tc>
        <w:tc>
          <w:tcPr>
            <w:tcW w:w="980" w:type="dxa"/>
            <w:vAlign w:val="bottom"/>
          </w:tcPr>
          <w:p>
            <w:pPr>
              <w:spacing w:after="0"/>
              <w:rPr>
                <w:sz w:val="16"/>
                <w:szCs w:val="16"/>
                <w:color w:val="auto"/>
              </w:rPr>
            </w:pPr>
          </w:p>
        </w:tc>
        <w:tc>
          <w:tcPr>
            <w:tcW w:w="380" w:type="dxa"/>
            <w:vAlign w:val="bottom"/>
          </w:tcPr>
          <w:p>
            <w:pPr>
              <w:ind w:left="20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46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r>
      <w:tr>
        <w:trPr>
          <w:trHeight w:val="20"/>
        </w:trPr>
        <w:tc>
          <w:tcPr>
            <w:tcW w:w="5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51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Marketplace revenue</w:t>
            </w:r>
          </w:p>
        </w:tc>
        <w:tc>
          <w:tcPr>
            <w:tcW w:w="980" w:type="dxa"/>
            <w:vAlign w:val="bottom"/>
            <w:shd w:val="clear" w:color="auto" w:fill="CFF0FC"/>
          </w:tcPr>
          <w:p>
            <w:pPr>
              <w:spacing w:after="0"/>
              <w:rPr>
                <w:sz w:val="15"/>
                <w:szCs w:val="15"/>
                <w:color w:val="auto"/>
              </w:rPr>
            </w:pPr>
          </w:p>
        </w:tc>
        <w:tc>
          <w:tcPr>
            <w:tcW w:w="380" w:type="dxa"/>
            <w:vAlign w:val="bottom"/>
            <w:shd w:val="clear" w:color="auto" w:fill="CFF0FC"/>
          </w:tcPr>
          <w:p>
            <w:pPr>
              <w:ind w:left="200"/>
              <w:spacing w:after="0" w:line="183" w:lineRule="exact"/>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(14)</w:t>
            </w:r>
          </w:p>
        </w:tc>
        <w:tc>
          <w:tcPr>
            <w:tcW w:w="4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(100)%</w:t>
            </w:r>
          </w:p>
        </w:tc>
      </w:tr>
      <w:tr>
        <w:trPr>
          <w:trHeight w:val="189"/>
        </w:trPr>
        <w:tc>
          <w:tcPr>
            <w:tcW w:w="5140" w:type="dxa"/>
            <w:vAlign w:val="bottom"/>
          </w:tcPr>
          <w:p>
            <w:pPr>
              <w:spacing w:after="0"/>
              <w:rPr>
                <w:sz w:val="20"/>
                <w:szCs w:val="20"/>
                <w:color w:val="auto"/>
              </w:rPr>
            </w:pPr>
            <w:r>
              <w:rPr>
                <w:rFonts w:ascii="Arial" w:cs="Arial" w:eastAsia="Arial" w:hAnsi="Arial"/>
                <w:sz w:val="16"/>
                <w:szCs w:val="16"/>
                <w:color w:val="auto"/>
              </w:rPr>
              <w:t>Logistics revenue</w:t>
            </w:r>
          </w:p>
        </w:tc>
        <w:tc>
          <w:tcPr>
            <w:tcW w:w="980" w:type="dxa"/>
            <w:vAlign w:val="bottom"/>
          </w:tcPr>
          <w:p>
            <w:pPr>
              <w:spacing w:after="0"/>
              <w:rPr>
                <w:sz w:val="16"/>
                <w:szCs w:val="16"/>
                <w:color w:val="auto"/>
              </w:rPr>
            </w:pPr>
          </w:p>
        </w:tc>
        <w:tc>
          <w:tcPr>
            <w:tcW w:w="380" w:type="dxa"/>
            <w:vAlign w:val="bottom"/>
          </w:tcPr>
          <w:p>
            <w:pPr>
              <w:ind w:left="20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(22)</w:t>
            </w:r>
          </w:p>
        </w:tc>
        <w:tc>
          <w:tcPr>
            <w:tcW w:w="46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r>
      <w:tr>
        <w:trPr>
          <w:trHeight w:val="20"/>
        </w:trPr>
        <w:tc>
          <w:tcPr>
            <w:tcW w:w="5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3"/>
        </w:trPr>
        <w:tc>
          <w:tcPr>
            <w:tcW w:w="5140" w:type="dxa"/>
            <w:vAlign w:val="bottom"/>
            <w:shd w:val="clear" w:color="auto" w:fill="CFF0FC"/>
          </w:tcPr>
          <w:p>
            <w:pPr>
              <w:ind w:left="260"/>
              <w:spacing w:after="0" w:line="169" w:lineRule="exact"/>
              <w:rPr>
                <w:sz w:val="20"/>
                <w:szCs w:val="20"/>
                <w:color w:val="auto"/>
              </w:rPr>
            </w:pPr>
            <w:r>
              <w:rPr>
                <w:rFonts w:ascii="Arial" w:cs="Arial" w:eastAsia="Arial" w:hAnsi="Arial"/>
                <w:sz w:val="16"/>
                <w:szCs w:val="16"/>
                <w:color w:val="auto"/>
              </w:rPr>
              <w:t>Revenue</w:t>
            </w:r>
          </w:p>
        </w:tc>
        <w:tc>
          <w:tcPr>
            <w:tcW w:w="980" w:type="dxa"/>
            <w:vAlign w:val="bottom"/>
            <w:shd w:val="clear" w:color="auto" w:fill="CFF0FC"/>
          </w:tcPr>
          <w:p>
            <w:pPr>
              <w:jc w:val="right"/>
              <w:ind w:right="822"/>
              <w:spacing w:after="0" w:line="169" w:lineRule="exact"/>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ind w:left="200"/>
              <w:spacing w:after="0" w:line="169" w:lineRule="exact"/>
              <w:rPr>
                <w:sz w:val="20"/>
                <w:szCs w:val="20"/>
                <w:color w:val="auto"/>
              </w:rPr>
            </w:pPr>
            <w:r>
              <w:rPr>
                <w:rFonts w:ascii="Arial" w:cs="Arial" w:eastAsia="Arial" w:hAnsi="Arial"/>
                <w:sz w:val="16"/>
                <w:szCs w:val="16"/>
                <w:color w:val="auto"/>
                <w:w w:val="99"/>
              </w:rPr>
              <w:t>—</w:t>
            </w:r>
          </w:p>
        </w:tc>
        <w:tc>
          <w:tcPr>
            <w:tcW w:w="1240" w:type="dxa"/>
            <w:vAlign w:val="bottom"/>
            <w:gridSpan w:val="2"/>
            <w:shd w:val="clear" w:color="auto" w:fill="CFF0FC"/>
          </w:tcPr>
          <w:p>
            <w:pPr>
              <w:jc w:val="right"/>
              <w:ind w:right="859"/>
              <w:spacing w:after="0" w:line="169"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36</w:t>
            </w:r>
          </w:p>
        </w:tc>
        <w:tc>
          <w:tcPr>
            <w:tcW w:w="460" w:type="dxa"/>
            <w:vAlign w:val="bottom"/>
            <w:gridSpan w:val="2"/>
            <w:shd w:val="clear" w:color="auto" w:fill="CFF0FC"/>
          </w:tcPr>
          <w:p>
            <w:pPr>
              <w:jc w:val="right"/>
              <w:ind w:right="260"/>
              <w:spacing w:after="0" w:line="169" w:lineRule="exact"/>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(36)</w:t>
            </w:r>
          </w:p>
        </w:tc>
        <w:tc>
          <w:tcPr>
            <w:tcW w:w="4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6"/>
                <w:szCs w:val="16"/>
                <w:color w:val="auto"/>
              </w:rPr>
              <w:t>(100)%</w:t>
            </w: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-8255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3"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Revenue decreased $36 million, or 100%, to zero for the three months ended March 31, 2025 as compared to $36 million for the three months ended March 31, 2024. The decrease was attributable to the consummation of the Asset Sale in the prior year. As such, the comparable period of the three months ended March 31, 2025 has none of the previous marketplace and logistics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0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480" w:type="dxa"/>
            <w:vAlign w:val="bottom"/>
            <w:gridSpan w:val="4"/>
          </w:tcPr>
          <w:p>
            <w:pPr>
              <w:jc w:val="center"/>
              <w:ind w:left="23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519"/>
              <w:spacing w:after="0"/>
              <w:rPr>
                <w:sz w:val="20"/>
                <w:szCs w:val="20"/>
                <w:color w:val="auto"/>
              </w:rPr>
            </w:pPr>
            <w:r>
              <w:rPr>
                <w:rFonts w:ascii="Arial" w:cs="Arial" w:eastAsia="Arial" w:hAnsi="Arial"/>
                <w:sz w:val="16"/>
                <w:szCs w:val="16"/>
                <w:b w:val="1"/>
                <w:bCs w:val="1"/>
                <w:color w:val="auto"/>
              </w:rPr>
              <w:t>March 31,</w:t>
            </w:r>
          </w:p>
        </w:tc>
        <w:tc>
          <w:tcPr>
            <w:tcW w:w="3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0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2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2025</w:t>
            </w:r>
          </w:p>
        </w:tc>
        <w:tc>
          <w:tcPr>
            <w:tcW w:w="1560" w:type="dxa"/>
            <w:vAlign w:val="bottom"/>
            <w:gridSpan w:val="3"/>
          </w:tcPr>
          <w:p>
            <w:pPr>
              <w:jc w:val="right"/>
              <w:ind w:right="59"/>
              <w:spacing w:after="0" w:line="183" w:lineRule="exact"/>
              <w:rPr>
                <w:sz w:val="20"/>
                <w:szCs w:val="20"/>
                <w:color w:val="auto"/>
              </w:rPr>
            </w:pPr>
            <w:r>
              <w:rPr>
                <w:rFonts w:ascii="Arial" w:cs="Arial" w:eastAsia="Arial" w:hAnsi="Arial"/>
                <w:sz w:val="16"/>
                <w:szCs w:val="16"/>
                <w:b w:val="1"/>
                <w:bCs w:val="1"/>
                <w:color w:val="auto"/>
              </w:rPr>
              <w:t>2024</w:t>
            </w:r>
          </w:p>
        </w:tc>
        <w:tc>
          <w:tcPr>
            <w:tcW w:w="340" w:type="dxa"/>
            <w:vAlign w:val="bottom"/>
          </w:tcPr>
          <w:p>
            <w:pPr>
              <w:spacing w:after="0"/>
              <w:rPr>
                <w:sz w:val="15"/>
                <w:szCs w:val="15"/>
                <w:color w:val="auto"/>
              </w:rPr>
            </w:pPr>
          </w:p>
        </w:tc>
        <w:tc>
          <w:tcPr>
            <w:tcW w:w="26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75"/>
              </w:rPr>
              <w:t>except</w:t>
            </w:r>
          </w:p>
        </w:tc>
        <w:tc>
          <w:tcPr>
            <w:tcW w:w="340" w:type="dxa"/>
            <w:vAlign w:val="bottom"/>
          </w:tcPr>
          <w:p>
            <w:pPr>
              <w:spacing w:after="0"/>
              <w:rPr>
                <w:sz w:val="15"/>
                <w:szCs w:val="15"/>
                <w:color w:val="auto"/>
              </w:rPr>
            </w:pPr>
          </w:p>
        </w:tc>
        <w:tc>
          <w:tcPr>
            <w:tcW w:w="900" w:type="dxa"/>
            <w:vAlign w:val="bottom"/>
          </w:tcPr>
          <w:p>
            <w:pPr>
              <w:jc w:val="right"/>
              <w:ind w:right="499"/>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ind w:right="539"/>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Borders>
              <w:top w:val="single" w:sz="8" w:color="auto"/>
            </w:tcBorders>
            <w:gridSpan w:val="2"/>
          </w:tcPr>
          <w:p>
            <w:pPr>
              <w:jc w:val="center"/>
              <w:spacing w:after="0" w:line="183" w:lineRule="exact"/>
              <w:rPr>
                <w:sz w:val="20"/>
                <w:szCs w:val="20"/>
                <w:color w:val="auto"/>
              </w:rPr>
            </w:pPr>
            <w:r>
              <w:rPr>
                <w:rFonts w:ascii="Arial" w:cs="Arial" w:eastAsia="Arial" w:hAnsi="Arial"/>
                <w:sz w:val="16"/>
                <w:szCs w:val="16"/>
                <w:b w:val="1"/>
                <w:bCs w:val="1"/>
                <w:color w:val="auto"/>
              </w:rPr>
              <w:t>($ in millions,</w:t>
            </w:r>
          </w:p>
        </w:tc>
        <w:tc>
          <w:tcPr>
            <w:tcW w:w="260" w:type="dxa"/>
            <w:vAlign w:val="bottom"/>
            <w:gridSpan w:val="2"/>
            <w:vMerge w:val="continue"/>
          </w:tcPr>
          <w:p>
            <w:pPr>
              <w:spacing w:after="0"/>
              <w:rPr>
                <w:sz w:val="15"/>
                <w:szCs w:val="15"/>
                <w:color w:val="auto"/>
              </w:rPr>
            </w:pPr>
          </w:p>
        </w:tc>
        <w:tc>
          <w:tcPr>
            <w:tcW w:w="1240" w:type="dxa"/>
            <w:vAlign w:val="bottom"/>
            <w:tcBorders>
              <w:top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percentages)</w:t>
            </w:r>
          </w:p>
        </w:tc>
        <w:tc>
          <w:tcPr>
            <w:tcW w:w="2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2800" w:type="dxa"/>
            <w:vAlign w:val="bottom"/>
            <w:gridSpan w:val="2"/>
            <w:shd w:val="clear" w:color="auto" w:fill="CFF0FC"/>
          </w:tcPr>
          <w:p>
            <w:pPr>
              <w:jc w:val="right"/>
              <w:ind w:right="739"/>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   $</w:t>
            </w:r>
          </w:p>
        </w:tc>
        <w:tc>
          <w:tcPr>
            <w:tcW w:w="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30</w:t>
            </w:r>
          </w:p>
        </w:tc>
        <w:tc>
          <w:tcPr>
            <w:tcW w:w="20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(30)</w:t>
            </w:r>
          </w:p>
        </w:tc>
        <w:tc>
          <w:tcPr>
            <w:tcW w:w="4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3020" w:type="dxa"/>
            <w:vAlign w:val="bottom"/>
          </w:tcPr>
          <w:p>
            <w:pPr>
              <w:spacing w:after="0"/>
              <w:rPr>
                <w:sz w:val="20"/>
                <w:szCs w:val="20"/>
                <w:color w:val="auto"/>
              </w:rPr>
            </w:pPr>
            <w:r>
              <w:rPr>
                <w:rFonts w:ascii="Arial" w:cs="Arial" w:eastAsia="Arial" w:hAnsi="Arial"/>
                <w:sz w:val="16"/>
                <w:szCs w:val="16"/>
                <w:color w:val="auto"/>
              </w:rPr>
              <w:t>Gross Margin</w:t>
            </w:r>
          </w:p>
        </w:tc>
        <w:tc>
          <w:tcPr>
            <w:tcW w:w="1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140"/>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4" w:name="page25"/>
    <w:bookmarkEnd w:id="24"/>
    <w:p>
      <w:pPr>
        <w:jc w:val="both"/>
        <w:ind w:firstLine="644"/>
        <w:spacing w:after="0" w:line="253" w:lineRule="auto"/>
        <w:rPr>
          <w:sz w:val="20"/>
          <w:szCs w:val="20"/>
          <w:color w:val="auto"/>
        </w:rPr>
      </w:pPr>
      <w:r>
        <w:rPr>
          <w:rFonts w:ascii="Arial" w:cs="Arial" w:eastAsia="Arial" w:hAnsi="Arial"/>
          <w:sz w:val="18"/>
          <w:szCs w:val="18"/>
          <w:color w:val="auto"/>
        </w:rPr>
        <w:t>Cost of revenue decreased $30 million, or 100%, to zero for the three months ended March 31, 2025 as compared to $30 million for the three months ended March 31, 2024. This decrease was due to the consummation of the Asset Sale in the prior year. As such, the comparable period of the three months ended March 31, 2025 has none of the previous marketplace and logistics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500" w:type="dxa"/>
            <w:vAlign w:val="bottom"/>
            <w:gridSpan w:val="4"/>
          </w:tcPr>
          <w:p>
            <w:pPr>
              <w:jc w:val="center"/>
              <w:ind w:left="25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3"/>
        </w:trPr>
        <w:tc>
          <w:tcPr>
            <w:tcW w:w="3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539"/>
              <w:spacing w:after="0"/>
              <w:rPr>
                <w:sz w:val="20"/>
                <w:szCs w:val="20"/>
                <w:color w:val="auto"/>
              </w:rPr>
            </w:pPr>
            <w:r>
              <w:rPr>
                <w:rFonts w:ascii="Arial" w:cs="Arial" w:eastAsia="Arial" w:hAnsi="Arial"/>
                <w:sz w:val="16"/>
                <w:szCs w:val="16"/>
                <w:b w:val="1"/>
                <w:bCs w:val="1"/>
                <w:color w:val="auto"/>
              </w:rPr>
              <w:t>March 31,</w:t>
            </w:r>
          </w:p>
        </w:tc>
        <w:tc>
          <w:tcPr>
            <w:tcW w:w="3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83"/>
        </w:trPr>
        <w:tc>
          <w:tcPr>
            <w:tcW w:w="3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r>
      <w:tr>
        <w:trPr>
          <w:trHeight w:val="183"/>
        </w:trPr>
        <w:tc>
          <w:tcPr>
            <w:tcW w:w="3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0" w:type="dxa"/>
            <w:vAlign w:val="bottom"/>
            <w:gridSpan w:val="7"/>
          </w:tcPr>
          <w:p>
            <w:pPr>
              <w:ind w:left="80"/>
              <w:spacing w:after="0" w:line="183" w:lineRule="exact"/>
              <w:rPr>
                <w:sz w:val="20"/>
                <w:szCs w:val="20"/>
                <w:color w:val="auto"/>
              </w:rPr>
            </w:pPr>
            <w:r>
              <w:rPr>
                <w:rFonts w:ascii="Arial" w:cs="Arial" w:eastAsia="Arial" w:hAnsi="Arial"/>
                <w:sz w:val="16"/>
                <w:szCs w:val="16"/>
                <w:b w:val="1"/>
                <w:bCs w:val="1"/>
                <w:color w:val="auto"/>
              </w:rPr>
              <w:t>($ in millions, except percentages)</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9"/>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Sales and marketing</w:t>
            </w:r>
          </w:p>
        </w:tc>
        <w:tc>
          <w:tcPr>
            <w:tcW w:w="2640" w:type="dxa"/>
            <w:vAlign w:val="bottom"/>
            <w:gridSpan w:val="2"/>
            <w:shd w:val="clear" w:color="auto" w:fill="CFF0FC"/>
          </w:tcPr>
          <w:p>
            <w:pPr>
              <w:jc w:val="right"/>
              <w:ind w:right="759"/>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CFF0FC"/>
          </w:tcPr>
          <w:p>
            <w:pPr>
              <w:jc w:val="right"/>
              <w:ind w:right="799"/>
              <w:spacing w:after="0"/>
              <w:rPr>
                <w:sz w:val="20"/>
                <w:szCs w:val="20"/>
                <w:color w:val="auto"/>
              </w:rPr>
            </w:pPr>
            <w:r>
              <w:rPr>
                <w:rFonts w:ascii="Arial" w:cs="Arial" w:eastAsia="Arial" w:hAnsi="Arial"/>
                <w:sz w:val="16"/>
                <w:szCs w:val="16"/>
                <w:color w:val="auto"/>
              </w:rPr>
              <w:t>—   $</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60" w:type="dxa"/>
            <w:vAlign w:val="bottom"/>
            <w:gridSpan w:val="2"/>
            <w:shd w:val="clear" w:color="auto" w:fill="CFF0FC"/>
          </w:tcPr>
          <w:p>
            <w:pPr>
              <w:jc w:val="right"/>
              <w:ind w:right="679"/>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w:t>
            </w:r>
          </w:p>
        </w:tc>
        <w:tc>
          <w:tcPr>
            <w:tcW w:w="4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w:t>
            </w:r>
          </w:p>
        </w:tc>
      </w:tr>
    </w:tbl>
    <w:p>
      <w:pPr>
        <w:spacing w:after="0" w:line="143"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Sales and marketing expense decreased $15 million, or 100%, to zero for the three months ended March 31, 2025, compared to $15 million for the three months ended March 31, 2024. This decrease was due to the consummation of the Asset Sale in the prior year. As such, the comparable period of the three months ended March 31, 2025 has none of the previous marketplace and logistics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500" w:type="dxa"/>
            <w:vAlign w:val="bottom"/>
            <w:gridSpan w:val="4"/>
          </w:tcPr>
          <w:p>
            <w:pPr>
              <w:jc w:val="center"/>
              <w:ind w:left="25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3"/>
        </w:trPr>
        <w:tc>
          <w:tcPr>
            <w:tcW w:w="3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539"/>
              <w:spacing w:after="0"/>
              <w:rPr>
                <w:sz w:val="20"/>
                <w:szCs w:val="20"/>
                <w:color w:val="auto"/>
              </w:rPr>
            </w:pPr>
            <w:r>
              <w:rPr>
                <w:rFonts w:ascii="Arial" w:cs="Arial" w:eastAsia="Arial" w:hAnsi="Arial"/>
                <w:sz w:val="16"/>
                <w:szCs w:val="16"/>
                <w:b w:val="1"/>
                <w:bCs w:val="1"/>
                <w:color w:val="auto"/>
              </w:rPr>
              <w:t>March 31,</w:t>
            </w:r>
          </w:p>
        </w:tc>
        <w:tc>
          <w:tcPr>
            <w:tcW w:w="3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83"/>
        </w:trPr>
        <w:tc>
          <w:tcPr>
            <w:tcW w:w="3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r>
      <w:tr>
        <w:trPr>
          <w:trHeight w:val="183"/>
        </w:trPr>
        <w:tc>
          <w:tcPr>
            <w:tcW w:w="3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0" w:type="dxa"/>
            <w:vAlign w:val="bottom"/>
            <w:gridSpan w:val="7"/>
          </w:tcPr>
          <w:p>
            <w:pPr>
              <w:ind w:left="80"/>
              <w:spacing w:after="0" w:line="183" w:lineRule="exact"/>
              <w:rPr>
                <w:sz w:val="20"/>
                <w:szCs w:val="20"/>
                <w:color w:val="auto"/>
              </w:rPr>
            </w:pPr>
            <w:r>
              <w:rPr>
                <w:rFonts w:ascii="Arial" w:cs="Arial" w:eastAsia="Arial" w:hAnsi="Arial"/>
                <w:sz w:val="16"/>
                <w:szCs w:val="16"/>
                <w:b w:val="1"/>
                <w:bCs w:val="1"/>
                <w:color w:val="auto"/>
              </w:rPr>
              <w:t>($ in millions, except percentages)</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9"/>
        </w:trPr>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Product development</w:t>
            </w:r>
          </w:p>
        </w:tc>
        <w:tc>
          <w:tcPr>
            <w:tcW w:w="2620" w:type="dxa"/>
            <w:vAlign w:val="bottom"/>
            <w:gridSpan w:val="2"/>
            <w:shd w:val="clear" w:color="auto" w:fill="CFF0FC"/>
          </w:tcPr>
          <w:p>
            <w:pPr>
              <w:jc w:val="right"/>
              <w:ind w:right="759"/>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CFF0FC"/>
          </w:tcPr>
          <w:p>
            <w:pPr>
              <w:jc w:val="right"/>
              <w:ind w:right="799"/>
              <w:spacing w:after="0"/>
              <w:rPr>
                <w:sz w:val="20"/>
                <w:szCs w:val="20"/>
                <w:color w:val="auto"/>
              </w:rPr>
            </w:pPr>
            <w:r>
              <w:rPr>
                <w:rFonts w:ascii="Arial" w:cs="Arial" w:eastAsia="Arial" w:hAnsi="Arial"/>
                <w:sz w:val="16"/>
                <w:szCs w:val="16"/>
                <w:color w:val="auto"/>
              </w:rPr>
              <w:t>—   $</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060" w:type="dxa"/>
            <w:vAlign w:val="bottom"/>
            <w:gridSpan w:val="2"/>
            <w:shd w:val="clear" w:color="auto" w:fill="CFF0FC"/>
          </w:tcPr>
          <w:p>
            <w:pPr>
              <w:jc w:val="right"/>
              <w:ind w:right="679"/>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(22)</w:t>
            </w:r>
          </w:p>
        </w:tc>
        <w:tc>
          <w:tcPr>
            <w:tcW w:w="4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w:t>
            </w:r>
          </w:p>
        </w:tc>
      </w:tr>
    </w:tbl>
    <w:p>
      <w:pPr>
        <w:spacing w:after="0" w:line="143"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Product development expense decreased $22 million, or 100%, to zero for the three months ended March 31, 2025, compared to $22 million for the three months ended March 31, 2024. This decrease was due to the consummation of the Asset Sale in the prior year. As such, the comparable period of the three months ended March 31, 2025 has none of the previous marketplace and logistics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00" w:type="dxa"/>
            <w:vAlign w:val="bottom"/>
            <w:gridSpan w:val="4"/>
          </w:tcPr>
          <w:p>
            <w:pPr>
              <w:jc w:val="center"/>
              <w:ind w:left="25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3"/>
        </w:trPr>
        <w:tc>
          <w:tcPr>
            <w:tcW w:w="3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539"/>
              <w:spacing w:after="0"/>
              <w:rPr>
                <w:sz w:val="20"/>
                <w:szCs w:val="20"/>
                <w:color w:val="auto"/>
              </w:rPr>
            </w:pPr>
            <w:r>
              <w:rPr>
                <w:rFonts w:ascii="Arial" w:cs="Arial" w:eastAsia="Arial" w:hAnsi="Arial"/>
                <w:sz w:val="16"/>
                <w:szCs w:val="16"/>
                <w:b w:val="1"/>
                <w:bCs w:val="1"/>
                <w:color w:val="auto"/>
              </w:rPr>
              <w:t>March 31,</w:t>
            </w:r>
          </w:p>
        </w:tc>
        <w:tc>
          <w:tcPr>
            <w:tcW w:w="3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83"/>
        </w:trPr>
        <w:tc>
          <w:tcPr>
            <w:tcW w:w="3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r>
      <w:tr>
        <w:trPr>
          <w:trHeight w:val="183"/>
        </w:trPr>
        <w:tc>
          <w:tcPr>
            <w:tcW w:w="3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0" w:type="dxa"/>
            <w:vAlign w:val="bottom"/>
            <w:gridSpan w:val="7"/>
          </w:tcPr>
          <w:p>
            <w:pPr>
              <w:ind w:left="80"/>
              <w:spacing w:after="0" w:line="183" w:lineRule="exact"/>
              <w:rPr>
                <w:sz w:val="20"/>
                <w:szCs w:val="20"/>
                <w:color w:val="auto"/>
              </w:rPr>
            </w:pPr>
            <w:r>
              <w:rPr>
                <w:rFonts w:ascii="Arial" w:cs="Arial" w:eastAsia="Arial" w:hAnsi="Arial"/>
                <w:sz w:val="16"/>
                <w:szCs w:val="16"/>
                <w:b w:val="1"/>
                <w:bCs w:val="1"/>
                <w:color w:val="auto"/>
              </w:rPr>
              <w:t>($ in millions, except percentages)</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9"/>
        </w:trPr>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2420" w:type="dxa"/>
            <w:vAlign w:val="bottom"/>
            <w:gridSpan w:val="2"/>
            <w:shd w:val="clear" w:color="auto" w:fill="CFF0FC"/>
          </w:tcPr>
          <w:p>
            <w:pPr>
              <w:jc w:val="right"/>
              <w:ind w:right="75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180" w:type="dxa"/>
            <w:vAlign w:val="bottom"/>
            <w:gridSpan w:val="2"/>
            <w:shd w:val="clear" w:color="auto" w:fill="CFF0FC"/>
          </w:tcPr>
          <w:p>
            <w:pPr>
              <w:jc w:val="right"/>
              <w:ind w:right="7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060" w:type="dxa"/>
            <w:vAlign w:val="bottom"/>
            <w:gridSpan w:val="2"/>
            <w:shd w:val="clear" w:color="auto" w:fill="CFF0FC"/>
          </w:tcPr>
          <w:p>
            <w:pPr>
              <w:jc w:val="right"/>
              <w:ind w:right="679"/>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w:t>
            </w:r>
          </w:p>
        </w:tc>
        <w:tc>
          <w:tcPr>
            <w:tcW w:w="4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(73)%</w:t>
            </w:r>
          </w:p>
        </w:tc>
      </w:tr>
    </w:tbl>
    <w:p>
      <w:pPr>
        <w:spacing w:after="0" w:line="143"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8"/>
          <w:szCs w:val="18"/>
          <w:color w:val="auto"/>
        </w:rPr>
        <w:t>General and administrative expense decreased $ 16 million, or 73%, to $6 million for the three months ended March 31, 2025, compared to $22 million for the three months ended March 31, 2024. This decrease was primarily due to the consummation of the Asset Sale in the prior year. As such, the comparable period of the three months ended March 31, 2025 has none of the previous marketplace and logistics operations. The decrease was offset by $3 million of expenses for employees, which includes $1 million of stock based compensation; $2 million of expenses for the evaluation and pursuit of strategic alternatives; and $1 million of expenses for legal and other professional services.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500" w:type="dxa"/>
            <w:vAlign w:val="bottom"/>
            <w:gridSpan w:val="4"/>
          </w:tcPr>
          <w:p>
            <w:pPr>
              <w:jc w:val="center"/>
              <w:ind w:left="219"/>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3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right="559"/>
              <w:spacing w:after="0"/>
              <w:rPr>
                <w:sz w:val="20"/>
                <w:szCs w:val="20"/>
                <w:color w:val="auto"/>
              </w:rPr>
            </w:pPr>
            <w:r>
              <w:rPr>
                <w:rFonts w:ascii="Arial" w:cs="Arial" w:eastAsia="Arial" w:hAnsi="Arial"/>
                <w:sz w:val="16"/>
                <w:szCs w:val="16"/>
                <w:b w:val="1"/>
                <w:bCs w:val="1"/>
                <w:color w:val="auto"/>
              </w:rPr>
              <w:t>March 31,</w:t>
            </w:r>
          </w:p>
        </w:tc>
        <w:tc>
          <w:tcPr>
            <w:tcW w:w="3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3"/>
        </w:trPr>
        <w:tc>
          <w:tcPr>
            <w:tcW w:w="3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9"/>
              <w:spacing w:after="0" w:line="183"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r>
      <w:tr>
        <w:trPr>
          <w:trHeight w:val="183"/>
        </w:trPr>
        <w:tc>
          <w:tcPr>
            <w:tcW w:w="3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20" w:type="dxa"/>
            <w:vAlign w:val="bottom"/>
            <w:gridSpan w:val="7"/>
          </w:tcPr>
          <w:p>
            <w:pPr>
              <w:ind w:left="80"/>
              <w:spacing w:after="0" w:line="183" w:lineRule="exact"/>
              <w:rPr>
                <w:sz w:val="20"/>
                <w:szCs w:val="20"/>
                <w:color w:val="auto"/>
              </w:rPr>
            </w:pPr>
            <w:r>
              <w:rPr>
                <w:rFonts w:ascii="Arial" w:cs="Arial" w:eastAsia="Arial" w:hAnsi="Arial"/>
                <w:sz w:val="16"/>
                <w:szCs w:val="16"/>
                <w:b w:val="1"/>
                <w:bCs w:val="1"/>
                <w:color w:val="auto"/>
              </w:rPr>
              <w:t>($ in millions, except percentages)</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Interest and other income, net</w:t>
            </w:r>
          </w:p>
        </w:tc>
        <w:tc>
          <w:tcPr>
            <w:tcW w:w="2360" w:type="dxa"/>
            <w:vAlign w:val="bottom"/>
            <w:gridSpan w:val="2"/>
            <w:shd w:val="clear" w:color="auto" w:fill="CFF0FC"/>
          </w:tcPr>
          <w:p>
            <w:pPr>
              <w:jc w:val="right"/>
              <w:ind w:right="75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200" w:type="dxa"/>
            <w:vAlign w:val="bottom"/>
            <w:gridSpan w:val="2"/>
            <w:shd w:val="clear" w:color="auto" w:fill="CFF0FC"/>
          </w:tcPr>
          <w:p>
            <w:pPr>
              <w:jc w:val="right"/>
              <w:ind w:right="819"/>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FF0FC"/>
          </w:tcPr>
          <w:p>
            <w:pPr>
              <w:jc w:val="right"/>
              <w:ind w:right="739"/>
              <w:spacing w:after="0"/>
              <w:rPr>
                <w:sz w:val="20"/>
                <w:szCs w:val="20"/>
                <w:color w:val="auto"/>
              </w:rPr>
            </w:pPr>
            <w:r>
              <w:rPr>
                <w:rFonts w:ascii="Arial" w:cs="Arial" w:eastAsia="Arial" w:hAnsi="Arial"/>
                <w:sz w:val="16"/>
                <w:szCs w:val="16"/>
                <w:color w:val="auto"/>
              </w:rPr>
              <w:t>—   $</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ind w:left="760"/>
              <w:spacing w:after="0"/>
              <w:rPr>
                <w:sz w:val="20"/>
                <w:szCs w:val="20"/>
                <w:color w:val="auto"/>
              </w:rPr>
            </w:pPr>
            <w:r>
              <w:rPr>
                <w:rFonts w:ascii="Arial" w:cs="Arial" w:eastAsia="Arial" w:hAnsi="Arial"/>
                <w:sz w:val="16"/>
                <w:szCs w:val="16"/>
                <w:color w:val="auto"/>
              </w:rPr>
              <w:t>—</w:t>
            </w:r>
          </w:p>
        </w:tc>
      </w:tr>
    </w:tbl>
    <w:p>
      <w:pPr>
        <w:spacing w:after="0" w:line="143" w:lineRule="exact"/>
        <w:rPr>
          <w:sz w:val="20"/>
          <w:szCs w:val="20"/>
          <w:color w:val="auto"/>
        </w:rPr>
      </w:pPr>
    </w:p>
    <w:p>
      <w:pPr>
        <w:jc w:val="both"/>
        <w:ind w:firstLine="599"/>
        <w:spacing w:after="0" w:line="253" w:lineRule="auto"/>
        <w:rPr>
          <w:sz w:val="20"/>
          <w:szCs w:val="20"/>
          <w:color w:val="auto"/>
        </w:rPr>
      </w:pPr>
      <w:r>
        <w:rPr>
          <w:rFonts w:ascii="Arial" w:cs="Arial" w:eastAsia="Arial" w:hAnsi="Arial"/>
          <w:sz w:val="18"/>
          <w:szCs w:val="18"/>
          <w:color w:val="auto"/>
        </w:rPr>
        <w:t>Interest and other income, net increased to $2 million for the three months ended March 31, 2025 as compared to zero for the three months ended March 31, 2024. The increase was driven by the lack of foreign exchange gains or losses in 2025, which had previously offset the interest income earned in the three months ended March 31, 2024.</w:t>
      </w:r>
    </w:p>
    <w:p>
      <w:pPr>
        <w:spacing w:after="0" w:line="115" w:lineRule="exact"/>
        <w:rPr>
          <w:sz w:val="20"/>
          <w:szCs w:val="20"/>
          <w:color w:val="auto"/>
        </w:rPr>
      </w:pPr>
    </w:p>
    <w:p>
      <w:pPr>
        <w:jc w:val="both"/>
        <w:ind w:right="20" w:firstLine="599"/>
        <w:spacing w:after="0" w:line="271" w:lineRule="auto"/>
        <w:rPr>
          <w:sz w:val="20"/>
          <w:szCs w:val="20"/>
          <w:color w:val="auto"/>
        </w:rPr>
      </w:pPr>
      <w:r>
        <w:rPr>
          <w:rFonts w:ascii="Arial" w:cs="Arial" w:eastAsia="Arial" w:hAnsi="Arial"/>
          <w:sz w:val="18"/>
          <w:szCs w:val="18"/>
          <w:color w:val="auto"/>
        </w:rPr>
        <w:t>Since the consummation of the Asset Sale, we expect to earn interest income on marketable securities and cash and cash equivalents that remain following the Asset Sale.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540" w:type="dxa"/>
            <w:vAlign w:val="bottom"/>
            <w:gridSpan w:val="4"/>
          </w:tcPr>
          <w:p>
            <w:pPr>
              <w:jc w:val="center"/>
              <w:ind w:left="219"/>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3"/>
        </w:trPr>
        <w:tc>
          <w:tcPr>
            <w:tcW w:w="3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579"/>
              <w:spacing w:after="0"/>
              <w:rPr>
                <w:sz w:val="20"/>
                <w:szCs w:val="20"/>
                <w:color w:val="auto"/>
              </w:rPr>
            </w:pPr>
            <w:r>
              <w:rPr>
                <w:rFonts w:ascii="Arial" w:cs="Arial" w:eastAsia="Arial" w:hAnsi="Arial"/>
                <w:sz w:val="16"/>
                <w:szCs w:val="16"/>
                <w:b w:val="1"/>
                <w:bCs w:val="1"/>
                <w:color w:val="auto"/>
              </w:rPr>
              <w:t>March 31,</w:t>
            </w:r>
          </w:p>
        </w:tc>
        <w:tc>
          <w:tcPr>
            <w:tcW w:w="3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83"/>
        </w:trPr>
        <w:tc>
          <w:tcPr>
            <w:tcW w:w="3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r>
      <w:tr>
        <w:trPr>
          <w:trHeight w:val="183"/>
        </w:trPr>
        <w:tc>
          <w:tcPr>
            <w:tcW w:w="3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0" w:type="dxa"/>
            <w:vAlign w:val="bottom"/>
            <w:gridSpan w:val="7"/>
          </w:tcPr>
          <w:p>
            <w:pPr>
              <w:ind w:left="80"/>
              <w:spacing w:after="0" w:line="183" w:lineRule="exact"/>
              <w:rPr>
                <w:sz w:val="20"/>
                <w:szCs w:val="20"/>
                <w:color w:val="auto"/>
              </w:rPr>
            </w:pPr>
            <w:r>
              <w:rPr>
                <w:rFonts w:ascii="Arial" w:cs="Arial" w:eastAsia="Arial" w:hAnsi="Arial"/>
                <w:sz w:val="16"/>
                <w:szCs w:val="16"/>
                <w:b w:val="1"/>
                <w:bCs w:val="1"/>
                <w:color w:val="auto"/>
              </w:rPr>
              <w:t>($ in millions, except percentages)</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9"/>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2440" w:type="dxa"/>
            <w:vAlign w:val="bottom"/>
            <w:gridSpan w:val="2"/>
            <w:shd w:val="clear" w:color="auto" w:fill="CFF0FC"/>
          </w:tcPr>
          <w:p>
            <w:pPr>
              <w:jc w:val="right"/>
              <w:ind w:right="759"/>
              <w:spacing w:after="0"/>
              <w:rPr>
                <w:sz w:val="20"/>
                <w:szCs w:val="20"/>
                <w:color w:val="auto"/>
              </w:rPr>
            </w:pPr>
            <w:r>
              <w:rPr>
                <w:rFonts w:ascii="Arial" w:cs="Arial" w:eastAsia="Arial" w:hAnsi="Arial"/>
                <w:sz w:val="16"/>
                <w:szCs w:val="16"/>
                <w:color w:val="auto"/>
              </w:rPr>
              <w:t>$</w:t>
            </w:r>
          </w:p>
        </w:tc>
        <w:tc>
          <w:tcPr>
            <w:tcW w:w="1600" w:type="dxa"/>
            <w:vAlign w:val="bottom"/>
            <w:gridSpan w:val="3"/>
            <w:shd w:val="clear" w:color="auto" w:fill="CFF0FC"/>
          </w:tcPr>
          <w:p>
            <w:pPr>
              <w:jc w:val="right"/>
              <w:ind w:right="839"/>
              <w:spacing w:after="0"/>
              <w:rPr>
                <w:sz w:val="20"/>
                <w:szCs w:val="20"/>
                <w:color w:val="auto"/>
              </w:rPr>
            </w:pPr>
            <w:r>
              <w:rPr>
                <w:rFonts w:ascii="Arial" w:cs="Arial" w:eastAsia="Arial" w:hAnsi="Arial"/>
                <w:sz w:val="16"/>
                <w:szCs w:val="16"/>
                <w:color w:val="auto"/>
              </w:rPr>
              <w:t>—   $</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100" w:type="dxa"/>
            <w:vAlign w:val="bottom"/>
            <w:gridSpan w:val="2"/>
            <w:shd w:val="clear" w:color="auto" w:fill="CFF0FC"/>
          </w:tcPr>
          <w:p>
            <w:pPr>
              <w:jc w:val="right"/>
              <w:ind w:right="719"/>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(6)</w:t>
            </w:r>
          </w:p>
        </w:tc>
        <w:tc>
          <w:tcPr>
            <w:tcW w:w="4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w:t>
            </w:r>
          </w:p>
        </w:tc>
      </w:tr>
    </w:tbl>
    <w:p>
      <w:pPr>
        <w:spacing w:after="0" w:line="143"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Provision for income taxes for the three months ended March 31, 2025 decreased $6 million, or 100% compared to the same period in 2024. The 2024 provision was primarily related to withholding taxes accrued on certain intercompany dividends in the first quarter of fiscal 2024.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8"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As of March 31, 2025, we had cash and cash equivalents of $64 million, a majority of which were held in cash deposits and U.S. treasury bills, and marketable securities of $158 million, which funds were held for working capital purposes. We believe that our existing cash, cash equivalents and marketable securities will be sufficient to meet our anticipated cash needs for at least the next 12 months.</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material cash requirements outside our normal operating costs include $3 million in total liabilities.</w:t>
      </w:r>
    </w:p>
    <w:p>
      <w:pPr>
        <w:spacing w:after="0" w:line="15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While we maintain our cash and short-term investments with a diverse group of large national financial institutions, there can be no assurance that any of our other deposits in excess of the Federal Deposit Insurance Corporation or other comparable insurance limits will be backstopped by the U.S. or that any bank or financial institution with which we do business will be able to obtain needed liquidity from other banks, government institutions or by acquisition in the event of a failure or liquidity crisis.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56"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8"/>
          <w:szCs w:val="18"/>
          <w:color w:val="auto"/>
        </w:rPr>
        <w:t>As of March 31, 2025, we had cash and cash equivalents of $64 million and marketable securities of $158 million (consisting of government securities).</w:t>
      </w:r>
    </w:p>
    <w:p>
      <w:pPr>
        <w:spacing w:after="0" w:line="100" w:lineRule="exact"/>
        <w:rPr>
          <w:sz w:val="20"/>
          <w:szCs w:val="20"/>
          <w:color w:val="auto"/>
        </w:rPr>
      </w:pPr>
    </w:p>
    <w:p>
      <w:pPr>
        <w:jc w:val="both"/>
        <w:ind w:firstLine="599"/>
        <w:spacing w:after="0" w:line="271" w:lineRule="auto"/>
        <w:rPr>
          <w:sz w:val="20"/>
          <w:szCs w:val="20"/>
          <w:color w:val="auto"/>
        </w:rPr>
      </w:pPr>
      <w:r>
        <w:rPr>
          <w:rFonts w:ascii="Arial" w:cs="Arial" w:eastAsia="Arial" w:hAnsi="Arial"/>
          <w:sz w:val="18"/>
          <w:szCs w:val="18"/>
          <w:color w:val="auto"/>
        </w:rPr>
        <w:t>We (i) earn interest income on cash and marketable securities; (ii) have no other sources of revenue and related costs; and (iii) incur minimal administrative costs.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60" w:type="dxa"/>
            <w:vAlign w:val="bottom"/>
          </w:tcPr>
          <w:p>
            <w:pPr>
              <w:spacing w:after="0"/>
              <w:rPr>
                <w:sz w:val="17"/>
                <w:szCs w:val="17"/>
                <w:color w:val="auto"/>
              </w:rPr>
            </w:pPr>
          </w:p>
        </w:tc>
        <w:tc>
          <w:tcPr>
            <w:tcW w:w="356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3"/>
        </w:trPr>
        <w:tc>
          <w:tcPr>
            <w:tcW w:w="7060" w:type="dxa"/>
            <w:vAlign w:val="bottom"/>
          </w:tcPr>
          <w:p>
            <w:pPr>
              <w:spacing w:after="0"/>
              <w:rPr>
                <w:sz w:val="15"/>
                <w:szCs w:val="15"/>
                <w:color w:val="auto"/>
              </w:rPr>
            </w:pPr>
          </w:p>
        </w:tc>
        <w:tc>
          <w:tcPr>
            <w:tcW w:w="1340" w:type="dxa"/>
            <w:vAlign w:val="bottom"/>
            <w:tcBorders>
              <w:bottom w:val="single" w:sz="8" w:color="auto"/>
            </w:tcBorders>
          </w:tcPr>
          <w:p>
            <w:pPr>
              <w:jc w:val="right"/>
              <w:ind w:right="142"/>
              <w:spacing w:after="0" w:line="183" w:lineRule="exact"/>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7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40" w:type="dxa"/>
            <w:vAlign w:val="bottom"/>
          </w:tcPr>
          <w:p>
            <w:pPr>
              <w:ind w:left="240"/>
              <w:spacing w:after="0" w:line="183" w:lineRule="exact"/>
              <w:rPr>
                <w:sz w:val="20"/>
                <w:szCs w:val="20"/>
                <w:color w:val="auto"/>
              </w:rPr>
            </w:pPr>
            <w:r>
              <w:rPr>
                <w:rFonts w:ascii="Arial" w:cs="Arial" w:eastAsia="Arial" w:hAnsi="Arial"/>
                <w:sz w:val="16"/>
                <w:szCs w:val="16"/>
                <w:b w:val="1"/>
                <w:bCs w:val="1"/>
                <w:color w:val="auto"/>
              </w:rPr>
              <w:t>(in</w:t>
            </w:r>
          </w:p>
        </w:tc>
        <w:tc>
          <w:tcPr>
            <w:tcW w:w="1680" w:type="dxa"/>
            <w:vAlign w:val="bottom"/>
            <w:gridSpan w:val="3"/>
          </w:tcPr>
          <w:p>
            <w:pPr>
              <w:jc w:val="center"/>
              <w:ind w:right="999"/>
              <w:spacing w:after="0" w:line="183" w:lineRule="exact"/>
              <w:rPr>
                <w:sz w:val="20"/>
                <w:szCs w:val="20"/>
                <w:color w:val="auto"/>
              </w:rPr>
            </w:pPr>
            <w:r>
              <w:rPr>
                <w:rFonts w:ascii="Arial" w:cs="Arial" w:eastAsia="Arial" w:hAnsi="Arial"/>
                <w:sz w:val="16"/>
                <w:szCs w:val="16"/>
                <w:b w:val="1"/>
                <w:bCs w:val="1"/>
                <w:color w:val="auto"/>
                <w:w w:val="91"/>
              </w:rPr>
              <w:t>millions)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706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(used in):</w:t>
            </w:r>
          </w:p>
        </w:tc>
        <w:tc>
          <w:tcPr>
            <w:tcW w:w="13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7060" w:type="dxa"/>
            <w:vAlign w:val="bottom"/>
          </w:tcPr>
          <w:p>
            <w:pPr>
              <w:ind w:left="180"/>
              <w:spacing w:after="0"/>
              <w:rPr>
                <w:sz w:val="20"/>
                <w:szCs w:val="20"/>
                <w:color w:val="auto"/>
              </w:rPr>
            </w:pPr>
            <w:r>
              <w:rPr>
                <w:rFonts w:ascii="Arial" w:cs="Arial" w:eastAsia="Arial" w:hAnsi="Arial"/>
                <w:sz w:val="16"/>
                <w:szCs w:val="16"/>
                <w:color w:val="auto"/>
              </w:rPr>
              <w:t>Operating activities</w:t>
            </w:r>
          </w:p>
        </w:tc>
        <w:tc>
          <w:tcPr>
            <w:tcW w:w="1340" w:type="dxa"/>
            <w:vAlign w:val="bottom"/>
          </w:tcPr>
          <w:p>
            <w:pPr>
              <w:jc w:val="right"/>
              <w:ind w:right="1182"/>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9"/>
              <w:spacing w:after="0"/>
              <w:rPr>
                <w:sz w:val="20"/>
                <w:szCs w:val="20"/>
                <w:color w:val="auto"/>
              </w:rPr>
            </w:pPr>
            <w:r>
              <w:rPr>
                <w:rFonts w:ascii="Arial" w:cs="Arial" w:eastAsia="Arial" w:hAnsi="Arial"/>
                <w:sz w:val="16"/>
                <w:szCs w:val="16"/>
                <w:color w:val="auto"/>
              </w:rPr>
              <w:t>(5)</w:t>
            </w:r>
          </w:p>
        </w:tc>
        <w:tc>
          <w:tcPr>
            <w:tcW w:w="1520" w:type="dxa"/>
            <w:vAlign w:val="bottom"/>
            <w:gridSpan w:val="2"/>
          </w:tcPr>
          <w:p>
            <w:pPr>
              <w:jc w:val="center"/>
              <w:ind w:right="1139"/>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(75)</w:t>
            </w:r>
          </w:p>
        </w:tc>
      </w:tr>
      <w:tr>
        <w:trPr>
          <w:trHeight w:val="189"/>
        </w:trPr>
        <w:tc>
          <w:tcPr>
            <w:tcW w:w="70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Investing activities</w:t>
            </w:r>
          </w:p>
        </w:tc>
        <w:tc>
          <w:tcPr>
            <w:tcW w:w="1340" w:type="dxa"/>
            <w:vAlign w:val="bottom"/>
            <w:shd w:val="clear" w:color="auto" w:fill="CFF0FC"/>
          </w:tcPr>
          <w:p>
            <w:pPr>
              <w:jc w:val="right"/>
              <w:ind w:right="1182"/>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(75)</w:t>
            </w:r>
          </w:p>
        </w:tc>
        <w:tc>
          <w:tcPr>
            <w:tcW w:w="1520" w:type="dxa"/>
            <w:vAlign w:val="bottom"/>
            <w:gridSpan w:val="2"/>
            <w:shd w:val="clear" w:color="auto" w:fill="CFF0FC"/>
          </w:tcPr>
          <w:p>
            <w:pPr>
              <w:jc w:val="center"/>
              <w:ind w:right="1139"/>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90</w:t>
            </w:r>
          </w:p>
        </w:tc>
      </w:tr>
      <w:tr>
        <w:trPr>
          <w:trHeight w:val="215"/>
        </w:trPr>
        <w:tc>
          <w:tcPr>
            <w:tcW w:w="7060" w:type="dxa"/>
            <w:vAlign w:val="bottom"/>
          </w:tcPr>
          <w:p>
            <w:pPr>
              <w:ind w:left="180"/>
              <w:spacing w:after="0"/>
              <w:rPr>
                <w:sz w:val="20"/>
                <w:szCs w:val="20"/>
                <w:color w:val="auto"/>
              </w:rPr>
            </w:pPr>
            <w:r>
              <w:rPr>
                <w:rFonts w:ascii="Arial" w:cs="Arial" w:eastAsia="Arial" w:hAnsi="Arial"/>
                <w:sz w:val="16"/>
                <w:szCs w:val="16"/>
                <w:color w:val="auto"/>
              </w:rPr>
              <w:t>Financing activities</w:t>
            </w:r>
          </w:p>
        </w:tc>
        <w:tc>
          <w:tcPr>
            <w:tcW w:w="1340" w:type="dxa"/>
            <w:vAlign w:val="bottom"/>
          </w:tcPr>
          <w:p>
            <w:pPr>
              <w:jc w:val="right"/>
              <w:ind w:right="1182"/>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79"/>
              <w:spacing w:after="0"/>
              <w:rPr>
                <w:sz w:val="20"/>
                <w:szCs w:val="20"/>
                <w:color w:val="auto"/>
              </w:rPr>
            </w:pPr>
            <w:r>
              <w:rPr>
                <w:rFonts w:ascii="Arial" w:cs="Arial" w:eastAsia="Arial" w:hAnsi="Arial"/>
                <w:sz w:val="16"/>
                <w:szCs w:val="16"/>
                <w:color w:val="auto"/>
              </w:rPr>
              <w:t>72</w:t>
            </w:r>
          </w:p>
        </w:tc>
        <w:tc>
          <w:tcPr>
            <w:tcW w:w="1520" w:type="dxa"/>
            <w:vAlign w:val="bottom"/>
            <w:gridSpan w:val="2"/>
          </w:tcPr>
          <w:p>
            <w:pPr>
              <w:jc w:val="center"/>
              <w:ind w:right="1139"/>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56"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Net cash used in our operating activities for the three months ended March 31, 2025 was $5 million. This was driven by our net loss of $4 million and $1 million unfavorable changes in our operating assets and liabilities, mainly driven by reductions in accrued liabilities.</w:t>
      </w:r>
    </w:p>
    <w:p>
      <w:pPr>
        <w:spacing w:after="0" w:line="100"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8"/>
          <w:szCs w:val="18"/>
          <w:color w:val="auto"/>
        </w:rPr>
        <w:t>Net cash used in our operating activities for the three months ended March 31, 2024 was $75 million. This was driven by our net loss of $ 59 million and $26 million unfavorable changes in our operating assets and liabilities, which was partially offset by non-cash expenses of $10 million. Unfavorable working capital movement was mainly driven by reductions in accounts payable, merchants payable and accrued and refund liabilities. Accounts payable, merchants payable, and accrued and refund liabilities decreased by $32 million primarily due to lower order volumes and reduced digital advertising expenditures.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156"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Net cash used in investing activities was $75 million for the three months ended March 31, 2025. This was primarily due to $158 million in purchases of marketable securities, partially offset by $83 million in maturities of marketable securities.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26" w:name="page27"/>
    <w:bookmarkEnd w:id="26"/>
    <w:p>
      <w:pPr>
        <w:jc w:val="both"/>
        <w:ind w:firstLine="636"/>
        <w:spacing w:after="0" w:line="271" w:lineRule="auto"/>
        <w:rPr>
          <w:sz w:val="20"/>
          <w:szCs w:val="20"/>
          <w:color w:val="auto"/>
        </w:rPr>
      </w:pPr>
      <w:r>
        <w:rPr>
          <w:rFonts w:ascii="Arial" w:cs="Arial" w:eastAsia="Arial" w:hAnsi="Arial"/>
          <w:sz w:val="18"/>
          <w:szCs w:val="18"/>
          <w:color w:val="auto"/>
        </w:rPr>
        <w:t>Net cash provided by investing activities was $90 million for the three months ended March 31, 2024, primarily due to maturities in marketable securities.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56"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Net cash provided by our financing activities was $72 million for the three months ended March 31, 2025, due to proceeds from the issuance of redeemable convertible Preferred Units.</w:t>
      </w:r>
    </w:p>
    <w:p>
      <w:pPr>
        <w:spacing w:after="0" w:line="100"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8"/>
          <w:szCs w:val="18"/>
          <w:color w:val="auto"/>
        </w:rPr>
        <w:t>Net cash used in our financing activities was $1 million for the three months ended March 31, 2024, due to tax payments related to employee RSU settlement.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58"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For the three months ended March 31, 2025 and March 31, 2024,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58"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Besides the previously mentioned redeemable non-controlling interest, there have been no material changes to our critical accounting policies and estimates as compared to those described in our 2024 Form 10-K, filed with the SEC on March 12, 2025.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of Part I, Item 1 of this Quarterly Report on Form 10-Q for a full description of recent accounting pronouncements.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a “smaller reporting company,” as defined by Item 10 of Regulation S-K, we are not required to provide this information.</w:t>
      </w:r>
    </w:p>
    <w:p>
      <w:pPr>
        <w:spacing w:after="0" w:line="2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133" w:right="11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6"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Our disclosure controls and procedures (as defined in Rules 13a-15(e) or 15d-15(e) under the Securities Exchange Act of 1934, as amended (the “Exchange Act”)) are designed to ensure that information required to be disclosed in the reports that we file or submit under the Exchange Act is recorded, processed, summarized, and reported within the time periods specified in the rules and forms of the Securities and Exchange Commission (“SEC”) and to ensure that information required to be disclosed is accumulated and communicated to management, including our principal executive and financial officers, to allow timely decisions regarding required disclosure.</w:t>
      </w:r>
    </w:p>
    <w:p>
      <w:pPr>
        <w:spacing w:after="0" w:line="109" w:lineRule="exact"/>
        <w:rPr>
          <w:sz w:val="20"/>
          <w:szCs w:val="20"/>
          <w:color w:val="auto"/>
        </w:rPr>
      </w:pPr>
    </w:p>
    <w:p>
      <w:pPr>
        <w:jc w:val="both"/>
        <w:ind w:firstLine="644"/>
        <w:spacing w:after="0" w:line="253" w:lineRule="auto"/>
        <w:rPr>
          <w:sz w:val="20"/>
          <w:szCs w:val="20"/>
          <w:color w:val="auto"/>
        </w:rPr>
      </w:pPr>
      <w:r>
        <w:rPr>
          <w:rFonts w:ascii="Arial" w:cs="Arial" w:eastAsia="Arial" w:hAnsi="Arial"/>
          <w:sz w:val="18"/>
          <w:szCs w:val="18"/>
          <w:color w:val="auto"/>
        </w:rPr>
        <w:t>Our Chief Executive Officer and Chief Financial Officer, with assistance from other members of management, have evaluated the effectiveness of our disclosure controls and procedures as of March 31, 2025, and based on their evaluation, have concluded that our disclosure controls and procedures were effective as of such date at a reasonable assurance level.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9" w:lineRule="exact"/>
        <w:rPr>
          <w:sz w:val="20"/>
          <w:szCs w:val="20"/>
          <w:color w:val="auto"/>
        </w:rPr>
      </w:pPr>
    </w:p>
    <w:p>
      <w:pPr>
        <w:jc w:val="both"/>
        <w:ind w:right="20" w:firstLine="644"/>
        <w:spacing w:after="0" w:line="271" w:lineRule="auto"/>
        <w:rPr>
          <w:sz w:val="20"/>
          <w:szCs w:val="20"/>
          <w:color w:val="auto"/>
        </w:rPr>
      </w:pPr>
      <w:r>
        <w:rPr>
          <w:rFonts w:ascii="Arial" w:cs="Arial" w:eastAsia="Arial" w:hAnsi="Arial"/>
          <w:sz w:val="18"/>
          <w:szCs w:val="18"/>
          <w:color w:val="auto"/>
        </w:rPr>
        <w:t>There were no changes in our internal controls over financial reporting during the quarter ended March 31, 2025, that have materially affected, or are reasonably likely to materially affect, our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the Effectiveness of Disclosure Controls and Procedures</w:t>
      </w:r>
    </w:p>
    <w:p>
      <w:pPr>
        <w:spacing w:after="0" w:line="156"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jc w:val="both"/>
        <w:ind w:firstLine="644"/>
        <w:spacing w:after="0" w:line="271" w:lineRule="auto"/>
        <w:rPr>
          <w:sz w:val="20"/>
          <w:szCs w:val="20"/>
          <w:color w:val="auto"/>
        </w:rPr>
      </w:pPr>
      <w:r>
        <w:rPr>
          <w:rFonts w:ascii="Arial" w:cs="Arial" w:eastAsia="Arial" w:hAnsi="Arial"/>
          <w:sz w:val="18"/>
          <w:szCs w:val="18"/>
          <w:color w:val="auto"/>
        </w:rPr>
        <w:t>The information set forth under Note 5, Commitments and Contingencies, in the Notes to Unaudited Condensed Consolidated Financial Statements included in Part I, Item 1, of this Quarterly Report on Form 10-Q, is incorporated herein by reference.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Investing in our common stock involves a high degree of risk. You should carefully consider the risks and uncertainties set forth below, together with all of the other information contained in this Quarterly Report on Form 10-Q, including our condensed consolidated financial statements and related notes, and in our Annual Report on Form 10-K for the year ended December 31, 2024, before making a decision to invest in our common stock. Additional risks and uncertainties that we are unaware of, or that we currently believe are not material, may also become important factors that affect our business. These risk factors could materially and adversely affect our business, financial condition and results of operations, and the market price of our common stock could decline. These risk factors do not identify all risks that we face – our financial condition and/or operations could also be affected by factors that are not presently known to us or that we currently consider to be immaterial to our financial conditions and/or operations. Due to risks and uncertainties, known and unknown, as well as the completion of the Asset Sale on April 19, 2024, our past financial results will not be a reliable indicator of future performance and historical trends should not be unduly used to anticipate results or trends in future periods. Other than as described below, there have been no additional material changes from the risk factors previously disclosed under the heading "Risk Factors" in Part I, Item 1A of our 2024 Form 10-K.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Asset Purchase Agreement</w:t>
      </w:r>
    </w:p>
    <w:p>
      <w:pPr>
        <w:spacing w:after="0" w:line="10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counterparty risk with the Buyer and its affiliates for certain ongoing obligations under the Asset Purchase Agreement and the failure of the Buyer and its affiliates to perform their obligations could cause us to suffer losses.</w:t>
      </w:r>
    </w:p>
    <w:p>
      <w:pPr>
        <w:spacing w:after="0" w:line="139"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In connection with the Asset Sale, under the Asset Purchase Agreement, we agreed with the Buyer to transfer and assign the lease for the facility located at One Sansome Street (the “Lease”) to the Buyer and for the Buyer to assume all obligations under the Lease. The Company relinquished control of the leased facility after the Asset Sale. In order to obtain the landlord’s consent to the transfer of the Lease and effect its assignment, we agreed to maintain a letter of credit for an additional 90 days following the April 19, 2024 closing date during which time (i) the Buyer was obligated to secure a replacement security acceptable to the landlord and (ii) we and the Buyer agreed to provide the landlord with cash collateral in the amount of $7 million funded equally by the parties. As of October 31, 2024, the landlord had consented to the assignment of the Lease to the Buyer. We maintain the letter of credit for the facility, however, in March 2025, the landlord agreed to amend the Lease which lowered the letter of credit amount to $1 million and decreased the cash collateral to approximately $1 million. Until the landlord accepts a replacement security proposed by the Buyer, any event by the landlord to draw on the security will come from the maintained letter of credit. Under the Asset Purchase Agreement, the Buyer agreed to assume all obligations under the Lease since the Asset Sale.</w:t>
      </w:r>
    </w:p>
    <w:p>
      <w:pPr>
        <w:spacing w:after="0" w:line="186"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As of March 2025, the letter of credit is expected to expire in the third quarter of 2025. If the Buyer fails to pay the rent under the Lease or comply with other obligations under the Lease, we would be responsible for the remaining obligations under the Lease. While the cash collateral held as restricted cash on our consolidated balance sheet could be utilized to satisfy obligations under the Lease should the Buyer fail to meet them, approximately one-third of the cash collateral has been funded by the Company, and if more than two-thirds of the cash collateral is used to satisfy obligations under the Lease, such funds will not be returned to the Company. While the Buyer would be responsible for such obligations under the terms of the Asset Purchase Agreement, we can provide no assurance that we would be successful in obtaining payment or reimbursement from the Buyer or Qoo10 for such losses.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assurance that we will remain compliant with Nasdaq's listing requirements.</w:t>
      </w:r>
    </w:p>
    <w:p>
      <w:pPr>
        <w:spacing w:after="0" w:line="210"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8"/>
          <w:szCs w:val="18"/>
          <w:color w:val="auto"/>
        </w:rPr>
        <w:t>On March 25, 2025, we were notified by the Listing Qualifications Department (the “Staff”) of The Nasdaq Stock Market LLC (“Nasdaq”) that the Staff believes the Company is a “public shell,” as that term is defined by Nasdaq under Nasdaq Listing Rule 5101, and therefore subject to delisting unless the Company timely requests a hearing before the Nasdaq Hearings Panel (the “Panel”). The Company disagrees with the Staff’s conclusion and timely requested a hearing before the Panel, which request will stay any further action by Nasdaq at least pending the hearing and the issuance of the Panel’s formal decision thereafter. The requested hearing before the Panel was held on May 8, 2025.</w:t>
      </w:r>
    </w:p>
    <w:p>
      <w:pPr>
        <w:spacing w:after="0" w:line="179"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At the hearing, we presented a comprehensive overview of our business and, more specifically, our efforts to maximize the value of our assets, including opportunities to invest in or acquire one or more operating businesses that provide opportunities for appreciation in value, and to request the continued listing of our securities on Nasdaq. There can be no assurance, however, that the Panel will grant our request for continued listing on Nasdaq.</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0" w:name="page31"/>
    <w:bookmarkEnd w:id="30"/>
    <w:p>
      <w:pPr>
        <w:jc w:val="both"/>
        <w:ind w:firstLine="644"/>
        <w:spacing w:after="0"/>
        <w:rPr>
          <w:sz w:val="20"/>
          <w:szCs w:val="20"/>
          <w:color w:val="auto"/>
        </w:rPr>
      </w:pPr>
      <w:r>
        <w:rPr>
          <w:rFonts w:ascii="Arial" w:cs="Arial" w:eastAsia="Arial" w:hAnsi="Arial"/>
          <w:sz w:val="18"/>
          <w:szCs w:val="18"/>
          <w:color w:val="auto"/>
        </w:rPr>
        <w:t>In the event that we are unsuccessful in our appeal to maintain our listing on Nasdaq, our common stock may be delisted. Any delisting of our common stock from Nasdaq could adversely affect our ability to attract new investors, decrease the liquidity of our outstanding shares of common stock, reduce our flexibility to raise additional capital, reduce the price at which our common stock trades and increase the transaction costs inherent in trading such shares with overall negative effects for our stockholders. In addition, delisting of our common stock could deter broker-dealers from making a market in or otherwise seeking or generating interest in our common stock, and might deter certain institutions and persons from investing in our securities at all. For these reasons and others, delisting could adversely affect the price of our common stock and our business, financial condition and results of operations.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gridSpan w:val="3"/>
          </w:tcPr>
          <w:p>
            <w:pPr>
              <w:ind w:left="34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1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40" w:type="dxa"/>
            <w:vAlign w:val="bottom"/>
            <w:tcBorders>
              <w:bottom w:val="single" w:sz="8" w:color="auto"/>
            </w:tcBorders>
            <w:gridSpan w:val="20"/>
          </w:tcPr>
          <w:p>
            <w:pPr>
              <w:ind w:left="1040"/>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460" w:type="dxa"/>
            <w:vAlign w:val="bottom"/>
            <w:gridSpan w:val="2"/>
          </w:tcPr>
          <w:p>
            <w:pPr>
              <w:spacing w:after="0"/>
              <w:rPr>
                <w:rFonts w:ascii="Arial" w:cs="Arial" w:eastAsia="Arial" w:hAnsi="Arial"/>
                <w:sz w:val="18"/>
                <w:szCs w:val="18"/>
                <w:color w:val="0000FF"/>
              </w:rPr>
            </w:pPr>
            <w:hyperlink r:id="rId185">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940" w:type="dxa"/>
            <w:vAlign w:val="bottom"/>
            <w:gridSpan w:val="26"/>
          </w:tcPr>
          <w:p>
            <w:pPr>
              <w:spacing w:after="0"/>
              <w:rPr>
                <w:rFonts w:ascii="Arial" w:cs="Arial" w:eastAsia="Arial" w:hAnsi="Arial"/>
                <w:sz w:val="18"/>
                <w:szCs w:val="18"/>
                <w:color w:val="0000FF"/>
              </w:rPr>
            </w:pPr>
            <w:hyperlink r:id="rId185">
              <w:r>
                <w:rPr>
                  <w:rFonts w:ascii="Arial" w:cs="Arial" w:eastAsia="Arial" w:hAnsi="Arial"/>
                  <w:sz w:val="18"/>
                  <w:szCs w:val="18"/>
                  <w:color w:val="0000FF"/>
                </w:rPr>
                <w:t>Investment Agreement, dated as of February 24, 2025, by and among ContextLogic Inc., ContextLogic Holdings, LLC and</w:t>
              </w:r>
            </w:hyperlink>
          </w:p>
        </w:tc>
      </w:tr>
      <w:tr>
        <w:trPr>
          <w:trHeight w:val="183"/>
        </w:trPr>
        <w:tc>
          <w:tcPr>
            <w:tcW w:w="36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72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85">
              <w:r>
                <w:rPr>
                  <w:rFonts w:ascii="Arial" w:cs="Arial" w:eastAsia="Arial" w:hAnsi="Arial"/>
                  <w:sz w:val="18"/>
                  <w:szCs w:val="18"/>
                  <w:color w:val="0000FF"/>
                </w:rPr>
                <w:t>BCP Special Opportunities Fund III Originations LP (incorporated by reference to Exhibit 10.1 to the Company’s Current</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58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185">
              <w:r>
                <w:rPr>
                  <w:rFonts w:ascii="Arial" w:cs="Arial" w:eastAsia="Arial" w:hAnsi="Arial"/>
                  <w:sz w:val="18"/>
                  <w:szCs w:val="18"/>
                  <w:color w:val="0000FF"/>
                  <w:w w:val="99"/>
                </w:rPr>
                <w:t>Report on Form 8-K filed with the Securities and Exchange Commission on February 28, 2025).</w:t>
              </w:r>
            </w:hyperlink>
          </w:p>
        </w:tc>
        <w:tc>
          <w:tcPr>
            <w:tcW w:w="196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460" w:type="dxa"/>
            <w:vAlign w:val="bottom"/>
            <w:gridSpan w:val="2"/>
          </w:tcPr>
          <w:p>
            <w:pPr>
              <w:spacing w:after="0"/>
              <w:rPr>
                <w:rFonts w:ascii="Arial" w:cs="Arial" w:eastAsia="Arial" w:hAnsi="Arial"/>
                <w:sz w:val="18"/>
                <w:szCs w:val="18"/>
                <w:color w:val="0000FF"/>
              </w:rPr>
            </w:pPr>
            <w:hyperlink r:id="rId186">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40" w:type="dxa"/>
            <w:vAlign w:val="bottom"/>
            <w:gridSpan w:val="26"/>
          </w:tcPr>
          <w:p>
            <w:pPr>
              <w:spacing w:after="0"/>
              <w:rPr>
                <w:rFonts w:ascii="Arial" w:cs="Arial" w:eastAsia="Arial" w:hAnsi="Arial"/>
                <w:sz w:val="18"/>
                <w:szCs w:val="18"/>
                <w:color w:val="0000FF"/>
              </w:rPr>
            </w:pPr>
            <w:hyperlink r:id="rId186">
              <w:r>
                <w:rPr>
                  <w:rFonts w:ascii="Arial" w:cs="Arial" w:eastAsia="Arial" w:hAnsi="Arial"/>
                  <w:sz w:val="18"/>
                  <w:szCs w:val="18"/>
                  <w:color w:val="0000FF"/>
                </w:rPr>
                <w:t>Amended and Restated Investment Agreement, dated as of March 6, 2025, by and among ContextLogic Inc., ContextLogic</w:t>
              </w:r>
            </w:hyperlink>
          </w:p>
        </w:tc>
      </w:tr>
      <w:tr>
        <w:trPr>
          <w:trHeight w:val="183"/>
        </w:trPr>
        <w:tc>
          <w:tcPr>
            <w:tcW w:w="36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186">
              <w:r>
                <w:rPr>
                  <w:rFonts w:ascii="Arial" w:cs="Arial" w:eastAsia="Arial" w:hAnsi="Arial"/>
                  <w:sz w:val="18"/>
                  <w:szCs w:val="18"/>
                  <w:color w:val="0000FF"/>
                </w:rPr>
                <w:t>Holdings, LLC and BCP Special Opportunities Fund III Originations LP (incorporated by reference to Exhibit 10.12 to the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2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r:id="rId186">
              <w:r>
                <w:rPr>
                  <w:rFonts w:ascii="Arial" w:cs="Arial" w:eastAsia="Arial" w:hAnsi="Arial"/>
                  <w:sz w:val="18"/>
                  <w:szCs w:val="18"/>
                  <w:color w:val="0000FF"/>
                  <w:w w:val="99"/>
                </w:rPr>
                <w:t>Company’s Annual Report on Form 10-K filed with the Securities and Exchange Commission on March 12, 2025).</w:t>
              </w:r>
            </w:hyperlink>
          </w:p>
        </w:tc>
        <w:tc>
          <w:tcPr>
            <w:tcW w:w="20" w:type="dxa"/>
            <w:vAlign w:val="bottom"/>
            <w:tcBorders>
              <w:top w:val="single" w:sz="8" w:color="0000FF"/>
              <w:bottom w:val="single" w:sz="8" w:color="0000EE"/>
            </w:tcBorders>
          </w:tcPr>
          <w:p>
            <w:pPr>
              <w:spacing w:after="0"/>
              <w:rPr>
                <w:sz w:val="15"/>
                <w:szCs w:val="15"/>
                <w:color w:val="auto"/>
              </w:rPr>
            </w:pPr>
          </w:p>
        </w:tc>
        <w:tc>
          <w:tcPr>
            <w:tcW w:w="540" w:type="dxa"/>
            <w:vAlign w:val="bottom"/>
            <w:tcBorders>
              <w:top w:val="single" w:sz="8" w:color="0000FF"/>
            </w:tcBorders>
            <w:gridSpan w:val="4"/>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460" w:type="dxa"/>
            <w:vAlign w:val="bottom"/>
            <w:gridSpan w:val="2"/>
          </w:tcPr>
          <w:p>
            <w:pPr>
              <w:spacing w:after="0"/>
              <w:rPr>
                <w:rFonts w:ascii="Arial" w:cs="Arial" w:eastAsia="Arial" w:hAnsi="Arial"/>
                <w:sz w:val="18"/>
                <w:szCs w:val="18"/>
                <w:color w:val="0000FF"/>
              </w:rPr>
            </w:pPr>
            <w:hyperlink r:id="rId187">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40" w:type="dxa"/>
            <w:vAlign w:val="bottom"/>
            <w:gridSpan w:val="26"/>
          </w:tcPr>
          <w:p>
            <w:pPr>
              <w:spacing w:after="0"/>
              <w:rPr>
                <w:rFonts w:ascii="Arial" w:cs="Arial" w:eastAsia="Arial" w:hAnsi="Arial"/>
                <w:sz w:val="18"/>
                <w:szCs w:val="18"/>
                <w:color w:val="0000FF"/>
              </w:rPr>
            </w:pPr>
            <w:hyperlink r:id="rId187">
              <w:r>
                <w:rPr>
                  <w:rFonts w:ascii="Arial" w:cs="Arial" w:eastAsia="Arial" w:hAnsi="Arial"/>
                  <w:sz w:val="18"/>
                  <w:szCs w:val="18"/>
                  <w:color w:val="0000FF"/>
                </w:rPr>
                <w:t>Amended &amp; Restated Limited Liability Company Agreement, dated as of March 6, 2025, among ContextLogic Holdings, LLC</w:t>
              </w:r>
            </w:hyperlink>
          </w:p>
        </w:tc>
      </w:tr>
      <w:tr>
        <w:trPr>
          <w:trHeight w:val="183"/>
        </w:trPr>
        <w:tc>
          <w:tcPr>
            <w:tcW w:w="36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0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187">
              <w:r>
                <w:rPr>
                  <w:rFonts w:ascii="Arial" w:cs="Arial" w:eastAsia="Arial" w:hAnsi="Arial"/>
                  <w:sz w:val="18"/>
                  <w:szCs w:val="18"/>
                  <w:color w:val="0000FF"/>
                </w:rPr>
                <w:t>and the members named therein (incorporated by reference to Exhibit 10.13 to the Company’s Annual Report on Form 10-K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20" w:type="dxa"/>
            <w:vAlign w:val="bottom"/>
            <w:tcBorders>
              <w:top w:val="single" w:sz="8" w:color="0000FF"/>
              <w:bottom w:val="single" w:sz="8" w:color="0000EE"/>
            </w:tcBorders>
            <w:gridSpan w:val="7"/>
          </w:tcPr>
          <w:p>
            <w:pPr>
              <w:spacing w:after="0" w:line="182" w:lineRule="exact"/>
              <w:rPr>
                <w:rFonts w:ascii="Arial" w:cs="Arial" w:eastAsia="Arial" w:hAnsi="Arial"/>
                <w:sz w:val="18"/>
                <w:szCs w:val="18"/>
                <w:color w:val="0000FF"/>
              </w:rPr>
            </w:pPr>
            <w:hyperlink r:id="rId187">
              <w:r>
                <w:rPr>
                  <w:rFonts w:ascii="Arial" w:cs="Arial" w:eastAsia="Arial" w:hAnsi="Arial"/>
                  <w:sz w:val="18"/>
                  <w:szCs w:val="18"/>
                  <w:color w:val="0000FF"/>
                </w:rPr>
                <w:t>filed with the Securities and Exchange Commission on March 12, 2025).</w:t>
              </w:r>
            </w:hyperlink>
          </w:p>
        </w:tc>
        <w:tc>
          <w:tcPr>
            <w:tcW w:w="4060" w:type="dxa"/>
            <w:vAlign w:val="bottom"/>
            <w:tcBorders>
              <w:top w:val="single" w:sz="8" w:color="0000FF"/>
            </w:tcBorders>
            <w:gridSpan w:val="16"/>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460" w:type="dxa"/>
            <w:vAlign w:val="bottom"/>
            <w:gridSpan w:val="2"/>
          </w:tcPr>
          <w:p>
            <w:pPr>
              <w:spacing w:after="0"/>
              <w:rPr>
                <w:rFonts w:ascii="Arial" w:cs="Arial" w:eastAsia="Arial" w:hAnsi="Arial"/>
                <w:sz w:val="18"/>
                <w:szCs w:val="18"/>
                <w:color w:val="0000FF"/>
              </w:rPr>
            </w:pPr>
            <w:hyperlink r:id="rId188">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40" w:type="dxa"/>
            <w:vAlign w:val="bottom"/>
            <w:gridSpan w:val="26"/>
          </w:tcPr>
          <w:p>
            <w:pPr>
              <w:spacing w:after="0"/>
              <w:rPr>
                <w:rFonts w:ascii="Arial" w:cs="Arial" w:eastAsia="Arial" w:hAnsi="Arial"/>
                <w:sz w:val="18"/>
                <w:szCs w:val="18"/>
                <w:color w:val="0000FF"/>
              </w:rPr>
            </w:pPr>
            <w:hyperlink r:id="rId188">
              <w:r>
                <w:rPr>
                  <w:rFonts w:ascii="Arial" w:cs="Arial" w:eastAsia="Arial" w:hAnsi="Arial"/>
                  <w:sz w:val="18"/>
                  <w:szCs w:val="18"/>
                  <w:color w:val="0000FF"/>
                </w:rPr>
                <w:t>Contribution Agreement, dated as of March 6, 2025, by and between ContextLogic Inc. and ContextLogic Holdings, LLC</w:t>
              </w:r>
            </w:hyperlink>
          </w:p>
        </w:tc>
      </w:tr>
      <w:tr>
        <w:trPr>
          <w:trHeight w:val="183"/>
        </w:trPr>
        <w:tc>
          <w:tcPr>
            <w:tcW w:w="36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56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188">
              <w:r>
                <w:rPr>
                  <w:rFonts w:ascii="Arial" w:cs="Arial" w:eastAsia="Arial" w:hAnsi="Arial"/>
                  <w:sz w:val="18"/>
                  <w:szCs w:val="18"/>
                  <w:color w:val="0000FF"/>
                </w:rPr>
                <w:t>(incorporated by reference to Exhibit 10.14 to the Company’s Annual Report on Form 10-K filed with the Securities and</w:t>
              </w:r>
            </w:hyperlink>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8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8"/>
              </w:rPr>
            </w:pPr>
            <w:hyperlink r:id="rId188">
              <w:r>
                <w:rPr>
                  <w:rFonts w:ascii="Arial" w:cs="Arial" w:eastAsia="Arial" w:hAnsi="Arial"/>
                  <w:sz w:val="18"/>
                  <w:szCs w:val="18"/>
                  <w:color w:val="0000FF"/>
                  <w:w w:val="98"/>
                </w:rPr>
                <w:t>Exchange Commission on March 12, 2025).</w:t>
              </w:r>
            </w:hyperlink>
          </w:p>
        </w:tc>
        <w:tc>
          <w:tcPr>
            <w:tcW w:w="20" w:type="dxa"/>
            <w:vAlign w:val="bottom"/>
            <w:tcBorders>
              <w:top w:val="single" w:sz="8" w:color="0000FF"/>
              <w:bottom w:val="single" w:sz="8" w:color="0000EE"/>
            </w:tcBorders>
          </w:tcPr>
          <w:p>
            <w:pPr>
              <w:spacing w:after="0"/>
              <w:rPr>
                <w:sz w:val="15"/>
                <w:szCs w:val="15"/>
                <w:color w:val="auto"/>
              </w:rPr>
            </w:pPr>
          </w:p>
        </w:tc>
        <w:tc>
          <w:tcPr>
            <w:tcW w:w="5960" w:type="dxa"/>
            <w:vAlign w:val="bottom"/>
            <w:tcBorders>
              <w:top w:val="single" w:sz="8" w:color="0000FF"/>
            </w:tcBorders>
            <w:gridSpan w:val="6"/>
          </w:tcPr>
          <w:p>
            <w:pPr>
              <w:spacing w:after="0"/>
              <w:rPr>
                <w:sz w:val="15"/>
                <w:szCs w:val="15"/>
                <w:color w:val="auto"/>
              </w:rPr>
            </w:pPr>
          </w:p>
        </w:tc>
        <w:tc>
          <w:tcPr>
            <w:tcW w:w="18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180" w:type="dxa"/>
            <w:vAlign w:val="bottom"/>
            <w:gridSpan w:val="3"/>
          </w:tcPr>
          <w:p>
            <w:pPr>
              <w:spacing w:after="0"/>
              <w:rPr>
                <w:rFonts w:ascii="Arial" w:cs="Arial" w:eastAsia="Arial" w:hAnsi="Arial"/>
                <w:sz w:val="18"/>
                <w:szCs w:val="18"/>
                <w:color w:val="0000FF"/>
              </w:rPr>
            </w:pPr>
            <w:hyperlink r:id="rId189">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140" w:type="dxa"/>
            <w:vAlign w:val="bottom"/>
          </w:tcPr>
          <w:p>
            <w:pPr>
              <w:spacing w:after="0"/>
              <w:rPr>
                <w:sz w:val="24"/>
                <w:szCs w:val="24"/>
                <w:color w:val="auto"/>
              </w:rPr>
            </w:pPr>
          </w:p>
        </w:tc>
        <w:tc>
          <w:tcPr>
            <w:tcW w:w="9940" w:type="dxa"/>
            <w:vAlign w:val="bottom"/>
            <w:gridSpan w:val="26"/>
          </w:tcPr>
          <w:p>
            <w:pPr>
              <w:spacing w:after="0"/>
              <w:rPr>
                <w:rFonts w:ascii="Arial" w:cs="Arial" w:eastAsia="Arial" w:hAnsi="Arial"/>
                <w:sz w:val="18"/>
                <w:szCs w:val="18"/>
                <w:color w:val="0000FF"/>
              </w:rPr>
            </w:pPr>
            <w:hyperlink r:id="rId189">
              <w:r>
                <w:rPr>
                  <w:rFonts w:ascii="Arial" w:cs="Arial" w:eastAsia="Arial" w:hAnsi="Arial"/>
                  <w:sz w:val="18"/>
                  <w:szCs w:val="18"/>
                  <w:color w:val="0000FF"/>
                </w:rPr>
                <w:t>Employment Agreement, dated March 6, 2025, by and between ContextLogic Inc. and Rishi Bajaj (incorporated by reference</w:t>
              </w:r>
            </w:hyperlink>
          </w:p>
        </w:tc>
      </w:tr>
      <w:tr>
        <w:trPr>
          <w:trHeight w:val="183"/>
        </w:trPr>
        <w:tc>
          <w:tcPr>
            <w:tcW w:w="3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2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189">
              <w:r>
                <w:rPr>
                  <w:rFonts w:ascii="Arial" w:cs="Arial" w:eastAsia="Arial" w:hAnsi="Arial"/>
                  <w:sz w:val="18"/>
                  <w:szCs w:val="18"/>
                  <w:color w:val="0000FF"/>
                </w:rPr>
                <w:t>to Exhibit 10.5 to the Company’s Current Report on Form 8-K filed with the Securities and Exchange Commission on March</w:t>
              </w:r>
            </w:hyperlink>
          </w:p>
        </w:tc>
        <w:tc>
          <w:tcPr>
            <w:tcW w:w="20" w:type="dxa"/>
            <w:vAlign w:val="bottom"/>
          </w:tcPr>
          <w:p>
            <w:pPr>
              <w:spacing w:after="0"/>
              <w:rPr>
                <w:sz w:val="15"/>
                <w:szCs w:val="15"/>
                <w:color w:val="auto"/>
              </w:rPr>
            </w:pPr>
          </w:p>
        </w:tc>
      </w:tr>
      <w:tr>
        <w:trPr>
          <w:trHeight w:val="183"/>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3"/>
              </w:rPr>
            </w:pPr>
            <w:hyperlink r:id="rId189">
              <w:r>
                <w:rPr>
                  <w:rFonts w:ascii="Arial" w:cs="Arial" w:eastAsia="Arial" w:hAnsi="Arial"/>
                  <w:sz w:val="18"/>
                  <w:szCs w:val="18"/>
                  <w:color w:val="0000FF"/>
                  <w:w w:val="93"/>
                </w:rPr>
                <w:t>11, 2025).</w:t>
              </w:r>
            </w:hyperlink>
          </w:p>
        </w:tc>
        <w:tc>
          <w:tcPr>
            <w:tcW w:w="20" w:type="dxa"/>
            <w:vAlign w:val="bottom"/>
            <w:tcBorders>
              <w:top w:val="single" w:sz="8" w:color="0000FF"/>
              <w:bottom w:val="single" w:sz="8" w:color="0000EE"/>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1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32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360" w:type="dxa"/>
            <w:vAlign w:val="bottom"/>
            <w:tcBorders>
              <w:top w:val="single" w:sz="8" w:color="0000FF"/>
            </w:tcBorders>
          </w:tcPr>
          <w:p>
            <w:pPr>
              <w:spacing w:after="0"/>
              <w:rPr>
                <w:sz w:val="15"/>
                <w:szCs w:val="15"/>
                <w:color w:val="auto"/>
              </w:rPr>
            </w:pPr>
          </w:p>
        </w:tc>
        <w:tc>
          <w:tcPr>
            <w:tcW w:w="14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40" w:type="dxa"/>
            <w:vAlign w:val="bottom"/>
            <w:gridSpan w:val="26"/>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183"/>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120" w:type="dxa"/>
            <w:vAlign w:val="bottom"/>
            <w:gridSpan w:val="5"/>
          </w:tcPr>
          <w:p>
            <w:pPr>
              <w:spacing w:after="0"/>
              <w:rPr>
                <w:sz w:val="15"/>
                <w:szCs w:val="15"/>
                <w:color w:val="auto"/>
              </w:rPr>
            </w:pPr>
          </w:p>
        </w:tc>
      </w:tr>
      <w:tr>
        <w:trPr>
          <w:trHeight w:val="20"/>
        </w:trPr>
        <w:tc>
          <w:tcPr>
            <w:tcW w:w="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EE"/>
            </w:tcBorders>
            <w:gridSpan w:val="4"/>
            <w:shd w:val="clear" w:color="auto" w:fill="0000FF"/>
          </w:tcPr>
          <w:p>
            <w:pPr>
              <w:spacing w:after="0" w:line="20" w:lineRule="exact"/>
              <w:rPr>
                <w:sz w:val="1"/>
                <w:szCs w:val="1"/>
                <w:color w:val="auto"/>
              </w:rPr>
            </w:pPr>
          </w:p>
        </w:tc>
        <w:tc>
          <w:tcPr>
            <w:tcW w:w="34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40" w:type="dxa"/>
            <w:vAlign w:val="bottom"/>
            <w:gridSpan w:val="26"/>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r>
      <w:tr>
        <w:trPr>
          <w:trHeight w:val="182"/>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76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180" w:type="dxa"/>
            <w:vAlign w:val="bottom"/>
            <w:gridSpan w:val="7"/>
          </w:tcPr>
          <w:p>
            <w:pPr>
              <w:spacing w:after="0"/>
              <w:rPr>
                <w:sz w:val="15"/>
                <w:szCs w:val="15"/>
                <w:color w:val="auto"/>
              </w:rPr>
            </w:pPr>
          </w:p>
        </w:tc>
      </w:tr>
      <w:tr>
        <w:trPr>
          <w:trHeight w:val="20"/>
        </w:trPr>
        <w:tc>
          <w:tcPr>
            <w:tcW w:w="1180" w:type="dxa"/>
            <w:vAlign w:val="bottom"/>
            <w:gridSpan w:val="3"/>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EE"/>
            </w:tcBorders>
            <w:gridSpan w:val="4"/>
            <w:shd w:val="clear" w:color="auto" w:fill="0000FF"/>
          </w:tcPr>
          <w:p>
            <w:pPr>
              <w:spacing w:after="0" w:line="20" w:lineRule="exact"/>
              <w:rPr>
                <w:sz w:val="1"/>
                <w:szCs w:val="1"/>
                <w:color w:val="auto"/>
              </w:rPr>
            </w:pPr>
          </w:p>
        </w:tc>
        <w:tc>
          <w:tcPr>
            <w:tcW w:w="34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r>
      <w:tr>
        <w:trPr>
          <w:trHeight w:val="304"/>
        </w:trPr>
        <w:tc>
          <w:tcPr>
            <w:tcW w:w="1180" w:type="dxa"/>
            <w:vAlign w:val="bottom"/>
            <w:gridSpan w:val="3"/>
          </w:tcPr>
          <w:p>
            <w:pPr>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9940" w:type="dxa"/>
            <w:vAlign w:val="bottom"/>
            <w:gridSpan w:val="26"/>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82"/>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400" w:type="dxa"/>
            <w:vAlign w:val="bottom"/>
            <w:tcBorders>
              <w:top w:val="single" w:sz="8" w:color="0000FF"/>
            </w:tcBorders>
            <w:gridSpan w:val="13"/>
          </w:tcPr>
          <w:p>
            <w:pPr>
              <w:spacing w:after="0"/>
              <w:rPr>
                <w:sz w:val="15"/>
                <w:szCs w:val="15"/>
                <w:color w:val="auto"/>
              </w:rPr>
            </w:pPr>
          </w:p>
        </w:tc>
        <w:tc>
          <w:tcPr>
            <w:tcW w:w="240" w:type="dxa"/>
            <w:vAlign w:val="bottom"/>
            <w:gridSpan w:val="9"/>
          </w:tcPr>
          <w:p>
            <w:pPr>
              <w:spacing w:after="0"/>
              <w:rPr>
                <w:sz w:val="15"/>
                <w:szCs w:val="15"/>
                <w:color w:val="auto"/>
              </w:rPr>
            </w:pPr>
          </w:p>
        </w:tc>
      </w:tr>
      <w:tr>
        <w:trPr>
          <w:trHeight w:val="304"/>
        </w:trPr>
        <w:tc>
          <w:tcPr>
            <w:tcW w:w="1180" w:type="dxa"/>
            <w:vAlign w:val="bottom"/>
            <w:gridSpan w:val="3"/>
          </w:tcPr>
          <w:p>
            <w:pPr>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9940" w:type="dxa"/>
            <w:vAlign w:val="bottom"/>
            <w:gridSpan w:val="26"/>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83"/>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340" w:type="dxa"/>
            <w:vAlign w:val="bottom"/>
            <w:tcBorders>
              <w:top w:val="single" w:sz="8" w:color="0000FF"/>
            </w:tcBorders>
            <w:gridSpan w:val="12"/>
          </w:tcPr>
          <w:p>
            <w:pPr>
              <w:spacing w:after="0"/>
              <w:rPr>
                <w:sz w:val="15"/>
                <w:szCs w:val="15"/>
                <w:color w:val="auto"/>
              </w:rPr>
            </w:pPr>
          </w:p>
        </w:tc>
        <w:tc>
          <w:tcPr>
            <w:tcW w:w="300" w:type="dxa"/>
            <w:vAlign w:val="bottom"/>
            <w:gridSpan w:val="10"/>
          </w:tcPr>
          <w:p>
            <w:pPr>
              <w:spacing w:after="0"/>
              <w:rPr>
                <w:sz w:val="15"/>
                <w:szCs w:val="15"/>
                <w:color w:val="auto"/>
              </w:rPr>
            </w:pPr>
          </w:p>
        </w:tc>
      </w:tr>
      <w:tr>
        <w:trPr>
          <w:trHeight w:val="312"/>
        </w:trPr>
        <w:tc>
          <w:tcPr>
            <w:tcW w:w="11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9940" w:type="dxa"/>
            <w:vAlign w:val="bottom"/>
            <w:gridSpan w:val="26"/>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w:t>
            </w:r>
          </w:p>
        </w:tc>
      </w:tr>
      <w:tr>
        <w:trPr>
          <w:trHeight w:val="203"/>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gridSpan w:val="26"/>
          </w:tcPr>
          <w:p>
            <w:pPr>
              <w:spacing w:after="0" w:line="202" w:lineRule="exact"/>
              <w:rPr>
                <w:sz w:val="20"/>
                <w:szCs w:val="20"/>
                <w:color w:val="auto"/>
              </w:rPr>
            </w:pPr>
            <w:r>
              <w:rPr>
                <w:rFonts w:ascii="Arial" w:cs="Arial" w:eastAsia="Arial" w:hAnsi="Arial"/>
                <w:sz w:val="18"/>
                <w:szCs w:val="18"/>
                <w:color w:val="auto"/>
              </w:rPr>
              <w:t>are embedded within the Inline XBRL document.</w:t>
            </w:r>
          </w:p>
        </w:tc>
      </w:tr>
      <w:tr>
        <w:trPr>
          <w:trHeight w:val="203"/>
        </w:trPr>
        <w:tc>
          <w:tcPr>
            <w:tcW w:w="1180" w:type="dxa"/>
            <w:vAlign w:val="bottom"/>
            <w:gridSpan w:val="3"/>
          </w:tcPr>
          <w:p>
            <w:pPr>
              <w:spacing w:after="0" w:line="202" w:lineRule="exact"/>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7"/>
                <w:szCs w:val="17"/>
                <w:color w:val="auto"/>
              </w:rPr>
            </w:pPr>
          </w:p>
        </w:tc>
        <w:tc>
          <w:tcPr>
            <w:tcW w:w="9940" w:type="dxa"/>
            <w:vAlign w:val="bottom"/>
            <w:gridSpan w:val="26"/>
          </w:tcPr>
          <w:p>
            <w:pPr>
              <w:spacing w:after="0" w:line="202" w:lineRule="exact"/>
              <w:rPr>
                <w:sz w:val="20"/>
                <w:szCs w:val="20"/>
                <w:color w:val="auto"/>
              </w:rPr>
            </w:pPr>
            <w:r>
              <w:rPr>
                <w:rFonts w:ascii="Arial" w:cs="Arial" w:eastAsia="Arial" w:hAnsi="Arial"/>
                <w:sz w:val="18"/>
                <w:szCs w:val="18"/>
                <w:color w:val="auto"/>
              </w:rPr>
              <w:t>Inline XBRL Taxonomy Extension Schema With Embedded Linkbase Documents</w:t>
            </w:r>
          </w:p>
        </w:tc>
      </w:tr>
      <w:tr>
        <w:trPr>
          <w:trHeight w:val="239"/>
        </w:trPr>
        <w:tc>
          <w:tcPr>
            <w:tcW w:w="460" w:type="dxa"/>
            <w:vAlign w:val="bottom"/>
            <w:gridSpan w:val="2"/>
          </w:tcPr>
          <w:p>
            <w:pPr>
              <w:spacing w:after="0"/>
              <w:rPr>
                <w:sz w:val="20"/>
                <w:szCs w:val="20"/>
                <w:color w:val="auto"/>
              </w:rPr>
            </w:pPr>
            <w:r>
              <w:rPr>
                <w:rFonts w:ascii="Arial" w:cs="Arial" w:eastAsia="Arial" w:hAnsi="Arial"/>
                <w:sz w:val="18"/>
                <w:szCs w:val="18"/>
                <w:color w:val="auto"/>
              </w:rPr>
              <w:t>104*</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40" w:type="dxa"/>
            <w:vAlign w:val="bottom"/>
            <w:gridSpan w:val="2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9512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ContextLogic Inc.</w:t>
      </w:r>
    </w:p>
    <w:p>
      <w:pPr>
        <w:spacing w:after="0" w:line="198" w:lineRule="exact"/>
        <w:rPr>
          <w:sz w:val="20"/>
          <w:szCs w:val="20"/>
          <w:color w:val="auto"/>
        </w:rPr>
      </w:pPr>
    </w:p>
    <w:p>
      <w:pPr>
        <w:spacing w:after="0"/>
        <w:tabs>
          <w:tab w:leader="none" w:pos="5620" w:val="left"/>
          <w:tab w:leader="none" w:pos="8020" w:val="left"/>
        </w:tabs>
        <w:rPr>
          <w:sz w:val="20"/>
          <w:szCs w:val="20"/>
          <w:color w:val="auto"/>
        </w:rPr>
      </w:pPr>
      <w:r>
        <w:rPr>
          <w:rFonts w:ascii="Arial" w:cs="Arial" w:eastAsia="Arial" w:hAnsi="Arial"/>
          <w:sz w:val="18"/>
          <w:szCs w:val="18"/>
          <w:color w:val="auto"/>
        </w:rPr>
        <w:t>Date: May 9,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Rishi Bajaj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8890</wp:posOffset>
            </wp:positionV>
            <wp:extent cx="33515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Rishi Bajaj</w:t>
      </w:r>
    </w:p>
    <w:p>
      <w:pPr>
        <w:jc w:val="center"/>
        <w:ind w:left="59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ind w:left="5640"/>
        <w:spacing w:after="0"/>
        <w:tabs>
          <w:tab w:leader="none" w:pos="8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Brett Just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8890</wp:posOffset>
            </wp:positionV>
            <wp:extent cx="335153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Brett Just</w:t>
      </w:r>
    </w:p>
    <w:p>
      <w:pPr>
        <w:jc w:val="center"/>
        <w:ind w:left="59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 Rishi Bajaj, certify that:</w:t>
      </w:r>
    </w:p>
    <w:p>
      <w:pPr>
        <w:spacing w:after="0" w:line="104"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ContextLogic Inc.;</w:t>
      </w:r>
    </w:p>
    <w:p>
      <w:pPr>
        <w:spacing w:after="0" w:line="103"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20" w:right="200" w:hanging="503"/>
        <w:spacing w:after="0" w:line="253"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480" w:hanging="512"/>
        <w:spacing w:after="0" w:line="253"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5500" w:val="left"/>
          <w:tab w:leader="none" w:pos="8040" w:val="left"/>
        </w:tabs>
        <w:rPr>
          <w:sz w:val="20"/>
          <w:szCs w:val="20"/>
          <w:color w:val="auto"/>
        </w:rPr>
      </w:pPr>
      <w:r>
        <w:rPr>
          <w:rFonts w:ascii="Arial" w:cs="Arial" w:eastAsia="Arial" w:hAnsi="Arial"/>
          <w:sz w:val="18"/>
          <w:szCs w:val="18"/>
          <w:color w:val="auto"/>
        </w:rPr>
        <w:t>Date: May 9,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Rishi Bajaj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8890</wp:posOffset>
            </wp:positionV>
            <wp:extent cx="334327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Rishi Bajaj</w:t>
      </w:r>
    </w:p>
    <w:p>
      <w:pPr>
        <w:jc w:val="center"/>
        <w:ind w:left="596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 Brett Just, certify that:</w:t>
      </w:r>
    </w:p>
    <w:p>
      <w:pPr>
        <w:spacing w:after="0" w:line="104"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ContextLogic Inc.;</w:t>
      </w:r>
    </w:p>
    <w:p>
      <w:pPr>
        <w:spacing w:after="0" w:line="103"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20" w:right="200" w:hanging="503"/>
        <w:spacing w:after="0" w:line="253"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480" w:hanging="512"/>
        <w:spacing w:after="0" w:line="253"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5500" w:val="left"/>
          <w:tab w:leader="none" w:pos="8080" w:val="left"/>
        </w:tabs>
        <w:rPr>
          <w:sz w:val="20"/>
          <w:szCs w:val="20"/>
          <w:color w:val="auto"/>
        </w:rPr>
      </w:pPr>
      <w:r>
        <w:rPr>
          <w:rFonts w:ascii="Arial" w:cs="Arial" w:eastAsia="Arial" w:hAnsi="Arial"/>
          <w:sz w:val="18"/>
          <w:szCs w:val="18"/>
          <w:color w:val="auto"/>
        </w:rPr>
        <w:t>Date: May 9,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Brett Just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8890</wp:posOffset>
            </wp:positionV>
            <wp:extent cx="334327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Brett Just</w:t>
      </w:r>
    </w:p>
    <w:p>
      <w:pPr>
        <w:jc w:val="center"/>
        <w:ind w:left="596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left="340" w:right="2580"/>
        <w:spacing w:after="0" w:line="257"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59" w:lineRule="exact"/>
        <w:rPr>
          <w:sz w:val="20"/>
          <w:szCs w:val="20"/>
          <w:color w:val="auto"/>
        </w:rPr>
      </w:pPr>
    </w:p>
    <w:p>
      <w:pPr>
        <w:ind w:right="240" w:firstLine="509"/>
        <w:spacing w:after="0" w:line="253" w:lineRule="auto"/>
        <w:rPr>
          <w:sz w:val="20"/>
          <w:szCs w:val="20"/>
          <w:color w:val="auto"/>
        </w:rPr>
      </w:pPr>
      <w:r>
        <w:rPr>
          <w:rFonts w:ascii="Arial" w:cs="Arial" w:eastAsia="Arial" w:hAnsi="Arial"/>
          <w:sz w:val="18"/>
          <w:szCs w:val="18"/>
          <w:color w:val="auto"/>
        </w:rPr>
        <w:t>In connection with the Quarterly Report of ContextLogic Inc. (the “Company”) on Form 10-Q for the period ended March 31, 2025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20" w:right="160" w:hanging="503"/>
        <w:spacing w:after="0" w:line="27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3"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for the period presented therein.</w:t>
      </w:r>
    </w:p>
    <w:p>
      <w:pPr>
        <w:spacing w:after="0" w:line="181" w:lineRule="exact"/>
        <w:rPr>
          <w:sz w:val="20"/>
          <w:szCs w:val="20"/>
          <w:color w:val="auto"/>
        </w:rPr>
      </w:pPr>
    </w:p>
    <w:p>
      <w:pPr>
        <w:spacing w:after="0"/>
        <w:tabs>
          <w:tab w:leader="none" w:pos="5280" w:val="left"/>
          <w:tab w:leader="none" w:pos="7980" w:val="left"/>
        </w:tabs>
        <w:rPr>
          <w:sz w:val="20"/>
          <w:szCs w:val="20"/>
          <w:color w:val="auto"/>
        </w:rPr>
      </w:pPr>
      <w:r>
        <w:rPr>
          <w:rFonts w:ascii="Arial" w:cs="Arial" w:eastAsia="Arial" w:hAnsi="Arial"/>
          <w:sz w:val="18"/>
          <w:szCs w:val="18"/>
          <w:color w:val="auto"/>
        </w:rPr>
        <w:t>Date: May 9,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Rishi Bajaj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8890</wp:posOffset>
            </wp:positionV>
            <wp:extent cx="34201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Rishi Bajaj</w:t>
      </w:r>
    </w:p>
    <w:p>
      <w:pPr>
        <w:jc w:val="center"/>
        <w:ind w:left="58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ind w:left="340" w:right="2580"/>
        <w:spacing w:after="0" w:line="257" w:lineRule="auto"/>
        <w:rPr>
          <w:sz w:val="20"/>
          <w:szCs w:val="20"/>
          <w:color w:val="auto"/>
        </w:rPr>
      </w:pPr>
      <w:r>
        <w:rPr>
          <w:rFonts w:ascii="Arial" w:cs="Arial" w:eastAsia="Arial" w:hAnsi="Arial"/>
          <w:sz w:val="18"/>
          <w:szCs w:val="18"/>
          <w:b w:val="1"/>
          <w:bCs w:val="1"/>
          <w:color w:val="auto"/>
        </w:rPr>
        <w:t>CERTIFICATION OF PRINCIPAL FINANCIAL OFFICER PURSUANT TO 18 U.S.C. SECTION 1350, AS ADOPTED PURSUANT TO SECTION 906 OF THE SARBANES-OXLEY ACT OF 2002</w:t>
      </w:r>
    </w:p>
    <w:p>
      <w:pPr>
        <w:spacing w:after="0" w:line="159" w:lineRule="exact"/>
        <w:rPr>
          <w:sz w:val="20"/>
          <w:szCs w:val="20"/>
          <w:color w:val="auto"/>
        </w:rPr>
      </w:pPr>
    </w:p>
    <w:p>
      <w:pPr>
        <w:ind w:right="240" w:firstLine="509"/>
        <w:spacing w:after="0" w:line="253" w:lineRule="auto"/>
        <w:rPr>
          <w:sz w:val="20"/>
          <w:szCs w:val="20"/>
          <w:color w:val="auto"/>
        </w:rPr>
      </w:pPr>
      <w:r>
        <w:rPr>
          <w:rFonts w:ascii="Arial" w:cs="Arial" w:eastAsia="Arial" w:hAnsi="Arial"/>
          <w:sz w:val="18"/>
          <w:szCs w:val="18"/>
          <w:color w:val="auto"/>
        </w:rPr>
        <w:t>In connection with the Quarterly Report of ContextLogic Inc. (the “Company”) on Form 10-Q for the period ended March 31, 2025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20" w:right="160" w:hanging="503"/>
        <w:spacing w:after="0" w:line="27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53"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for the period presented therein.</w:t>
      </w:r>
    </w:p>
    <w:p>
      <w:pPr>
        <w:spacing w:after="0" w:line="181" w:lineRule="exact"/>
        <w:rPr>
          <w:sz w:val="20"/>
          <w:szCs w:val="20"/>
          <w:color w:val="auto"/>
        </w:rPr>
      </w:pPr>
    </w:p>
    <w:p>
      <w:pPr>
        <w:spacing w:after="0"/>
        <w:tabs>
          <w:tab w:leader="none" w:pos="5280" w:val="left"/>
          <w:tab w:leader="none" w:pos="8020" w:val="left"/>
        </w:tabs>
        <w:rPr>
          <w:sz w:val="20"/>
          <w:szCs w:val="20"/>
          <w:color w:val="auto"/>
        </w:rPr>
      </w:pPr>
      <w:r>
        <w:rPr>
          <w:rFonts w:ascii="Arial" w:cs="Arial" w:eastAsia="Arial" w:hAnsi="Arial"/>
          <w:sz w:val="18"/>
          <w:szCs w:val="18"/>
          <w:color w:val="auto"/>
        </w:rPr>
        <w:t>Date: May 9,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Brett Just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8890</wp:posOffset>
            </wp:positionV>
            <wp:extent cx="34201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Brett Just</w:t>
      </w:r>
    </w:p>
    <w:p>
      <w:pPr>
        <w:ind w:left="76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185" Type="http://schemas.openxmlformats.org/officeDocument/2006/relationships/hyperlink" Target="https://www.sec.gov/Archives/edgar/data/1822250/000090266425001311/p25-0680exhibit10_1.htm" TargetMode="External"/><Relationship Id="rId186" Type="http://schemas.openxmlformats.org/officeDocument/2006/relationships/hyperlink" Target="https://www.sec.gov/Archives/edgar/data/1822250/000095017025036861/logc-ex10_1.htm" TargetMode="External"/><Relationship Id="rId187" Type="http://schemas.openxmlformats.org/officeDocument/2006/relationships/hyperlink" Target="https://www.sec.gov/Archives/edgar/data/1822250/000095017025036861/logc-ex10_2.htm" TargetMode="External"/><Relationship Id="rId188" Type="http://schemas.openxmlformats.org/officeDocument/2006/relationships/hyperlink" Target="https://www.sec.gov/Archives/edgar/data/1822250/000095017025036861/logc-ex10_3.htm" TargetMode="External"/><Relationship Id="rId189" Type="http://schemas.openxmlformats.org/officeDocument/2006/relationships/hyperlink" Target="https://www.sec.gov/Archives/edgar/data/1822250/000095017025036861/logc-ex10_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2025-05-09T15:42:32Z</dcterms:created>
  <dcterms:modified xsi:type="dcterms:W3CDTF">2025-05-09T15:42:32Z</dcterms:modified>
</cp:coreProperties>
</file>