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40" w:hanging="3652"/>
        <w:spacing w:after="0" w:line="358"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rFonts w:ascii="MS PGothic" w:cs="MS PGothic" w:eastAsia="MS PGothic" w:hAnsi="MS PGothic"/>
          <w:sz w:val="18"/>
          <w:szCs w:val="18"/>
          <w:color w:val="auto"/>
          <w:highlight w:val="black"/>
        </w:rPr>
      </w:pPr>
    </w:p>
    <w:p>
      <w:pPr>
        <w:jc w:val="both"/>
        <w:ind w:left="4100" w:right="4080" w:firstLine="3"/>
        <w:spacing w:after="0" w:line="359" w:lineRule="auto"/>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For the transition period from _ to _ Commission File Number: </w:t>
      </w:r>
      <w:r>
        <w:rPr>
          <w:rFonts w:ascii="Arial" w:cs="Arial" w:eastAsia="Arial" w:hAnsi="Arial"/>
          <w:sz w:val="16"/>
          <w:szCs w:val="16"/>
          <w:b w:val="1"/>
          <w:bCs w:val="1"/>
          <w:color w:val="auto"/>
        </w:rPr>
        <w:t>001-39775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43"/>
          <w:szCs w:val="43"/>
          <w:b w:val="1"/>
          <w:bCs w:val="1"/>
          <w:color w:val="auto"/>
        </w:rPr>
        <w:t>ContextLogic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1" w:lineRule="exact"/>
        <w:rPr>
          <w:sz w:val="24"/>
          <w:szCs w:val="24"/>
          <w:color w:val="auto"/>
        </w:rPr>
      </w:pPr>
    </w:p>
    <w:tbl>
      <w:tblPr>
        <w:tblLayout w:type="fixed"/>
        <w:tblInd w:w="1480" w:type="dxa"/>
        <w:tblCellMar>
          <w:top w:w="0" w:type="dxa"/>
          <w:left w:w="0" w:type="dxa"/>
          <w:bottom w:w="0" w:type="dxa"/>
          <w:right w:w="0" w:type="dxa"/>
        </w:tblCellMar>
      </w:tblPr>
      <w:tr>
        <w:trPr>
          <w:trHeight w:val="194"/>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Delaware</w:t>
            </w:r>
          </w:p>
        </w:tc>
        <w:tc>
          <w:tcPr>
            <w:tcW w:w="3040" w:type="dxa"/>
            <w:vAlign w:val="bottom"/>
          </w:tcPr>
          <w:p>
            <w:pPr>
              <w:jc w:val="right"/>
              <w:ind w:right="104"/>
              <w:spacing w:after="0"/>
              <w:rPr>
                <w:sz w:val="20"/>
                <w:szCs w:val="20"/>
                <w:color w:val="auto"/>
              </w:rPr>
            </w:pPr>
            <w:r>
              <w:rPr>
                <w:rFonts w:ascii="Arial" w:cs="Arial" w:eastAsia="Arial" w:hAnsi="Arial"/>
                <w:sz w:val="16"/>
                <w:szCs w:val="16"/>
                <w:b w:val="1"/>
                <w:bCs w:val="1"/>
                <w:color w:val="auto"/>
              </w:rPr>
              <w:t>27-2930953</w:t>
            </w:r>
          </w:p>
        </w:tc>
      </w:tr>
      <w:tr>
        <w:trPr>
          <w:trHeight w:val="162"/>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Identification No.)</w:t>
            </w:r>
          </w:p>
        </w:tc>
      </w:tr>
      <w:tr>
        <w:trPr>
          <w:trHeight w:val="190"/>
        </w:trPr>
        <w:tc>
          <w:tcPr>
            <w:tcW w:w="4520" w:type="dxa"/>
            <w:vAlign w:val="bottom"/>
          </w:tcPr>
          <w:p>
            <w:pPr>
              <w:jc w:val="center"/>
              <w:ind w:right="1784"/>
              <w:spacing w:after="0"/>
              <w:rPr>
                <w:sz w:val="20"/>
                <w:szCs w:val="20"/>
                <w:color w:val="auto"/>
              </w:rPr>
            </w:pPr>
            <w:r>
              <w:rPr>
                <w:rFonts w:ascii="Arial" w:cs="Arial" w:eastAsia="Arial" w:hAnsi="Arial"/>
                <w:sz w:val="16"/>
                <w:szCs w:val="16"/>
                <w:b w:val="1"/>
                <w:bCs w:val="1"/>
                <w:color w:val="auto"/>
              </w:rPr>
              <w:t>One Sansome Street 33rd Floor</w:t>
            </w:r>
          </w:p>
        </w:tc>
        <w:tc>
          <w:tcPr>
            <w:tcW w:w="3040" w:type="dxa"/>
            <w:vAlign w:val="bottom"/>
          </w:tcPr>
          <w:p>
            <w:pPr>
              <w:spacing w:after="0"/>
              <w:rPr>
                <w:sz w:val="16"/>
                <w:szCs w:val="16"/>
                <w:color w:val="auto"/>
              </w:rPr>
            </w:pPr>
          </w:p>
        </w:tc>
      </w:tr>
      <w:tr>
        <w:trPr>
          <w:trHeight w:val="194"/>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San Francisco, CA</w:t>
            </w:r>
          </w:p>
        </w:tc>
        <w:tc>
          <w:tcPr>
            <w:tcW w:w="3040" w:type="dxa"/>
            <w:vAlign w:val="bottom"/>
          </w:tcPr>
          <w:p>
            <w:pPr>
              <w:jc w:val="right"/>
              <w:ind w:right="304"/>
              <w:spacing w:after="0"/>
              <w:rPr>
                <w:sz w:val="20"/>
                <w:szCs w:val="20"/>
                <w:color w:val="auto"/>
              </w:rPr>
            </w:pPr>
            <w:r>
              <w:rPr>
                <w:rFonts w:ascii="Arial" w:cs="Arial" w:eastAsia="Arial" w:hAnsi="Arial"/>
                <w:sz w:val="16"/>
                <w:szCs w:val="16"/>
                <w:b w:val="1"/>
                <w:bCs w:val="1"/>
                <w:color w:val="auto"/>
              </w:rPr>
              <w:t>94104</w:t>
            </w:r>
          </w:p>
        </w:tc>
      </w:tr>
      <w:tr>
        <w:trPr>
          <w:trHeight w:val="196"/>
        </w:trPr>
        <w:tc>
          <w:tcPr>
            <w:tcW w:w="4520" w:type="dxa"/>
            <w:vAlign w:val="bottom"/>
          </w:tcPr>
          <w:p>
            <w:pPr>
              <w:jc w:val="center"/>
              <w:ind w:right="1764"/>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(415) 432-7323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20" w:type="dxa"/>
            <w:vAlign w:val="bottom"/>
            <w:gridSpan w:val="3"/>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72"/>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center"/>
              <w:ind w:right="224"/>
              <w:spacing w:after="0"/>
              <w:rPr>
                <w:sz w:val="20"/>
                <w:szCs w:val="20"/>
                <w:color w:val="auto"/>
              </w:rPr>
            </w:pPr>
            <w:r>
              <w:rPr>
                <w:rFonts w:ascii="Arial" w:cs="Arial" w:eastAsia="Arial" w:hAnsi="Arial"/>
                <w:sz w:val="16"/>
                <w:szCs w:val="16"/>
                <w:b w:val="1"/>
                <w:bCs w:val="1"/>
                <w:color w:val="auto"/>
                <w:w w:val="99"/>
              </w:rPr>
              <w:t>Trading Symbol(s)</w:t>
            </w:r>
          </w:p>
        </w:tc>
        <w:tc>
          <w:tcPr>
            <w:tcW w:w="100" w:type="dxa"/>
            <w:vAlign w:val="bottom"/>
          </w:tcPr>
          <w:p>
            <w:pPr>
              <w:spacing w:after="0"/>
              <w:rPr>
                <w:sz w:val="23"/>
                <w:szCs w:val="23"/>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2"/>
        </w:trPr>
        <w:tc>
          <w:tcPr>
            <w:tcW w:w="4400" w:type="dxa"/>
            <w:vAlign w:val="bottom"/>
          </w:tcPr>
          <w:p>
            <w:pPr>
              <w:jc w:val="center"/>
              <w:spacing w:after="0"/>
              <w:rPr>
                <w:sz w:val="20"/>
                <w:szCs w:val="20"/>
                <w:color w:val="auto"/>
              </w:rPr>
            </w:pPr>
            <w:r>
              <w:rPr>
                <w:rFonts w:ascii="Arial" w:cs="Arial" w:eastAsia="Arial" w:hAnsi="Arial"/>
                <w:sz w:val="14"/>
                <w:szCs w:val="14"/>
                <w:color w:val="auto"/>
              </w:rPr>
              <w:t>Class A Common Stock, $0.0001 par value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4"/>
                <w:szCs w:val="14"/>
                <w:color w:val="auto"/>
              </w:rPr>
              <w:t>WISH</w:t>
            </w:r>
          </w:p>
        </w:tc>
        <w:tc>
          <w:tcPr>
            <w:tcW w:w="438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34" w:lineRule="exact"/>
        <w:rPr>
          <w:sz w:val="24"/>
          <w:szCs w:val="24"/>
          <w:color w:val="auto"/>
        </w:rPr>
      </w:pPr>
    </w:p>
    <w:p>
      <w:pPr>
        <w:jc w:val="both"/>
        <w:ind w:firstLine="599"/>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jc w:val="both"/>
        <w:ind w:firstLine="599"/>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84" w:lineRule="exact"/>
        <w:tabs>
          <w:tab w:leader="none" w:pos="8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55" w:lineRule="exact"/>
        <w:rPr>
          <w:sz w:val="24"/>
          <w:szCs w:val="24"/>
          <w:color w:val="auto"/>
        </w:rPr>
      </w:pPr>
    </w:p>
    <w:p>
      <w:pPr>
        <w:jc w:val="both"/>
        <w:ind w:right="20" w:firstLine="599"/>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900" w:val="left"/>
          <w:tab w:leader="none" w:pos="9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5" w:lineRule="exact"/>
        <w:rPr>
          <w:sz w:val="24"/>
          <w:szCs w:val="24"/>
          <w:color w:val="auto"/>
        </w:rPr>
      </w:pPr>
    </w:p>
    <w:p>
      <w:pPr>
        <w:jc w:val="both"/>
        <w:ind w:firstLine="599"/>
        <w:spacing w:after="0" w:line="286" w:lineRule="auto"/>
        <w:rPr>
          <w:sz w:val="20"/>
          <w:szCs w:val="20"/>
          <w:color w:val="auto"/>
        </w:rPr>
      </w:pPr>
      <w:r>
        <w:rPr>
          <w:rFonts w:ascii="Arial" w:cs="Arial" w:eastAsia="Arial" w:hAnsi="Arial"/>
          <w:sz w:val="16"/>
          <w:szCs w:val="16"/>
          <w:color w:val="auto"/>
        </w:rPr>
        <w:t>As of April 30, 2022, the number of shares of the registrant’s Class A common stock outstanding was 599 million and the number of shares of the registrant’s Class B common stock outstanding was 66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60" w:type="dxa"/>
            <w:vAlign w:val="bottom"/>
            <w:gridSpan w:val="11"/>
            <w:vMerge w:val="restart"/>
          </w:tcPr>
          <w:p>
            <w:pPr>
              <w:spacing w:after="0"/>
              <w:rPr>
                <w:sz w:val="20"/>
                <w:szCs w:val="20"/>
                <w:color w:val="auto"/>
              </w:rPr>
            </w:pPr>
            <w:r>
              <w:rPr>
                <w:rFonts w:ascii="Arial" w:cs="Arial" w:eastAsia="Arial" w:hAnsi="Arial"/>
                <w:sz w:val="18"/>
                <w:szCs w:val="18"/>
                <w:b w:val="1"/>
                <w:bCs w:val="1"/>
                <w:color w:val="0000EE"/>
                <w:w w:val="99"/>
              </w:rPr>
              <w:t>Special Note Regarding Forward-Looking Statements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60" w:type="dxa"/>
            <w:vAlign w:val="bottom"/>
            <w:tcBorders>
              <w:bottom w:val="single" w:sz="8" w:color="0000EE"/>
            </w:tcBorders>
            <w:gridSpan w:val="11"/>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FINANCIAL INFORMATION</w:t>
            </w:r>
          </w:p>
        </w:tc>
        <w:tc>
          <w:tcPr>
            <w:tcW w:w="7060" w:type="dxa"/>
            <w:vAlign w:val="bottom"/>
            <w:gridSpan w:val="11"/>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000EE"/>
              </w:rPr>
              <w:t>Financial Statements (Unaudited)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Balance Sheets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Statements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9"/>
              </w:rPr>
              <w:t>Condensed Consolidated Statements of Comprehensive Loss</w:t>
            </w:r>
          </w:p>
        </w:tc>
        <w:tc>
          <w:tcPr>
            <w:tcW w:w="4380" w:type="dxa"/>
            <w:vAlign w:val="bottom"/>
            <w:gridSpan w:val="3"/>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9"/>
              </w:rPr>
              <w:t>Condensed Consolidated Statements of Stockholders’ Equity</w:t>
            </w:r>
          </w:p>
        </w:tc>
        <w:tc>
          <w:tcPr>
            <w:tcW w:w="48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EE"/>
              </w:rPr>
              <w:t>Condensed Consolidated Statements of Cash Flows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9"/>
              </w:rPr>
              <w:t>Notes to Unaudited Condensed Consolidated Financial Statements</w:t>
            </w:r>
          </w:p>
        </w:tc>
        <w:tc>
          <w:tcPr>
            <w:tcW w:w="3960" w:type="dxa"/>
            <w:vAlign w:val="bottom"/>
            <w:gridSpan w:val="2"/>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Controls and Procedures</w:t>
            </w:r>
          </w:p>
        </w:tc>
        <w:tc>
          <w:tcPr>
            <w:tcW w:w="460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OTHER INFORMATION</w:t>
            </w:r>
          </w:p>
        </w:tc>
        <w:tc>
          <w:tcPr>
            <w:tcW w:w="7320" w:type="dxa"/>
            <w:vAlign w:val="bottom"/>
            <w:gridSpan w:val="12"/>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Legal Proceedings</w:t>
            </w:r>
          </w:p>
        </w:tc>
        <w:tc>
          <w:tcPr>
            <w:tcW w:w="738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Risk Factors</w:t>
            </w:r>
          </w:p>
        </w:tc>
        <w:tc>
          <w:tcPr>
            <w:tcW w:w="480" w:type="dxa"/>
            <w:vAlign w:val="bottom"/>
            <w:tcBorders>
              <w:top w:val="single" w:sz="8" w:color="0000EE"/>
            </w:tcBorders>
          </w:tcPr>
          <w:p>
            <w:pPr>
              <w:spacing w:after="0"/>
              <w:rPr>
                <w:sz w:val="17"/>
                <w:szCs w:val="17"/>
                <w:color w:val="auto"/>
              </w:rPr>
            </w:pPr>
          </w:p>
        </w:tc>
        <w:tc>
          <w:tcPr>
            <w:tcW w:w="782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300" w:type="dxa"/>
            <w:vAlign w:val="bottom"/>
            <w:gridSpan w:val="17"/>
          </w:tcPr>
          <w:p>
            <w:pPr>
              <w:spacing w:after="0" w:line="196" w:lineRule="exact"/>
              <w:rPr>
                <w:sz w:val="20"/>
                <w:szCs w:val="20"/>
                <w:color w:val="auto"/>
              </w:rPr>
            </w:pPr>
            <w:r>
              <w:rPr>
                <w:rFonts w:ascii="Arial" w:cs="Arial" w:eastAsia="Arial" w:hAnsi="Arial"/>
                <w:sz w:val="18"/>
                <w:szCs w:val="18"/>
                <w:color w:val="0000EE"/>
              </w:rPr>
              <w:t>Exhibits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0000EE"/>
              </w:rPr>
              <w:t>Signatures</w:t>
            </w:r>
          </w:p>
        </w:tc>
        <w:tc>
          <w:tcPr>
            <w:tcW w:w="6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7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("Exchange Act"), which statements involve substantial risks and uncertainties. Forward-looking statements include all statements that are not historical facts such as information concerning our possible or assumed future results of operations and expenses, new or planned features or services, management strategies and plans, competitive position, business environment and potential growth strategies and opportunities. In some cases, forward-looking statements can be identified by terms such as “anticipates,” “believes,” “could,” “estimates,” “expects,” “foresees,” “forecasts,” “intends,” “goals,” “may,” “might,” “outlook,” “plans,” “potential,” “predicts,” “projects,” “seeks,” “should,” “targets,” “will,” “would” or similar expressions and the negatives of those terms.</w:t>
      </w:r>
    </w:p>
    <w:p>
      <w:pPr>
        <w:spacing w:after="0" w:line="126"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and our other filings with the Securities and Exchange Commission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p>
    <w:p>
      <w:pPr>
        <w:spacing w:after="0" w:line="126" w:lineRule="exact"/>
        <w:rPr>
          <w:sz w:val="20"/>
          <w:szCs w:val="20"/>
          <w:color w:val="auto"/>
        </w:rPr>
      </w:pPr>
    </w:p>
    <w:p>
      <w:pPr>
        <w:jc w:val="both"/>
        <w:ind w:firstLine="637"/>
        <w:spacing w:after="0" w:line="23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future financial performance; implementation and execution of business strategies, including turnaround and restructuring plans; our future liquidity, operating expenditures, and financial condition; the potential impact of our marketing and product initiatives, including ad spending; new executive hires and transitions; the impact of coronavirus disease 2019 (“COVID-19”) on our business; our future market position and competitive changes in the marketplace; technological advances; expected consumer behavior; the outcome of ongoing litigation; the effect of new or revised tax laws and accounting pronouncements; ongoing and future global conflicts;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jc w:val="both"/>
        <w:ind w:firstLine="637"/>
        <w:spacing w:after="0" w:line="242"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5" w:lineRule="exact"/>
        <w:rPr>
          <w:sz w:val="20"/>
          <w:szCs w:val="20"/>
          <w:color w:val="auto"/>
        </w:rPr>
      </w:pPr>
    </w:p>
    <w:p>
      <w:pPr>
        <w:jc w:val="both"/>
        <w:ind w:firstLine="637"/>
        <w:spacing w:after="0" w:line="253"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of March 31,</w:t>
            </w:r>
          </w:p>
        </w:tc>
        <w:tc>
          <w:tcPr>
            <w:tcW w:w="160" w:type="dxa"/>
            <w:vAlign w:val="bottom"/>
          </w:tcPr>
          <w:p>
            <w:pPr>
              <w:spacing w:after="0"/>
              <w:rPr>
                <w:sz w:val="15"/>
                <w:szCs w:val="15"/>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69"/>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3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Funds receivable</w:t>
            </w: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w:t>
            </w:r>
          </w:p>
        </w:tc>
        <w:tc>
          <w:tcPr>
            <w:tcW w:w="120" w:type="dxa"/>
            <w:vAlign w:val="bottom"/>
            <w:shd w:val="clear" w:color="auto" w:fill="CFF0FC"/>
          </w:tcPr>
          <w:p>
            <w:pPr>
              <w:spacing w:after="0"/>
              <w:rPr>
                <w:sz w:val="14"/>
                <w:szCs w:val="14"/>
                <w:color w:val="auto"/>
              </w:rPr>
            </w:pPr>
          </w:p>
        </w:tc>
      </w:tr>
      <w:tr>
        <w:trPr>
          <w:trHeight w:val="175"/>
        </w:trPr>
        <w:tc>
          <w:tcPr>
            <w:tcW w:w="73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r>
      <w:tr>
        <w:trPr>
          <w:trHeight w:val="176"/>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Right-of-use assets</w:t>
            </w: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Pr>
          <w:p>
            <w:pPr>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5"/>
                <w:szCs w:val="15"/>
                <w:color w:val="auto"/>
              </w:rPr>
            </w:pPr>
          </w:p>
        </w:tc>
      </w:tr>
      <w:tr>
        <w:trPr>
          <w:trHeight w:val="209"/>
        </w:trPr>
        <w:tc>
          <w:tcPr>
            <w:tcW w:w="73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20" w:type="dxa"/>
            <w:vAlign w:val="bottom"/>
            <w:tcBorders>
              <w:bottom w:val="single" w:sz="8" w:color="CFF0FC"/>
            </w:tcBorders>
          </w:tcPr>
          <w:p>
            <w:pPr>
              <w:spacing w:after="0"/>
              <w:rPr>
                <w:sz w:val="18"/>
                <w:szCs w:val="18"/>
                <w:color w:val="auto"/>
              </w:rPr>
            </w:pPr>
          </w:p>
        </w:tc>
      </w:tr>
      <w:tr>
        <w:trPr>
          <w:trHeight w:val="156"/>
        </w:trPr>
        <w:tc>
          <w:tcPr>
            <w:tcW w:w="7360" w:type="dxa"/>
            <w:vAlign w:val="bottom"/>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6"/>
        </w:trPr>
        <w:tc>
          <w:tcPr>
            <w:tcW w:w="7360" w:type="dxa"/>
            <w:vAlign w:val="bottom"/>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Merchants payable</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Refunds liability</w:t>
            </w:r>
          </w:p>
        </w:tc>
        <w:tc>
          <w:tcPr>
            <w:tcW w:w="18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Accrued liabilities</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w:t>
            </w:r>
          </w:p>
        </w:tc>
        <w:tc>
          <w:tcPr>
            <w:tcW w:w="120" w:type="dxa"/>
            <w:vAlign w:val="bottom"/>
            <w:shd w:val="clear" w:color="auto" w:fill="CFF0FC"/>
          </w:tcPr>
          <w:p>
            <w:pPr>
              <w:spacing w:after="0"/>
              <w:rPr>
                <w:sz w:val="14"/>
                <w:szCs w:val="14"/>
                <w:color w:val="auto"/>
              </w:rPr>
            </w:pPr>
          </w:p>
        </w:tc>
      </w:tr>
      <w:tr>
        <w:trPr>
          <w:trHeight w:val="175"/>
        </w:trPr>
        <w:tc>
          <w:tcPr>
            <w:tcW w:w="73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Lease liabilities, non-current</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FF0FC"/>
          </w:tcPr>
          <w:p>
            <w:pPr>
              <w:spacing w:after="0"/>
              <w:rPr>
                <w:sz w:val="14"/>
                <w:szCs w:val="14"/>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color w:val="auto"/>
              </w:rPr>
              <w:t>Commitments and contingencies (Note 7)</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66"/>
        </w:trPr>
        <w:tc>
          <w:tcPr>
            <w:tcW w:w="7360" w:type="dxa"/>
            <w:vAlign w:val="bottom"/>
          </w:tcPr>
          <w:p>
            <w:pPr>
              <w:ind w:left="260"/>
              <w:spacing w:after="0"/>
              <w:rPr>
                <w:sz w:val="20"/>
                <w:szCs w:val="20"/>
                <w:color w:val="auto"/>
              </w:rPr>
            </w:pPr>
            <w:r>
              <w:rPr>
                <w:rFonts w:ascii="Arial" w:cs="Arial" w:eastAsia="Arial" w:hAnsi="Arial"/>
                <w:sz w:val="14"/>
                <w:szCs w:val="14"/>
                <w:color w:val="auto"/>
              </w:rPr>
              <w:t>Preferred stock, $0.0001 par value: 100 shares authorized as of March 31, 2022 and December 31, 2021;</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360" w:type="dxa"/>
            <w:vAlign w:val="bottom"/>
          </w:tcPr>
          <w:p>
            <w:pPr>
              <w:ind w:left="260"/>
              <w:spacing w:after="0"/>
              <w:rPr>
                <w:sz w:val="20"/>
                <w:szCs w:val="20"/>
                <w:color w:val="auto"/>
              </w:rPr>
            </w:pPr>
            <w:r>
              <w:rPr>
                <w:rFonts w:ascii="Arial" w:cs="Arial" w:eastAsia="Arial" w:hAnsi="Arial"/>
                <w:sz w:val="14"/>
                <w:szCs w:val="14"/>
                <w:color w:val="auto"/>
              </w:rPr>
              <w:t>No shares issued and outstanding as of March 31, 2022 and December 31, 2021</w:t>
            </w:r>
          </w:p>
        </w:tc>
        <w:tc>
          <w:tcPr>
            <w:tcW w:w="180" w:type="dxa"/>
            <w:vAlign w:val="bottom"/>
          </w:tcPr>
          <w:p>
            <w:pPr>
              <w:spacing w:after="0"/>
              <w:rPr>
                <w:sz w:val="14"/>
                <w:szCs w:val="14"/>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6"/>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$0.0001 par value:3,500 (3,000 Class A, 500 Class B) shares authorized as of March 31,</w:t>
            </w: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2022 and December 31, 2021; 664 (598 Class A, 66 Class B) and 658 (593 Class A, 65 Class B) shares</w:t>
            </w: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issued and outstanding as of March 31, 2022 and December 31, 2021, respectively</w:t>
            </w:r>
          </w:p>
        </w:tc>
        <w:tc>
          <w:tcPr>
            <w:tcW w:w="180" w:type="dxa"/>
            <w:vAlign w:val="bottom"/>
            <w:shd w:val="clear" w:color="auto" w:fill="CFF0FC"/>
          </w:tcPr>
          <w:p>
            <w:pPr>
              <w:spacing w:after="0"/>
              <w:rPr>
                <w:sz w:val="14"/>
                <w:szCs w:val="14"/>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89"/>
        </w:trPr>
        <w:tc>
          <w:tcPr>
            <w:tcW w:w="736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3,358</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16"/>
                <w:szCs w:val="16"/>
                <w:color w:val="auto"/>
              </w:rPr>
            </w:pPr>
          </w:p>
        </w:tc>
      </w:tr>
      <w:tr>
        <w:trPr>
          <w:trHeight w:val="189"/>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6"/>
                <w:szCs w:val="16"/>
                <w:color w:val="auto"/>
              </w:rPr>
            </w:pPr>
          </w:p>
        </w:tc>
      </w:tr>
      <w:tr>
        <w:trPr>
          <w:trHeight w:val="189"/>
        </w:trPr>
        <w:tc>
          <w:tcPr>
            <w:tcW w:w="736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16"/>
                <w:szCs w:val="16"/>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4"/>
                <w:szCs w:val="14"/>
                <w:color w:val="auto"/>
              </w:rPr>
              <w:t>(2,605)</w:t>
            </w:r>
          </w:p>
        </w:tc>
        <w:tc>
          <w:tcPr>
            <w:tcW w:w="160" w:type="dxa"/>
            <w:vAlign w:val="bottom"/>
          </w:tcPr>
          <w:p>
            <w:pPr>
              <w:spacing w:after="0"/>
              <w:rPr>
                <w:sz w:val="16"/>
                <w:szCs w:val="16"/>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4"/>
                <w:szCs w:val="14"/>
                <w:color w:val="auto"/>
              </w:rPr>
              <w:t>(2,545)</w:t>
            </w:r>
          </w:p>
        </w:tc>
      </w:tr>
      <w:tr>
        <w:trPr>
          <w:trHeight w:val="18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755</w:t>
            </w:r>
          </w:p>
        </w:tc>
        <w:tc>
          <w:tcPr>
            <w:tcW w:w="2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w:t>
            </w:r>
          </w:p>
        </w:tc>
        <w:tc>
          <w:tcPr>
            <w:tcW w:w="120" w:type="dxa"/>
            <w:vAlign w:val="bottom"/>
            <w:tcBorders>
              <w:top w:val="single" w:sz="8" w:color="CFF0FC"/>
            </w:tcBorders>
            <w:shd w:val="clear" w:color="auto" w:fill="CFF0FC"/>
          </w:tcPr>
          <w:p>
            <w:pPr>
              <w:spacing w:after="0"/>
              <w:rPr>
                <w:sz w:val="15"/>
                <w:szCs w:val="15"/>
                <w:color w:val="auto"/>
              </w:rPr>
            </w:pPr>
          </w:p>
        </w:tc>
      </w:tr>
      <w:tr>
        <w:trPr>
          <w:trHeight w:val="183"/>
        </w:trPr>
        <w:tc>
          <w:tcPr>
            <w:tcW w:w="73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20" w:type="dxa"/>
            <w:vAlign w:val="bottom"/>
          </w:tcPr>
          <w:p>
            <w:pPr>
              <w:spacing w:after="0"/>
              <w:rPr>
                <w:sz w:val="15"/>
                <w:szCs w:val="15"/>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(in millions,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9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77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7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net:</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10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22"/>
                <w:szCs w:val="22"/>
                <w:color w:val="auto"/>
              </w:rPr>
              <w:t>—</w:t>
            </w: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r>
      <w:tr>
        <w:trPr>
          <w:trHeight w:val="24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FF0FC"/>
            </w:tcBorders>
          </w:tcPr>
          <w:p>
            <w:pPr>
              <w:spacing w:after="0"/>
              <w:rPr>
                <w:sz w:val="21"/>
                <w:szCs w:val="21"/>
                <w:color w:val="auto"/>
              </w:rPr>
            </w:pPr>
          </w:p>
        </w:tc>
      </w:tr>
      <w:tr>
        <w:trPr>
          <w:trHeight w:val="197"/>
        </w:trPr>
        <w:tc>
          <w:tcPr>
            <w:tcW w:w="77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060" w:type="dxa"/>
            <w:vAlign w:val="bottom"/>
            <w:tcBorders>
              <w:bottom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(0.09)</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7700" w:type="dxa"/>
            <w:vAlign w:val="bottom"/>
          </w:tcPr>
          <w:p>
            <w:pPr>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4"/>
                <w:szCs w:val="24"/>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940" w:type="dxa"/>
            <w:vAlign w:val="bottom"/>
            <w:gridSpan w:val="5"/>
          </w:tcPr>
          <w:p>
            <w:pPr>
              <w:jc w:val="right"/>
              <w:ind w:right="267"/>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77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ind w:right="747"/>
              <w:spacing w:after="0"/>
              <w:rPr>
                <w:sz w:val="20"/>
                <w:szCs w:val="20"/>
                <w:color w:val="auto"/>
              </w:rPr>
            </w:pPr>
            <w:r>
              <w:rPr>
                <w:rFonts w:ascii="Arial" w:cs="Arial" w:eastAsia="Arial" w:hAnsi="Arial"/>
                <w:sz w:val="18"/>
                <w:szCs w:val="18"/>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77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holding losses on derivatives and marketable securities</w:t>
            </w:r>
          </w:p>
        </w:tc>
        <w:tc>
          <w:tcPr>
            <w:tcW w:w="1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Comprehensive loss</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5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9"/>
              </w:rPr>
              <w:t>Common Stock</w:t>
            </w:r>
          </w:p>
        </w:tc>
        <w:tc>
          <w:tcPr>
            <w:tcW w:w="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Accumulated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6"/>
                <w:szCs w:val="16"/>
                <w:color w:val="auto"/>
              </w:rPr>
            </w:pPr>
          </w:p>
        </w:tc>
        <w:tc>
          <w:tcPr>
            <w:tcW w:w="142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w w:val="99"/>
              </w:rPr>
              <w:t>Paid-in</w:t>
            </w:r>
          </w:p>
        </w:tc>
        <w:tc>
          <w:tcPr>
            <w:tcW w:w="15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Comprehensive</w:t>
            </w:r>
          </w:p>
        </w:tc>
        <w:tc>
          <w:tcPr>
            <w:tcW w:w="1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Accumulated</w:t>
            </w:r>
          </w:p>
        </w:tc>
        <w:tc>
          <w:tcPr>
            <w:tcW w:w="1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December 31, 2021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(2,545)</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40" w:type="dxa"/>
            <w:vAlign w:val="bottom"/>
          </w:tcPr>
          <w:p>
            <w:pPr>
              <w:ind w:left="260"/>
              <w:spacing w:after="0" w:line="197" w:lineRule="exact"/>
              <w:rPr>
                <w:sz w:val="20"/>
                <w:szCs w:val="20"/>
                <w:color w:val="auto"/>
              </w:rPr>
            </w:pPr>
            <w:r>
              <w:rPr>
                <w:rFonts w:ascii="Arial" w:cs="Arial" w:eastAsia="Arial" w:hAnsi="Arial"/>
                <w:sz w:val="18"/>
                <w:szCs w:val="18"/>
                <w:color w:val="auto"/>
              </w:rPr>
              <w:t>Issuance of common stock upon exercise of</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40" w:type="dxa"/>
            <w:vAlign w:val="bottom"/>
          </w:tcPr>
          <w:p>
            <w:pPr>
              <w:ind w:left="260"/>
              <w:spacing w:after="0"/>
              <w:rPr>
                <w:sz w:val="20"/>
                <w:szCs w:val="20"/>
                <w:color w:val="auto"/>
              </w:rPr>
            </w:pPr>
            <w:r>
              <w:rPr>
                <w:rFonts w:ascii="Arial" w:cs="Arial" w:eastAsia="Arial" w:hAnsi="Arial"/>
                <w:sz w:val="18"/>
                <w:szCs w:val="18"/>
                <w:color w:val="auto"/>
              </w:rPr>
              <w:t>options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040" w:type="dxa"/>
            <w:vAlign w:val="bottom"/>
            <w:shd w:val="clear" w:color="auto" w:fill="CFF0FC"/>
          </w:tcPr>
          <w:p>
            <w:pPr>
              <w:ind w:left="260"/>
              <w:spacing w:after="0" w:line="197" w:lineRule="exact"/>
              <w:rPr>
                <w:sz w:val="20"/>
                <w:szCs w:val="20"/>
                <w:color w:val="auto"/>
              </w:rPr>
            </w:pPr>
            <w:r>
              <w:rPr>
                <w:rFonts w:ascii="Arial" w:cs="Arial" w:eastAsia="Arial" w:hAnsi="Arial"/>
                <w:sz w:val="18"/>
                <w:szCs w:val="18"/>
                <w:color w:val="auto"/>
              </w:rPr>
              <w:t>Issuance of common stock upon settlement of</w:t>
            </w: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net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March 31, 2022</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5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9"/>
              </w:rPr>
              <w:t>Common Stock</w:t>
            </w:r>
          </w:p>
        </w:tc>
        <w:tc>
          <w:tcPr>
            <w:tcW w:w="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Accumulated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6"/>
                <w:szCs w:val="16"/>
                <w:color w:val="auto"/>
              </w:rPr>
            </w:pPr>
          </w:p>
        </w:tc>
        <w:tc>
          <w:tcPr>
            <w:tcW w:w="142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w w:val="99"/>
              </w:rPr>
              <w:t>Paid-in</w:t>
            </w:r>
          </w:p>
        </w:tc>
        <w:tc>
          <w:tcPr>
            <w:tcW w:w="15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Comprehensive</w:t>
            </w:r>
          </w:p>
        </w:tc>
        <w:tc>
          <w:tcPr>
            <w:tcW w:w="1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Accumulated</w:t>
            </w:r>
          </w:p>
        </w:tc>
        <w:tc>
          <w:tcPr>
            <w:tcW w:w="1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Capital</w:t>
            </w: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Income (Loss)</w:t>
            </w:r>
          </w:p>
        </w:tc>
        <w:tc>
          <w:tcPr>
            <w:tcW w:w="1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December 31, 2020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(2,184)</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40" w:type="dxa"/>
            <w:vAlign w:val="bottom"/>
          </w:tcPr>
          <w:p>
            <w:pPr>
              <w:ind w:left="260"/>
              <w:spacing w:after="0" w:line="197" w:lineRule="exact"/>
              <w:rPr>
                <w:sz w:val="20"/>
                <w:szCs w:val="20"/>
                <w:color w:val="auto"/>
              </w:rPr>
            </w:pPr>
            <w:r>
              <w:rPr>
                <w:rFonts w:ascii="Arial" w:cs="Arial" w:eastAsia="Arial" w:hAnsi="Arial"/>
                <w:sz w:val="18"/>
                <w:szCs w:val="18"/>
                <w:color w:val="auto"/>
              </w:rPr>
              <w:t>Issuance of common stock upon exercise of</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40" w:type="dxa"/>
            <w:vAlign w:val="bottom"/>
          </w:tcPr>
          <w:p>
            <w:pPr>
              <w:ind w:left="260"/>
              <w:spacing w:after="0"/>
              <w:rPr>
                <w:sz w:val="20"/>
                <w:szCs w:val="20"/>
                <w:color w:val="auto"/>
              </w:rPr>
            </w:pPr>
            <w:r>
              <w:rPr>
                <w:rFonts w:ascii="Arial" w:cs="Arial" w:eastAsia="Arial" w:hAnsi="Arial"/>
                <w:sz w:val="18"/>
                <w:szCs w:val="18"/>
                <w:color w:val="auto"/>
              </w:rPr>
              <w:t>options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FF0FC"/>
          </w:tcPr>
          <w:p>
            <w:pPr>
              <w:ind w:left="260"/>
              <w:spacing w:after="0" w:line="197" w:lineRule="exact"/>
              <w:rPr>
                <w:sz w:val="20"/>
                <w:szCs w:val="20"/>
                <w:color w:val="auto"/>
              </w:rPr>
            </w:pPr>
            <w:r>
              <w:rPr>
                <w:rFonts w:ascii="Arial" w:cs="Arial" w:eastAsia="Arial" w:hAnsi="Arial"/>
                <w:sz w:val="18"/>
                <w:szCs w:val="18"/>
                <w:color w:val="auto"/>
              </w:rPr>
              <w:t>Issuance of common stock upon settlement of</w:t>
            </w: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net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Balances as of March 31, 2021</w:t>
            </w: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1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1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248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9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7"/>
        </w:trPr>
        <w:tc>
          <w:tcPr>
            <w:tcW w:w="8160" w:type="dxa"/>
            <w:vAlign w:val="bottom"/>
            <w:shd w:val="clear" w:color="auto" w:fill="CFF0FC"/>
          </w:tcPr>
          <w:p>
            <w:pPr>
              <w:ind w:left="260"/>
              <w:spacing w:after="0" w:line="197" w:lineRule="exact"/>
              <w:rPr>
                <w:sz w:val="20"/>
                <w:szCs w:val="20"/>
                <w:color w:val="auto"/>
              </w:rPr>
            </w:pPr>
            <w:r>
              <w:rPr>
                <w:rFonts w:ascii="Arial" w:cs="Arial" w:eastAsia="Arial" w:hAnsi="Arial"/>
                <w:sz w:val="18"/>
                <w:szCs w:val="18"/>
                <w:color w:val="auto"/>
              </w:rPr>
              <w:t>Adjustments to reconcile net loss to net cash used in operating</w:t>
            </w: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1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activities:</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Noncash inventory write-downs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Noncash lease expense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lease assets and property and equipment</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 receivable</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Prepaid expenses, other current and noncurrent assets</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Merchants payable</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refund liabilities</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Lease liabilities</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and noncurrent liabilities</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Purchases of property and equipment and development of internal-use software</w:t>
            </w:r>
          </w:p>
        </w:tc>
        <w:tc>
          <w:tcPr>
            <w:tcW w:w="8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marketable securities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taxes related to RSU settlement</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line="223" w:lineRule="exact"/>
              <w:rPr>
                <w:sz w:val="20"/>
                <w:szCs w:val="20"/>
                <w:color w:val="auto"/>
              </w:rPr>
            </w:pPr>
            <w:r>
              <w:rPr>
                <w:rFonts w:ascii="Arial" w:cs="Arial" w:eastAsia="Arial" w:hAnsi="Arial"/>
                <w:sz w:val="20"/>
                <w:szCs w:val="20"/>
                <w:color w:val="auto"/>
              </w:rPr>
              <w:t>—</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1,965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 to the condensed consolidated</w:t>
            </w: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16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160" w:type="dxa"/>
            <w:vAlign w:val="bottom"/>
          </w:tcPr>
          <w:p>
            <w:pPr>
              <w:spacing w:after="0" w:line="197" w:lineRule="exact"/>
              <w:rPr>
                <w:sz w:val="20"/>
                <w:szCs w:val="20"/>
                <w:color w:val="auto"/>
              </w:rPr>
            </w:pPr>
            <w:r>
              <w:rPr>
                <w:rFonts w:ascii="Arial" w:cs="Arial" w:eastAsia="Arial" w:hAnsi="Arial"/>
                <w:sz w:val="18"/>
                <w:szCs w:val="18"/>
                <w:color w:val="auto"/>
              </w:rPr>
              <w:t>Restricted cash included within prepaid expenses and other current assets in the condensed</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1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8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1,620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SIGNIFICANT ACCOUNTING POLICIES</w:t>
      </w:r>
    </w:p>
    <w:p>
      <w:pPr>
        <w:spacing w:after="0" w:line="15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ContextLogic Inc. (“Wish” or the “Company”) is an ecommerce company that provides a shopping experience that is mobile-first and discovery-based, which connects merchants’ products to users based on user preferences. The Company generates revenue from marketplace and logistics services provided to merchants.</w:t>
      </w:r>
    </w:p>
    <w:p>
      <w:pPr>
        <w:spacing w:after="0" w:line="115"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8"/>
          <w:szCs w:val="18"/>
          <w:color w:val="auto"/>
        </w:rPr>
        <w:t>The Company was incorporated in the state of Delaware in June 2010 and is headquartered in San Francisco, California, with additional operations in Canada, China and the Netherlands.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56"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All intercompany balances and transactions have been eliminated in consolidation. The condensed consolidated financial statements are unaudited, but include all adjustments of a normal recurring nature necessary for a fair presentation of the Company’s quarterly results. The consolidated balance sheet as of December 31, 2021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2021, which was filed with the SEC on March 14, 2022 (the “2021 Form 10-K”).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incremental borrowing rate applied to lease accounting, contingent liabilities, redemption probabilities associated with Wish Cash, allowances for refunds and chargebacks and uncertain tax positions. As of March 31, 2022, the effects of the ongoing COVID-19 pandemic on the Company’s business, results of operations, and financial condition continue to evolve. As a result, many of the Company’s estimates and assumptions required increased judgment and these estimates may change materially in future periods.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56"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manages its operations and allocates resources as a single operating segment. Further, the Company manages, monitors and reports its financial results as a single reporting segment. The Company’s chief operating decision-maker is its Chief Executive Officer (“CEO”) who makes operating decisions, assesses financial performance and allocates resources based on condensed consolidated financial information. As such, the Company has determined that it operates in one reportable segment.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56" w:lineRule="exact"/>
        <w:rPr>
          <w:sz w:val="20"/>
          <w:szCs w:val="20"/>
          <w:color w:val="auto"/>
        </w:rPr>
      </w:pPr>
    </w:p>
    <w:p>
      <w:pPr>
        <w:jc w:val="both"/>
        <w:ind w:firstLine="644"/>
        <w:spacing w:after="0"/>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funds receivable and marketable securities.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corporate bonds, and non-U.S. government securities. The Company is exposed to credit risk in the event of a default by the financial institutions holding its cash, cash 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126"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maintains certain bank accounts in China. The Company manages the counterparty risk associated with these funds through diversification with major financial institutions and monitors the concentration of this credit risk on a monthly basis. The total cash balance in these accounts represented approximately 15% of the Company’s total cash and cash equivalents as of March 31, 2022 and December 31, 2021.</w:t>
      </w:r>
    </w:p>
    <w:p>
      <w:pPr>
        <w:spacing w:after="0" w:line="120"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p>
    <w:p>
      <w:pPr>
        <w:spacing w:after="0" w:line="122" w:lineRule="exact"/>
        <w:rPr>
          <w:sz w:val="20"/>
          <w:szCs w:val="20"/>
          <w:color w:val="auto"/>
        </w:rPr>
      </w:pPr>
    </w:p>
    <w:p>
      <w:pPr>
        <w:jc w:val="both"/>
        <w:ind w:right="20" w:firstLine="637"/>
        <w:spacing w:after="0" w:line="253" w:lineRule="auto"/>
        <w:rPr>
          <w:sz w:val="20"/>
          <w:szCs w:val="20"/>
          <w:color w:val="auto"/>
        </w:rPr>
      </w:pPr>
      <w:r>
        <w:rPr>
          <w:rFonts w:ascii="Arial" w:cs="Arial" w:eastAsia="Arial" w:hAnsi="Arial"/>
          <w:sz w:val="18"/>
          <w:szCs w:val="18"/>
          <w:color w:val="auto"/>
        </w:rPr>
        <w:t>The Company is exposed to credit risk in the event of a default by its Payment Service Providers (“PSPs”). The Company does not generate revenue from PSPs. Significant changes in the Company’s relationship with its PSPs could adversely affect users’ ability to process transactions on the Company’s marketplaces, thereby impacting the Company’s operating results.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PSPs each represented 10% or more of the Company’s funds receivable balance: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280" w:type="dxa"/>
            <w:vAlign w:val="bottom"/>
          </w:tcPr>
          <w:p>
            <w:pPr>
              <w:jc w:val="center"/>
              <w:ind w:left="19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6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PSP 1</w:t>
            </w:r>
          </w:p>
        </w:tc>
        <w:tc>
          <w:tcPr>
            <w:tcW w:w="12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r>
      <w:tr>
        <w:trPr>
          <w:trHeight w:val="239"/>
        </w:trPr>
        <w:tc>
          <w:tcPr>
            <w:tcW w:w="8880" w:type="dxa"/>
            <w:vAlign w:val="bottom"/>
            <w:gridSpan w:val="2"/>
          </w:tcPr>
          <w:p>
            <w:pPr>
              <w:spacing w:after="0"/>
              <w:rPr>
                <w:sz w:val="20"/>
                <w:szCs w:val="20"/>
                <w:color w:val="auto"/>
              </w:rPr>
            </w:pPr>
            <w:r>
              <w:rPr>
                <w:rFonts w:ascii="Arial" w:cs="Arial" w:eastAsia="Arial" w:hAnsi="Arial"/>
                <w:sz w:val="18"/>
                <w:szCs w:val="18"/>
                <w:color w:val="auto"/>
              </w:rPr>
              <w:t>PSP 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bl>
    <w:p>
      <w:pPr>
        <w:spacing w:after="0" w:line="336"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The Company serves all of its users using third-party data center and hosting providers. The Company has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three months ended March 31, 2022 and 2021.</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56"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There have been no changes to the Company’s significant accounting policies described in its 2021 Form 10-K, filed with the SEC on March 14, 2022, that have had a material impact on its condensed consolidated financial statements.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56"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auto"/>
        </w:rPr>
        <w:t>The Company has reviewed recent accounting pronouncements and concluded they are either not applicable to the business or no material impact is expected on the condensed consolidated financial statements as a result of future adoption.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DISAGGREGATION OF REVENUE</w:t>
      </w:r>
    </w:p>
    <w:p>
      <w:pPr>
        <w:spacing w:after="0" w:line="15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 generates revenue from marketplace and logistics services provided to its customers.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and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Marketplace Revenue</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Company provides a mix of marketplace services to its customers. The Company provides merchants access to its marketplace where merchants display and sell their products to users. The Company also provides ProductBoost services to help merchants promote their products within the Company’s marketplace.</w:t>
      </w:r>
    </w:p>
    <w:p>
      <w:pPr>
        <w:spacing w:after="0" w:line="11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user location, demand, product type,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for displaying a merchant’s selected products in preferential locations within the Company’s marketplace. The Company recognizes revenue when the merchants’ selected products are displayed. The Company refers to its marketplace revenue, excluding ProductBoost revenue, as its core marketplace revenue.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w:t>
      </w:r>
    </w:p>
    <w:p>
      <w:pPr>
        <w:spacing w:after="0" w:line="11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Company recognizes revenue over time as the merchant simultaneously receives and consumes the logistics services benefit as the logistics services are performed. The Company uses an output method of progress based on days in transit as it best depicts the Company’s progress toward complete satisfaction of the performance obligation.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64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March 31,</w:t>
            </w: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400" w:type="dxa"/>
            <w:vAlign w:val="bottom"/>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6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Core marketplace revenue</w:t>
            </w:r>
          </w:p>
        </w:tc>
        <w:tc>
          <w:tcPr>
            <w:tcW w:w="1360" w:type="dxa"/>
            <w:vAlign w:val="bottom"/>
            <w:shd w:val="clear" w:color="auto" w:fill="CFF0FC"/>
          </w:tcPr>
          <w:p>
            <w:pPr>
              <w:jc w:val="right"/>
              <w:ind w:right="1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ProductBoost revenue</w:t>
            </w: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Marketplace revenue</w:t>
            </w:r>
          </w:p>
        </w:tc>
        <w:tc>
          <w:tcPr>
            <w:tcW w:w="1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Logistics revenue</w:t>
            </w: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42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FF0FC"/>
            </w:tcBorders>
          </w:tcPr>
          <w:p>
            <w:pPr>
              <w:spacing w:after="0"/>
              <w:rPr>
                <w:sz w:val="18"/>
                <w:szCs w:val="18"/>
                <w:color w:val="auto"/>
              </w:rPr>
            </w:pPr>
          </w:p>
        </w:tc>
      </w:tr>
      <w:tr>
        <w:trPr>
          <w:trHeight w:val="209"/>
        </w:trPr>
        <w:tc>
          <w:tcPr>
            <w:tcW w:w="6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Revenue</w:t>
            </w:r>
          </w:p>
        </w:tc>
        <w:tc>
          <w:tcPr>
            <w:tcW w:w="1360" w:type="dxa"/>
            <w:vAlign w:val="bottom"/>
            <w:tcBorders>
              <w:bottom w:val="single" w:sz="8" w:color="auto"/>
            </w:tcBorders>
            <w:shd w:val="clear" w:color="auto" w:fill="CFF0FC"/>
          </w:tcPr>
          <w:p>
            <w:pPr>
              <w:jc w:val="right"/>
              <w:ind w:right="1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4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11 – Geographical Information for the disaggregated revenue by geographical location.</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FINANCIAL INSTRUMENTS AND FAIR VALUE MEASUREMENT</w:t>
      </w:r>
    </w:p>
    <w:p>
      <w:pPr>
        <w:spacing w:after="0" w:line="158"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p>
    <w:p>
      <w:pPr>
        <w:spacing w:after="0" w:line="122"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20"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March 31, 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Cash equivalents:</w:t>
            </w: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50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FF0FC"/>
          </w:tcPr>
          <w:p>
            <w:pPr>
              <w:jc w:val="right"/>
              <w:ind w:right="7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250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195</w:t>
            </w:r>
          </w:p>
        </w:tc>
        <w:tc>
          <w:tcPr>
            <w:tcW w:w="1140" w:type="dxa"/>
            <w:vAlign w:val="bottom"/>
            <w:gridSpan w:val="3"/>
            <w:shd w:val="clear" w:color="auto" w:fill="CFF0FC"/>
          </w:tcPr>
          <w:p>
            <w:pPr>
              <w:jc w:val="right"/>
              <w:ind w:right="713"/>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 government</w:t>
            </w:r>
          </w:p>
        </w:tc>
        <w:tc>
          <w:tcPr>
            <w:tcW w:w="1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20" w:type="dxa"/>
            <w:vAlign w:val="bottom"/>
          </w:tcPr>
          <w:p>
            <w:pPr>
              <w:ind w:left="260"/>
              <w:spacing w:after="0"/>
              <w:rPr>
                <w:sz w:val="20"/>
                <w:szCs w:val="20"/>
                <w:color w:val="auto"/>
              </w:rPr>
            </w:pPr>
            <w:r>
              <w:rPr>
                <w:rFonts w:ascii="Arial" w:cs="Arial" w:eastAsia="Arial" w:hAnsi="Arial"/>
                <w:sz w:val="18"/>
                <w:szCs w:val="18"/>
                <w:color w:val="auto"/>
              </w:rPr>
              <w:t>Total marketable securities</w:t>
            </w:r>
          </w:p>
        </w:tc>
        <w:tc>
          <w:tcPr>
            <w:tcW w:w="1700" w:type="dxa"/>
            <w:vAlign w:val="bottom"/>
          </w:tcPr>
          <w:p>
            <w:pPr>
              <w:spacing w:after="0"/>
              <w:rPr>
                <w:sz w:val="18"/>
                <w:szCs w:val="18"/>
                <w:color w:val="auto"/>
              </w:rPr>
            </w:pPr>
          </w:p>
        </w:tc>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269</w:t>
            </w:r>
          </w:p>
        </w:tc>
        <w:tc>
          <w:tcPr>
            <w:tcW w:w="240" w:type="dxa"/>
            <w:vAlign w:val="bottom"/>
            <w:gridSpan w:val="2"/>
          </w:tcPr>
          <w:p>
            <w:pPr>
              <w:spacing w:after="0"/>
              <w:rPr>
                <w:sz w:val="18"/>
                <w:szCs w:val="18"/>
                <w:color w:val="auto"/>
              </w:rPr>
            </w:pPr>
          </w:p>
        </w:tc>
        <w:tc>
          <w:tcPr>
            <w:tcW w:w="900" w:type="dxa"/>
            <w:vAlign w:val="bottom"/>
            <w:tcBorders>
              <w:top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4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7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Derivative assets</w:t>
            </w:r>
          </w:p>
        </w:tc>
        <w:tc>
          <w:tcPr>
            <w:tcW w:w="25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3"/>
          </w:tcPr>
          <w:p>
            <w:pPr>
              <w:jc w:val="right"/>
              <w:ind w:right="713"/>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financial assets</w:t>
            </w:r>
          </w:p>
        </w:tc>
        <w:tc>
          <w:tcPr>
            <w:tcW w:w="170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283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1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1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25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3"/>
          </w:tcPr>
          <w:p>
            <w:pPr>
              <w:jc w:val="right"/>
              <w:ind w:right="713"/>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financial liabilities</w:t>
            </w:r>
          </w:p>
        </w:tc>
        <w:tc>
          <w:tcPr>
            <w:tcW w:w="170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13"/>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00" w:type="dxa"/>
            <w:vAlign w:val="bottom"/>
            <w:vMerge w:val="restart"/>
          </w:tcPr>
          <w:p>
            <w:pPr>
              <w:jc w:val="right"/>
              <w:ind w:right="50"/>
              <w:spacing w:after="0"/>
              <w:rPr>
                <w:sz w:val="20"/>
                <w:szCs w:val="20"/>
                <w:color w:val="auto"/>
              </w:rPr>
            </w:pPr>
            <w:r>
              <w:rPr>
                <w:rFonts w:ascii="Arial" w:cs="Arial" w:eastAsia="Arial" w:hAnsi="Arial"/>
                <w:sz w:val="18"/>
                <w:szCs w:val="18"/>
                <w:color w:val="auto"/>
              </w:rPr>
              <w:t>9</w:t>
            </w: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1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1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1"/>
        </w:trPr>
        <w:tc>
          <w:tcPr>
            <w:tcW w:w="58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 government</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marketable securities</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167</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Derivative assets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financial assets</w:t>
            </w: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financial liabilities</w:t>
            </w: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5"/>
          </w:tcPr>
          <w:p>
            <w:pPr>
              <w:ind w:left="7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2540" w:type="dxa"/>
            <w:vAlign w:val="bottom"/>
            <w:gridSpan w:val="5"/>
          </w:tcPr>
          <w:p>
            <w:pPr>
              <w:ind w:left="58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5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3"/>
              <w:spacing w:after="0" w:line="191" w:lineRule="exact"/>
              <w:rPr>
                <w:sz w:val="20"/>
                <w:szCs w:val="20"/>
                <w:color w:val="auto"/>
              </w:rPr>
            </w:pPr>
            <w:r>
              <w:rPr>
                <w:rFonts w:ascii="Arial" w:cs="Arial" w:eastAsia="Arial" w:hAnsi="Arial"/>
                <w:sz w:val="18"/>
                <w:szCs w:val="18"/>
                <w:b w:val="1"/>
                <w:bCs w:val="1"/>
                <w:color w:val="auto"/>
                <w:w w:val="99"/>
              </w:rPr>
              <w:t>Estimated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Pr>
          <w:p>
            <w:pPr>
              <w:spacing w:after="0"/>
              <w:rPr>
                <w:sz w:val="16"/>
                <w:szCs w:val="16"/>
                <w:color w:val="auto"/>
              </w:rPr>
            </w:pPr>
          </w:p>
        </w:tc>
      </w:tr>
      <w:tr>
        <w:trPr>
          <w:trHeight w:val="221"/>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Fair Value</w:t>
            </w:r>
          </w:p>
        </w:tc>
      </w:tr>
      <w:tr>
        <w:trPr>
          <w:trHeight w:val="210"/>
        </w:trPr>
        <w:tc>
          <w:tcPr>
            <w:tcW w:w="5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tcPr>
          <w:p>
            <w:pPr>
              <w:spacing w:after="0"/>
              <w:rPr>
                <w:sz w:val="18"/>
                <w:szCs w:val="18"/>
                <w:color w:val="auto"/>
              </w:rPr>
            </w:pPr>
          </w:p>
        </w:tc>
      </w:tr>
      <w:tr>
        <w:trPr>
          <w:trHeight w:val="210"/>
        </w:trPr>
        <w:tc>
          <w:tcPr>
            <w:tcW w:w="5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37"/>
        <w:spacing w:after="0" w:line="247"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March 31, 2022 and December 31, 2021 were immaterial.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7"/>
        </w:trPr>
        <w:tc>
          <w:tcPr>
            <w:tcW w:w="770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770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0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0"/>
        </w:trPr>
        <w:tc>
          <w:tcPr>
            <w:tcW w:w="77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00" w:type="dxa"/>
            <w:vAlign w:val="bottom"/>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r>
              <w:rPr>
                <w:rFonts w:ascii="Arial" w:cs="Arial" w:eastAsia="Arial" w:hAnsi="Arial"/>
                <w:sz w:val="15"/>
                <w:szCs w:val="15"/>
                <w:b w:val="1"/>
                <w:bCs w:val="1"/>
                <w:color w:val="auto"/>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Logistics costs</w:t>
            </w:r>
            <w:r>
              <w:rPr>
                <w:rFonts w:ascii="Arial" w:cs="Arial" w:eastAsia="Arial" w:hAnsi="Arial"/>
                <w:sz w:val="15"/>
                <w:szCs w:val="15"/>
                <w:color w:val="auto"/>
              </w:rPr>
              <w:t>(2)</w:t>
            </w: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Deferred revenue and customer deposits</w:t>
            </w: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Wish Cash liability</w:t>
            </w:r>
            <w:r>
              <w:rPr>
                <w:rFonts w:ascii="Arial" w:cs="Arial" w:eastAsia="Arial" w:hAnsi="Arial"/>
                <w:sz w:val="15"/>
                <w:szCs w:val="15"/>
                <w:color w:val="auto"/>
              </w:rPr>
              <w:t>(3)</w:t>
            </w: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Sales and indirect taxes</w:t>
            </w:r>
            <w:r>
              <w:rPr>
                <w:rFonts w:ascii="Arial" w:cs="Arial" w:eastAsia="Arial" w:hAnsi="Arial"/>
                <w:sz w:val="15"/>
                <w:szCs w:val="15"/>
                <w:color w:val="auto"/>
              </w:rPr>
              <w:t>(4)</w:t>
            </w: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Others</w:t>
            </w:r>
          </w:p>
        </w:tc>
        <w:tc>
          <w:tcPr>
            <w:tcW w:w="12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liabilities</w:t>
            </w: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amounts previously disclosed in the Company’s 2021 Form 10-K were realigned to ensure consistency with the amounts reflected as of March 31, 2022.</w:t>
      </w:r>
    </w:p>
    <w:p>
      <w:pPr>
        <w:spacing w:after="0" w:line="190" w:lineRule="exact"/>
        <w:rPr>
          <w:rFonts w:ascii="Arial" w:cs="Arial" w:eastAsia="Arial" w:hAnsi="Arial"/>
          <w:sz w:val="14"/>
          <w:szCs w:val="14"/>
          <w:color w:val="auto"/>
        </w:rPr>
      </w:pPr>
    </w:p>
    <w:p>
      <w:pPr>
        <w:ind w:left="1120" w:hanging="370"/>
        <w:spacing w:after="0" w:line="262" w:lineRule="auto"/>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Logistics costs decreased by $13 million or 23% primarily due to lower shipping volumes during the first quarter of 2022 compared to the fourth quarter of 2021.</w:t>
      </w:r>
    </w:p>
    <w:p>
      <w:pPr>
        <w:spacing w:after="0" w:line="256" w:lineRule="exact"/>
        <w:rPr>
          <w:rFonts w:ascii="Arial" w:cs="Arial" w:eastAsia="Arial" w:hAnsi="Arial"/>
          <w:sz w:val="14"/>
          <w:szCs w:val="14"/>
          <w:color w:val="auto"/>
        </w:rPr>
      </w:pPr>
    </w:p>
    <w:p>
      <w:pPr>
        <w:jc w:val="both"/>
        <w:ind w:left="1120" w:hanging="370"/>
        <w:spacing w:after="0" w:line="252" w:lineRule="auto"/>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The Company recognized approximately $1 and $3 million of Wish Cash liability breakage in core marketplace revenue during the first quarter of 2022 and the fourth quarter of 2021, respectively.</w:t>
      </w:r>
    </w:p>
    <w:p>
      <w:pPr>
        <w:spacing w:after="0" w:line="72" w:lineRule="exact"/>
        <w:rPr>
          <w:rFonts w:ascii="Arial" w:cs="Arial" w:eastAsia="Arial" w:hAnsi="Arial"/>
          <w:sz w:val="14"/>
          <w:szCs w:val="14"/>
          <w:color w:val="auto"/>
        </w:rPr>
      </w:pPr>
    </w:p>
    <w:p>
      <w:pPr>
        <w:ind w:left="1120" w:hanging="370"/>
        <w:spacing w:after="0" w:line="285" w:lineRule="auto"/>
        <w:tabs>
          <w:tab w:leader="none" w:pos="1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and indirect taxes decreased by $6 million or 23% primarily due to less taxes collected in connection with lower order volumes during the first quarter of 2022 compared to the fourth quarter of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5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in their local currencies, primarily in U.S. dollars and Euros, and the Company makes payments to merchants for products sold on the Company’s platforms in various currencies through third party payment service providers, which creates exposure to currency rate fluctuations. The Company hedges these exposures to reduce the risk that its earnings and cash flows will be adversely affected by changes in exchange rates. As part of the Company’s foreign currency risk mitigation strategy, the Company enters into derivative contracts and foreign exchange forward contracts with up to twelve months in duration to hedge exposures for variability in U.S.-dollar equivalent of non-U.S.-dollar denominated cash flows associated with its forecasted revenue related transactions.</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derivatives transactions are not collateralized and do not include collateralization agreements with counterparties.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use derivative financial instruments for speculative or trading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of Derivative Activity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52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hedges</w:t>
            </w:r>
          </w:p>
        </w:tc>
        <w:tc>
          <w:tcPr>
            <w:tcW w:w="5200" w:type="dxa"/>
            <w:vAlign w:val="bottom"/>
            <w:gridSpan w:val="2"/>
            <w:shd w:val="clear" w:color="auto" w:fill="CFF0FC"/>
          </w:tcPr>
          <w:p>
            <w:pPr>
              <w:jc w:val="right"/>
              <w:ind w:right="10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Non-designated hedges</w:t>
            </w:r>
          </w:p>
        </w:tc>
        <w:tc>
          <w:tcPr>
            <w:tcW w:w="3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98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980" w:type="dxa"/>
            <w:vAlign w:val="bottom"/>
            <w:vMerge w:val="restart"/>
          </w:tcPr>
          <w:p>
            <w:pPr>
              <w:jc w:val="right"/>
              <w:ind w:right="189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7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72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7"/>
        </w:trPr>
        <w:tc>
          <w:tcPr>
            <w:tcW w:w="5000" w:type="dxa"/>
            <w:vAlign w:val="bottom"/>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1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5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8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March 31, 2022</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5"/>
                <w:szCs w:val="15"/>
                <w:b w:val="1"/>
                <w:bCs w:val="1"/>
                <w:color w:val="auto"/>
              </w:rPr>
              <w:t>(2)</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5"/>
                <w:szCs w:val="15"/>
                <w:b w:val="1"/>
                <w:bCs w:val="1"/>
                <w:color w:val="auto"/>
              </w:rPr>
              <w:t>(2)</w:t>
            </w:r>
          </w:p>
        </w:tc>
      </w:tr>
      <w:tr>
        <w:trPr>
          <w:trHeight w:val="210"/>
        </w:trPr>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Derivative designated as hedging instruments</w:t>
            </w:r>
          </w:p>
        </w:tc>
        <w:tc>
          <w:tcPr>
            <w:tcW w:w="10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Cash flow hedges</w:t>
            </w:r>
          </w:p>
        </w:tc>
        <w:tc>
          <w:tcPr>
            <w:tcW w:w="19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not designated as hedging instruments</w:t>
            </w:r>
          </w:p>
        </w:tc>
        <w:tc>
          <w:tcPr>
            <w:tcW w:w="10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Foreign currency forward contracts</w:t>
            </w:r>
          </w:p>
        </w:tc>
        <w:tc>
          <w:tcPr>
            <w:tcW w:w="19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0"/>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derivatives</w:t>
            </w: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9" w:lineRule="exact"/>
        <w:rPr>
          <w:sz w:val="20"/>
          <w:szCs w:val="20"/>
          <w:color w:val="auto"/>
        </w:rPr>
      </w:pPr>
    </w:p>
    <w:p>
      <w:pPr>
        <w:ind w:left="980" w:hanging="223"/>
        <w:spacing w:after="0"/>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Derivative assets are included in prepaid and other current assets in the condensed consolidated balance sheets.</w:t>
      </w:r>
    </w:p>
    <w:p>
      <w:pPr>
        <w:spacing w:after="0" w:line="109" w:lineRule="exact"/>
        <w:rPr>
          <w:rFonts w:ascii="Arial" w:cs="Arial" w:eastAsia="Arial" w:hAnsi="Arial"/>
          <w:sz w:val="14"/>
          <w:szCs w:val="14"/>
          <w:color w:val="auto"/>
        </w:rPr>
      </w:pPr>
    </w:p>
    <w:p>
      <w:pPr>
        <w:ind w:left="980" w:hanging="223"/>
        <w:spacing w:after="0"/>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Derivative liabilities are included in accrued liabilities in the condensed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262626"/>
        </w:rPr>
        <w:t>The changes in accumulated other comprehensive income resulting from cash flow hedging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7400" w:type="dxa"/>
            <w:vAlign w:val="bottom"/>
          </w:tcPr>
          <w:p>
            <w:pPr>
              <w:spacing w:after="0"/>
              <w:rPr>
                <w:sz w:val="19"/>
                <w:szCs w:val="19"/>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December 31, 2021</w:t>
            </w:r>
          </w:p>
        </w:tc>
      </w:tr>
      <w:tr>
        <w:trPr>
          <w:trHeight w:val="210"/>
        </w:trPr>
        <w:tc>
          <w:tcPr>
            <w:tcW w:w="74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4"/>
          </w:tcPr>
          <w:p>
            <w:pPr>
              <w:jc w:val="right"/>
              <w:ind w:right="518"/>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period</w:t>
            </w:r>
          </w:p>
        </w:tc>
        <w:tc>
          <w:tcPr>
            <w:tcW w:w="1360" w:type="dxa"/>
            <w:vAlign w:val="bottom"/>
            <w:shd w:val="clear" w:color="auto" w:fill="CFF0FC"/>
          </w:tcPr>
          <w:p>
            <w:pPr>
              <w:jc w:val="right"/>
              <w:ind w:right="11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7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r>
      <w:tr>
        <w:trPr>
          <w:trHeight w:val="197"/>
        </w:trPr>
        <w:tc>
          <w:tcPr>
            <w:tcW w:w="740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Amounts recognized in core marketplace revenue and reclassified out of accumulated</w:t>
            </w:r>
          </w:p>
        </w:tc>
        <w:tc>
          <w:tcPr>
            <w:tcW w:w="1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1"/>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Balance at the end of the period</w:t>
            </w: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262626"/>
        </w:rPr>
        <w:t>The Company recognizes changes in fair value of the cash flow hedges of foreign currency denominated merchants payable in accumulated other comprehensive loss in its condensed consolidated balance sheets until the forecasted transaction occurs.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three months ended March 31, 2022 and 2021, there were no net gains or losses recognized in core marketplace revenue relating to hedges of forecasted transactions that did not occur.</w:t>
      </w:r>
    </w:p>
    <w:p>
      <w:pPr>
        <w:spacing w:after="0" w:line="126" w:lineRule="exact"/>
        <w:rPr>
          <w:sz w:val="20"/>
          <w:szCs w:val="20"/>
          <w:color w:val="auto"/>
        </w:rPr>
      </w:pPr>
    </w:p>
    <w:p>
      <w:pPr>
        <w:jc w:val="both"/>
        <w:ind w:right="20" w:firstLine="749"/>
        <w:spacing w:after="0" w:line="271" w:lineRule="auto"/>
        <w:rPr>
          <w:sz w:val="20"/>
          <w:szCs w:val="20"/>
          <w:color w:val="auto"/>
        </w:rPr>
      </w:pPr>
      <w:r>
        <w:rPr>
          <w:rFonts w:ascii="Arial" w:cs="Arial" w:eastAsia="Arial" w:hAnsi="Arial"/>
          <w:sz w:val="18"/>
          <w:szCs w:val="18"/>
          <w:color w:val="auto"/>
        </w:rPr>
        <w:t>The Company classifies cash flows related to its cash flow hedges as operating activities in its condensed consolidated statements of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Derivatives Not Designated as Hedging Instruments</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net gains on the change in fair value of the Company’s foreign exchange forward contracts not designated as hedging instruments were approximately $1 and $4 million for the three months ended March 31, 2022 and 2021, respectively, and were recognized in other income, net in the condensed consolidated statements of operations.</w:t>
      </w:r>
    </w:p>
    <w:p>
      <w:pPr>
        <w:spacing w:after="0" w:line="115"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Company classifies cash flows related to its non-designated hedging instruments as operating activities in its condensed consolidated statements of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OPERATING LEASES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its facilities and data center colocations under operating leases with various expiration dates through 2025.</w:t>
      </w:r>
    </w:p>
    <w:p>
      <w:pPr>
        <w:spacing w:after="0" w:line="158"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Total operating lease cost was $2 million and $4 million for the three months ended March 31, 2022 and 2021, respectively. Short-term lease costs and variable lease costs and sublease income were not material.</w:t>
      </w:r>
    </w:p>
    <w:p>
      <w:pPr>
        <w:spacing w:after="0" w:line="100"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February 2022, the Company’s Board of Directors approved a restructuring plan, which included exiting various office leases. As a result, the Company ceased using certain office spaces. As the carrying value of the related right-of-use assets and leasehold improvements exceeded the estimated fair value, the Company recognized an impairment loss of $4 million, which is included as part of general and administrative expenses in its condensed consolidated financial statements for the three months ended March 31, 2022. Of the $4 million total impairment loss, approximately $2 million related to the impairment of operating right-of-use assets and approximately $2 million primarily relates to impairment of leasehold improvements. See Note 12. Restructuring Costs for more information about the Company’s restructuring plan.</w:t>
      </w:r>
    </w:p>
    <w:p>
      <w:pPr>
        <w:spacing w:after="0" w:line="131"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As of March 31, 2022 and December 31, 2021, the Company’s condensed consolidated balance sheets included right-of-use assets in the amount of $14 million and $18 million, respectively, and current lease liabilities in the amount of $9 million in accrued liabilities as of both periods, and $14 million and $16 million in lease liabilities, non-current, respectively.</w:t>
      </w:r>
    </w:p>
    <w:p>
      <w:pPr>
        <w:spacing w:after="0" w:line="115"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auto"/>
        </w:rPr>
        <w:t>As of March 31, 2022 and December 31, 2021, the weighted-average remaining lease term was 3 years, and the weighted-average discount rate used to determine the net present value of the lease liabilities was 6% for both periods.</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cash flow information for the Company’s operating leases were as follows:</w:t>
      </w:r>
    </w:p>
    <w:p>
      <w:pPr>
        <w:spacing w:after="0" w:line="225"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Three months ended</w:t>
      </w:r>
    </w:p>
    <w:p>
      <w:pPr>
        <w:spacing w:after="0" w:line="14"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-1905</wp:posOffset>
            </wp:positionV>
            <wp:extent cx="2168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 w:lineRule="exact"/>
        <w:rPr>
          <w:sz w:val="20"/>
          <w:szCs w:val="20"/>
          <w:color w:val="auto"/>
        </w:rPr>
      </w:pPr>
    </w:p>
    <w:p>
      <w:pPr>
        <w:ind w:left="8280"/>
        <w:spacing w:after="0"/>
        <w:tabs>
          <w:tab w:leader="none" w:pos="101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-1270</wp:posOffset>
            </wp:positionV>
            <wp:extent cx="2168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5"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080" w:type="dxa"/>
            <w:vAlign w:val="bottom"/>
            <w:gridSpan w:val="2"/>
          </w:tcPr>
          <w:p>
            <w:pPr>
              <w:ind w:left="640"/>
              <w:spacing w:after="0"/>
              <w:rPr>
                <w:sz w:val="20"/>
                <w:szCs w:val="20"/>
                <w:color w:val="auto"/>
              </w:rPr>
            </w:pPr>
            <w:r>
              <w:rPr>
                <w:rFonts w:ascii="Arial" w:cs="Arial" w:eastAsia="Arial" w:hAnsi="Arial"/>
                <w:sz w:val="18"/>
                <w:szCs w:val="18"/>
                <w:color w:val="auto"/>
              </w:rPr>
              <w:t>The maturities of the Company’s operating lease liabilities are as follows:</w:t>
            </w: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vMerge w:val="restart"/>
          </w:tcPr>
          <w:p>
            <w:pPr>
              <w:jc w:val="center"/>
              <w:ind w:right="5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92"/>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08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
        </w:trPr>
        <w:tc>
          <w:tcPr>
            <w:tcW w:w="2240" w:type="dxa"/>
            <w:vAlign w:val="bottom"/>
            <w:shd w:val="clear" w:color="auto" w:fill="000000"/>
          </w:tcPr>
          <w:p>
            <w:pPr>
              <w:spacing w:after="0"/>
              <w:rPr>
                <w:sz w:val="2"/>
                <w:szCs w:val="2"/>
                <w:color w:val="auto"/>
              </w:rPr>
            </w:pPr>
          </w:p>
        </w:tc>
        <w:tc>
          <w:tcPr>
            <w:tcW w:w="4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2022 (remaining nine months)</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2023</w:t>
            </w:r>
          </w:p>
        </w:tc>
        <w:tc>
          <w:tcPr>
            <w:tcW w:w="4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48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2025</w:t>
            </w:r>
          </w:p>
        </w:tc>
        <w:tc>
          <w:tcPr>
            <w:tcW w:w="4840" w:type="dxa"/>
            <w:vAlign w:val="bottom"/>
            <w:tcBorders>
              <w:bottom w:val="single" w:sz="8" w:color="CFF0FC"/>
            </w:tcBorders>
          </w:tcPr>
          <w:p>
            <w:pPr>
              <w:spacing w:after="0"/>
              <w:rPr>
                <w:sz w:val="18"/>
                <w:szCs w:val="18"/>
                <w:color w:val="auto"/>
              </w:rPr>
            </w:pPr>
          </w:p>
        </w:tc>
        <w:tc>
          <w:tcPr>
            <w:tcW w:w="14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lease payments</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Less: imputed interest</w:t>
            </w:r>
          </w:p>
        </w:tc>
        <w:tc>
          <w:tcPr>
            <w:tcW w:w="14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Present value of lease liabilities</w:t>
            </w:r>
          </w:p>
        </w:tc>
        <w:tc>
          <w:tcPr>
            <w:tcW w:w="14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6"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If the Company is able to secure additional lender commitments and satisfy certain other conditions, the aggregate facility commitments can be increased by up to $100 million through an accordion option. The Company also enters into letters of credit from time to time, which reduces its borrowing capacity under the Revolving Credit Facility.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6" w:name="page17"/>
    <w:bookmarkEnd w:id="16"/>
    <w:p>
      <w:pPr>
        <w:jc w:val="both"/>
        <w:ind w:firstLine="644"/>
        <w:spacing w:after="0" w:line="239"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$7 million has been issued under the Revolving Credit Facility in conjunction with the lease of the Company’s headquarters in San Francisco, California. As of March 31, 2022, the Company had not made any borrowings under the Revolving Credit Facility and it was in compliance with the related covenants. Fees incurred under the Revolving Credit Facility were insignificant for the three months ended March 31, 2022 and 2021.</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56" w:lineRule="exact"/>
        <w:rPr>
          <w:sz w:val="20"/>
          <w:szCs w:val="20"/>
          <w:color w:val="auto"/>
        </w:rPr>
      </w:pPr>
    </w:p>
    <w:p>
      <w:pPr>
        <w:jc w:val="both"/>
        <w:ind w:firstLine="637"/>
        <w:spacing w:after="0" w:line="253" w:lineRule="auto"/>
        <w:rPr>
          <w:sz w:val="20"/>
          <w:szCs w:val="20"/>
          <w:color w:val="auto"/>
        </w:rPr>
      </w:pPr>
      <w:r>
        <w:rPr>
          <w:rFonts w:ascii="Arial" w:cs="Arial" w:eastAsia="Arial" w:hAnsi="Arial"/>
          <w:sz w:val="18"/>
          <w:szCs w:val="18"/>
          <w:color w:val="auto"/>
        </w:rPr>
        <w:t>Effective September 1, 2019, the Company entered into an amendment to a colocation and cloud services arrangement committing the Company to make payments of $120 million for services over 3 years. As of March 31, 2022, the remaining commitment under this amended agreement was approximately $7 million and is payable within the current year.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6" w:lineRule="exact"/>
        <w:rPr>
          <w:sz w:val="20"/>
          <w:szCs w:val="20"/>
          <w:color w:val="auto"/>
        </w:rPr>
      </w:pPr>
    </w:p>
    <w:p>
      <w:pPr>
        <w:jc w:val="both"/>
        <w:ind w:firstLine="637"/>
        <w:spacing w:after="0" w:line="242"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The Company believes these lawsuits are without merit and it intends to vigorously defend them. Based on the preliminary nature of the proceedings in these cases, the outcome of these matters remains uncertain.</w:t>
      </w:r>
    </w:p>
    <w:p>
      <w:pPr>
        <w:spacing w:after="0" w:line="125" w:lineRule="exact"/>
        <w:rPr>
          <w:sz w:val="20"/>
          <w:szCs w:val="20"/>
          <w:color w:val="auto"/>
        </w:rPr>
      </w:pPr>
    </w:p>
    <w:p>
      <w:pPr>
        <w:jc w:val="both"/>
        <w:ind w:firstLine="637"/>
        <w:spacing w:after="0" w:line="242"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w:t>
      </w:r>
    </w:p>
    <w:p>
      <w:pPr>
        <w:spacing w:after="0" w:line="12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In November 2021, a shareholder derivative action purportedly brought on behalf of the Company, Aviv v. Szulczewski, was filed in the U.S. District Court for the Northern District of California alleging that the Company’s directors breached their fiduciary duties and caused the Company to make misstatements relating to a leased property that allegedly was used for commercial purposes in violation of zoning ordinances. Plaintiff asserts claims for breach of fiduciary duties, unjust enrichment, and violations of Section 14(a) of the Exchange Act, and is seeking monetary damages and restitution. Given that this, and the above described matters, are in the early stages of the litigation process, the Company is unable to estimate the range of potential loss, if any, but the litigation could subject the Company to substantial costs, divert resources and the attention of management from our business, and harm the Company’s business and financial results.</w:t>
      </w:r>
    </w:p>
    <w:p>
      <w:pPr>
        <w:spacing w:after="0" w:line="131" w:lineRule="exact"/>
        <w:rPr>
          <w:sz w:val="20"/>
          <w:szCs w:val="20"/>
          <w:color w:val="auto"/>
        </w:rPr>
      </w:pPr>
    </w:p>
    <w:p>
      <w:pPr>
        <w:jc w:val="both"/>
        <w:ind w:firstLine="637"/>
        <w:spacing w:after="0" w:line="239" w:lineRule="auto"/>
        <w:rPr>
          <w:sz w:val="20"/>
          <w:szCs w:val="20"/>
          <w:color w:val="auto"/>
        </w:rPr>
      </w:pPr>
      <w:r>
        <w:rPr>
          <w:rFonts w:ascii="Arial" w:cs="Arial" w:eastAsia="Arial" w:hAnsi="Arial"/>
          <w:sz w:val="18"/>
          <w:szCs w:val="18"/>
          <w:color w:val="auto"/>
        </w:rPr>
        <w:t>In November 2021, France’s Directorate General for Competition, Consumer Affairs and Repression of Fraud (“DGCCRF”) issued an injunction delisting the Wish “App” from Google Play and the Apple App Store, and blocking Wish from appearing in Google, Bing and Qwant search results on the premise that unsafe products or products of poor quality are available for purchase on Wish. The injunction could expose Wish to civil and criminal penalties. The Company has taken immediate measures to challenge the injunction, and to suspend and lift it. In December 2021, the French Administrative Court upheld the injunction, but in so doing noted that the injunction is not permanent and encouraged the Company and DGCCRF to engage with one another directly to develop a timeline and/or plan for the lifting of the injunction. While that decision is the subject of appeals currently pending in French Court, the Company has been in direct contact with DGCCRF as well. In addition to the appeal, the Company has filed other administrative challenges to the injunction and the agency’s interpretation enforcement thereof.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7" w:name="page18"/>
    <w:bookmarkEnd w:id="17"/>
    <w:p>
      <w:pPr>
        <w:jc w:val="both"/>
        <w:ind w:firstLine="644"/>
        <w:spacing w:after="0"/>
        <w:rPr>
          <w:sz w:val="20"/>
          <w:szCs w:val="20"/>
          <w:color w:val="auto"/>
        </w:rPr>
      </w:pPr>
      <w:r>
        <w:rPr>
          <w:rFonts w:ascii="Arial" w:cs="Arial" w:eastAsia="Arial" w:hAnsi="Arial"/>
          <w:sz w:val="18"/>
          <w:szCs w:val="18"/>
          <w:color w:val="auto"/>
        </w:rPr>
        <w:t>In December 2021, the Company became aware that authorities in France charged Wish with legal violations relating to the Company’s former practice and use of strikethrough pricing in France, the Company’s previous failure to translate into French listings and product details on the Company’s app and website, and the Company’s anti-counterfeiting policies and practices. The Company disputes the charges and is preparing to defend itself at a hearing scheduled for June 2022. Any adverse outcome could result in payment of substantial fines, payments to allegedly impacted consumer groups, harm to the Company’s reputation, loss of rights, or adverse changes to the Company’s offerings or business practices in France. Any of these results could adversely affect the Company’s business. In addition, defending claims may be costly and may impose a significant burden on the Company’s management.</w:t>
      </w:r>
    </w:p>
    <w:p>
      <w:pPr>
        <w:spacing w:after="0" w:line="131" w:lineRule="exact"/>
        <w:rPr>
          <w:sz w:val="20"/>
          <w:szCs w:val="20"/>
          <w:color w:val="auto"/>
        </w:rPr>
      </w:pPr>
    </w:p>
    <w:p>
      <w:pPr>
        <w:jc w:val="both"/>
        <w:ind w:firstLine="637"/>
        <w:spacing w:after="0" w:line="244" w:lineRule="auto"/>
        <w:rPr>
          <w:sz w:val="20"/>
          <w:szCs w:val="20"/>
          <w:color w:val="auto"/>
        </w:rPr>
      </w:pPr>
      <w:r>
        <w:rPr>
          <w:rFonts w:ascii="Arial" w:cs="Arial" w:eastAsia="Arial" w:hAnsi="Arial"/>
          <w:sz w:val="18"/>
          <w:szCs w:val="18"/>
          <w:color w:val="auto"/>
        </w:rPr>
        <w:t>As of March 31, 2022,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AWARD ACTIVITY AND STOCK-BASED COMPENSATION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Options Outstanding</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RSUs Outstanding</w:t>
            </w:r>
          </w:p>
        </w:tc>
      </w:tr>
      <w:tr>
        <w:trPr>
          <w:trHeight w:val="182"/>
        </w:trPr>
        <w:tc>
          <w:tcPr>
            <w:tcW w:w="44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Weighted-</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Remaining</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Average</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Contractual</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220" w:type="dxa"/>
            <w:vAlign w:val="bottom"/>
          </w:tcPr>
          <w:p>
            <w:pPr>
              <w:jc w:val="center"/>
              <w:ind w:left="182"/>
              <w:spacing w:after="0"/>
              <w:rPr>
                <w:sz w:val="20"/>
                <w:szCs w:val="20"/>
                <w:color w:val="auto"/>
              </w:rPr>
            </w:pPr>
            <w:r>
              <w:rPr>
                <w:rFonts w:ascii="Arial" w:cs="Arial" w:eastAsia="Arial" w:hAnsi="Arial"/>
                <w:sz w:val="16"/>
                <w:szCs w:val="16"/>
                <w:b w:val="1"/>
                <w:bCs w:val="1"/>
                <w:color w:val="auto"/>
                <w:w w:val="99"/>
              </w:rPr>
              <w:t>Number of</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Exercise</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Term (In</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Number of</w:t>
            </w:r>
          </w:p>
        </w:tc>
      </w:tr>
      <w:tr>
        <w:trPr>
          <w:trHeight w:val="203"/>
        </w:trPr>
        <w:tc>
          <w:tcPr>
            <w:tcW w:w="4480" w:type="dxa"/>
            <w:vAlign w:val="bottom"/>
          </w:tcPr>
          <w:p>
            <w:pPr>
              <w:spacing w:after="0"/>
              <w:rPr>
                <w:sz w:val="17"/>
                <w:szCs w:val="17"/>
                <w:color w:val="auto"/>
              </w:rPr>
            </w:pPr>
          </w:p>
        </w:tc>
        <w:tc>
          <w:tcPr>
            <w:tcW w:w="1220" w:type="dxa"/>
            <w:vAlign w:val="bottom"/>
            <w:tcBorders>
              <w:bottom w:val="single" w:sz="8" w:color="auto"/>
            </w:tcBorders>
          </w:tcPr>
          <w:p>
            <w:pPr>
              <w:jc w:val="center"/>
              <w:ind w:left="182"/>
              <w:spacing w:after="0"/>
              <w:rPr>
                <w:sz w:val="20"/>
                <w:szCs w:val="20"/>
                <w:color w:val="auto"/>
              </w:rPr>
            </w:pPr>
            <w:r>
              <w:rPr>
                <w:rFonts w:ascii="Arial" w:cs="Arial" w:eastAsia="Arial" w:hAnsi="Arial"/>
                <w:sz w:val="16"/>
                <w:szCs w:val="16"/>
                <w:b w:val="1"/>
                <w:bCs w:val="1"/>
                <w:color w:val="auto"/>
                <w:w w:val="99"/>
              </w:rPr>
              <w:t>Options</w:t>
            </w: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24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Years)</w:t>
            </w:r>
          </w:p>
        </w:tc>
        <w:tc>
          <w:tcPr>
            <w:tcW w:w="24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17"/>
                <w:szCs w:val="17"/>
                <w:color w:val="auto"/>
              </w:rPr>
            </w:pPr>
          </w:p>
        </w:tc>
      </w:tr>
      <w:tr>
        <w:trPr>
          <w:trHeight w:val="196"/>
        </w:trPr>
        <w:tc>
          <w:tcPr>
            <w:tcW w:w="4480" w:type="dxa"/>
            <w:vAlign w:val="bottom"/>
          </w:tcPr>
          <w:p>
            <w:pPr>
              <w:spacing w:after="0"/>
              <w:rPr>
                <w:sz w:val="17"/>
                <w:szCs w:val="17"/>
                <w:color w:val="auto"/>
              </w:rPr>
            </w:pPr>
          </w:p>
        </w:tc>
        <w:tc>
          <w:tcPr>
            <w:tcW w:w="1220" w:type="dxa"/>
            <w:vAlign w:val="bottom"/>
          </w:tcPr>
          <w:p>
            <w:pPr>
              <w:jc w:val="center"/>
              <w:ind w:left="182"/>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570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Balances at December 31, 2021</w:t>
            </w:r>
            <w:r>
              <w:rPr>
                <w:rFonts w:ascii="Arial" w:cs="Arial" w:eastAsia="Arial" w:hAnsi="Arial"/>
                <w:sz w:val="23"/>
                <w:szCs w:val="23"/>
                <w:color w:val="auto"/>
                <w:vertAlign w:val="superscript"/>
              </w:rPr>
              <w:t>(1)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0.254</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2.860</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r>
      <w:tr>
        <w:trPr>
          <w:trHeight w:val="203"/>
        </w:trPr>
        <w:tc>
          <w:tcPr>
            <w:tcW w:w="5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Vested</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03"/>
        </w:trPr>
        <w:tc>
          <w:tcPr>
            <w:tcW w:w="5700" w:type="dxa"/>
            <w:vAlign w:val="bottom"/>
            <w:gridSpan w:val="2"/>
          </w:tcPr>
          <w:p>
            <w:pPr>
              <w:spacing w:after="0"/>
              <w:rPr>
                <w:sz w:val="20"/>
                <w:szCs w:val="20"/>
                <w:color w:val="auto"/>
              </w:rPr>
            </w:pPr>
            <w:r>
              <w:rPr>
                <w:rFonts w:ascii="Arial" w:cs="Arial" w:eastAsia="Arial" w:hAnsi="Arial"/>
                <w:sz w:val="16"/>
                <w:szCs w:val="16"/>
                <w:color w:val="auto"/>
              </w:rPr>
              <w:t>Exercised</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0.138</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2"/>
        </w:trPr>
        <w:tc>
          <w:tcPr>
            <w:tcW w:w="5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Forfeited or cancelled</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w:t>
            </w:r>
          </w:p>
        </w:tc>
      </w:tr>
      <w:tr>
        <w:trPr>
          <w:trHeight w:val="196"/>
        </w:trPr>
        <w:tc>
          <w:tcPr>
            <w:tcW w:w="4480" w:type="dxa"/>
            <w:vAlign w:val="bottom"/>
          </w:tcPr>
          <w:p>
            <w:pPr>
              <w:spacing w:after="0"/>
              <w:rPr>
                <w:sz w:val="20"/>
                <w:szCs w:val="20"/>
                <w:color w:val="auto"/>
              </w:rPr>
            </w:pPr>
            <w:r>
              <w:rPr>
                <w:rFonts w:ascii="Arial" w:cs="Arial" w:eastAsia="Arial" w:hAnsi="Arial"/>
                <w:sz w:val="16"/>
                <w:szCs w:val="16"/>
                <w:color w:val="auto"/>
              </w:rPr>
              <w:t>Balances at March 31, 2022</w:t>
            </w:r>
          </w:p>
        </w:tc>
        <w:tc>
          <w:tcPr>
            <w:tcW w:w="12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0.593</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Outstanding restricted stock units (“RSUs”) as of December 31, 2021 include 11 million performance stock units (“PSUs”), which were cancelled in February 2022.</w:t>
      </w:r>
    </w:p>
    <w:p>
      <w:pPr>
        <w:spacing w:after="0" w:line="275" w:lineRule="exact"/>
        <w:rPr>
          <w:sz w:val="20"/>
          <w:szCs w:val="20"/>
          <w:color w:val="auto"/>
        </w:rPr>
      </w:pPr>
    </w:p>
    <w:p>
      <w:pPr>
        <w:jc w:val="both"/>
        <w:ind w:firstLine="637"/>
        <w:spacing w:after="0" w:line="253" w:lineRule="auto"/>
        <w:rPr>
          <w:sz w:val="20"/>
          <w:szCs w:val="20"/>
          <w:color w:val="auto"/>
        </w:rPr>
      </w:pPr>
      <w:r>
        <w:rPr>
          <w:rFonts w:ascii="Arial" w:cs="Arial" w:eastAsia="Arial" w:hAnsi="Arial"/>
          <w:sz w:val="18"/>
          <w:szCs w:val="18"/>
          <w:color w:val="auto"/>
        </w:rPr>
        <w:t>The weighted-average grant date fair value of RSUs granted during the three months ended March 31, 2022 and 2021 was $1.86 and $22.01 per share, respectively. As of March 31, 2022, 13 million shares remained available for grant under the Company’s equity incentive plans.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56"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On January 31, 2022, Piotr Szulczewski stepped down from his position as CEO of the Company. Due to his resignation prior to the second anniversary of the Company’s IPO, Mr. Szulcewski is no longer eligible to vest in his PSUs, and as such, the PSUs were canceled. Consequently, the Company reversed $21 million of previously recognized stock-based compensation expense related to these PSUs in the first quarter of 2022.</w:t>
      </w:r>
    </w:p>
    <w:p>
      <w:pPr>
        <w:spacing w:after="0" w:line="120"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February 2022, Jacqueline Reses resigned from her position as Executive Chair. Upon her resignation, Ms. Reses entered into a consulting agreement with the Company and her PSU award was modified to eliminate the market condition, with only continued service until the expiration of the consulting agreement being the sole vesting condition. Consequently, the Company reversed $3 million of previously recognized stock-based compensation expense upon modification and will recognize the modified fair value of approximately $2 million from the modification date to the expiration date of the consulting agreement, which is May 16, 2023.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2022 Inducement Plan</w:t>
      </w:r>
    </w:p>
    <w:p>
      <w:pPr>
        <w:spacing w:after="0" w:line="156"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January 2022, the Company’s Board of Directors adopted and approved the 2022 Inducement Plan (“2022 Plan). The Company intends that the 2022 Plan be reserved for persons to whom the Company may issue securities without stockholder approval as an inducement of employment pursuant to Rule 5635(c)(4) of the Marketplace Rules of the Nasdaq Stock Market, LLC. The 2022 Plan provides for the award of options, stock appreciation rights, restricted shares, and RSUs of the Company’s Class A common stock to the Company’s employees. Stock-based awards under the 2022 Plan that expire or are forfeited, cancelled, or repurchased generally are returned to the pool of shares of Class A common stock available for issuance under the 2022 Plan. The aggregate number of shares reserved for issuance under this plan shall not exceed the sum of 12 million shares plus additional common shares returned to the pool of shares available for issuance. As of March 31, 2022, 1 million shares under the 2022 Plan remained available for grant.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In January 2022, the Company entered into an employment agreement with Vijay Talwar, as the Company’s new CEO, with employment commencing on February 1, 2022. As an inducement of employment, Mr. Talwar was granted, i) 5 million RSUs with an aggregate grant date fair value of $13 million and ii) options to purchase 6 million shares of the Company’s Class A common stock at an exercise price of $ 2.86 per share with an aggregate grant date fair value of $12 million. These RSUs and options were granted under the 2022 Plan and will become vested and exercisable, respectively, in periodic installments over a 4-year term, subject to the CEO’s continued employment with the Company. The option award has a term of 10 years.</w:t>
      </w:r>
    </w:p>
    <w:p>
      <w:pPr>
        <w:spacing w:after="0" w:line="12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fair value of options was estimated using the Black-Scholes option pricing model which takes into account inputs such as the exercise price, the value of the underlying shares as of the grant date, expected term, expected volatility, risk free interest rate, and dividend yield. The fair value of the options was determined using the methods and assumptions discussed below:</w:t>
      </w:r>
    </w:p>
    <w:p>
      <w:pPr>
        <w:spacing w:after="0" w:line="61" w:lineRule="exact"/>
        <w:rPr>
          <w:sz w:val="20"/>
          <w:szCs w:val="20"/>
          <w:color w:val="auto"/>
        </w:rPr>
      </w:pPr>
    </w:p>
    <w:p>
      <w:pPr>
        <w:jc w:val="both"/>
        <w:ind w:left="740" w:hanging="368"/>
        <w:spacing w:after="0" w:line="253"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8"/>
          <w:szCs w:val="18"/>
          <w:color w:val="auto"/>
        </w:rPr>
        <w:t>The expected term of the options was determined using the “simplified” method as prescribed in the SEC’s Staff Accounting Bulletin No. 107, whereby the expected life equals the arithmetic average of the vesting term and the original contractual term of the option due to the Company’s lack of sufficient historical data.</w:t>
      </w:r>
    </w:p>
    <w:p>
      <w:pPr>
        <w:spacing w:after="0" w:line="60" w:lineRule="exact"/>
        <w:rPr>
          <w:rFonts w:ascii="Times New Roman" w:cs="Times New Roman" w:eastAsia="Times New Roman" w:hAnsi="Times New Roman"/>
          <w:sz w:val="16"/>
          <w:szCs w:val="16"/>
          <w:color w:val="auto"/>
        </w:rPr>
      </w:pPr>
    </w:p>
    <w:p>
      <w:pPr>
        <w:ind w:left="740" w:right="20" w:hanging="368"/>
        <w:spacing w:after="0" w:line="271"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8"/>
          <w:szCs w:val="18"/>
          <w:color w:val="auto"/>
        </w:rPr>
        <w:t>The risk-free interest rate was based on the interest rate payable on the U.S. Treasury securities in effect at the time of grant for a period that is commensurate with the assumed expected term.</w:t>
      </w:r>
    </w:p>
    <w:p>
      <w:pPr>
        <w:spacing w:after="0" w:line="45" w:lineRule="exact"/>
        <w:rPr>
          <w:rFonts w:ascii="Times New Roman" w:cs="Times New Roman" w:eastAsia="Times New Roman" w:hAnsi="Times New Roman"/>
          <w:sz w:val="16"/>
          <w:szCs w:val="16"/>
          <w:color w:val="auto"/>
        </w:rPr>
      </w:pPr>
    </w:p>
    <w:p>
      <w:pPr>
        <w:jc w:val="both"/>
        <w:ind w:left="740" w:right="20" w:hanging="368"/>
        <w:spacing w:after="0" w:line="253"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8"/>
          <w:szCs w:val="18"/>
          <w:color w:val="auto"/>
        </w:rPr>
        <w:t>The expected volatility was based on the historical volatility of the publicly traded common stock of peer group companies blended with the limited historical volatility of the Company’s own common stock weighted to reflect the short trading period of the Company’s stock since its IPO in December 2020.</w:t>
      </w:r>
    </w:p>
    <w:p>
      <w:pPr>
        <w:spacing w:after="0" w:line="60" w:lineRule="exact"/>
        <w:rPr>
          <w:rFonts w:ascii="Times New Roman" w:cs="Times New Roman" w:eastAsia="Times New Roman" w:hAnsi="Times New Roman"/>
          <w:sz w:val="16"/>
          <w:szCs w:val="16"/>
          <w:color w:val="auto"/>
        </w:rPr>
      </w:pPr>
    </w:p>
    <w:p>
      <w:pPr>
        <w:ind w:left="740" w:hanging="368"/>
        <w:spacing w:after="0" w:line="271"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8"/>
          <w:szCs w:val="18"/>
          <w:color w:val="auto"/>
        </w:rPr>
        <w:t>The expected dividend yield was zero because the Company has not historically paid and does not expect to pay a dividend on its ordinary shares in the foreseeable future.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assumptions used in the Black-Scholes option pricing model to determine the fair value of the options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76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Black-Scholes</w:t>
            </w:r>
          </w:p>
        </w:tc>
      </w:tr>
      <w:tr>
        <w:trPr>
          <w:trHeight w:val="221"/>
        </w:trPr>
        <w:tc>
          <w:tcPr>
            <w:tcW w:w="39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76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Assumptions</w:t>
            </w:r>
          </w:p>
        </w:tc>
      </w:tr>
      <w:tr>
        <w:trPr>
          <w:trHeight w:val="209"/>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3520" w:type="dxa"/>
            <w:vAlign w:val="bottom"/>
            <w:tcBorders>
              <w:top w:val="single" w:sz="8" w:color="CFF0FC"/>
            </w:tcBorders>
            <w:shd w:val="clear" w:color="auto" w:fill="CFF0FC"/>
          </w:tcPr>
          <w:p>
            <w:pPr>
              <w:spacing w:after="0"/>
              <w:rPr>
                <w:sz w:val="18"/>
                <w:szCs w:val="18"/>
                <w:color w:val="auto"/>
              </w:rPr>
            </w:pPr>
          </w:p>
        </w:tc>
        <w:tc>
          <w:tcPr>
            <w:tcW w:w="3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1.70%</w:t>
            </w:r>
          </w:p>
        </w:tc>
      </w:t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72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73.20%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Dividend yield</w:t>
            </w:r>
          </w:p>
        </w:tc>
        <w:tc>
          <w:tcPr>
            <w:tcW w:w="3520" w:type="dxa"/>
            <w:vAlign w:val="bottom"/>
          </w:tcPr>
          <w:p>
            <w:pPr>
              <w:spacing w:after="0"/>
              <w:rPr>
                <w:sz w:val="18"/>
                <w:szCs w:val="18"/>
                <w:color w:val="auto"/>
              </w:rPr>
            </w:pPr>
          </w:p>
        </w:tc>
        <w:tc>
          <w:tcPr>
            <w:tcW w:w="3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 per share</w:t>
            </w:r>
          </w:p>
        </w:tc>
        <w:tc>
          <w:tcPr>
            <w:tcW w:w="7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FF0FC"/>
          </w:tcPr>
          <w:p>
            <w:pPr>
              <w:spacing w:after="0"/>
              <w:rPr>
                <w:sz w:val="18"/>
                <w:szCs w:val="18"/>
                <w:color w:val="auto"/>
              </w:rPr>
            </w:pPr>
          </w:p>
        </w:tc>
      </w:tr>
      <w:tr>
        <w:trPr>
          <w:trHeight w:val="652"/>
        </w:trPr>
        <w:tc>
          <w:tcPr>
            <w:tcW w:w="3960" w:type="dxa"/>
            <w:vAlign w:val="bottom"/>
          </w:tcPr>
          <w:p>
            <w:pPr>
              <w:spacing w:after="0"/>
              <w:rPr>
                <w:sz w:val="24"/>
                <w:szCs w:val="24"/>
                <w:color w:val="auto"/>
              </w:rPr>
            </w:pPr>
          </w:p>
        </w:tc>
        <w:tc>
          <w:tcPr>
            <w:tcW w:w="3520" w:type="dxa"/>
            <w:vAlign w:val="bottom"/>
          </w:tcPr>
          <w:p>
            <w:pPr>
              <w:jc w:val="right"/>
              <w:ind w:right="1670"/>
              <w:spacing w:after="0"/>
              <w:rPr>
                <w:sz w:val="20"/>
                <w:szCs w:val="20"/>
                <w:color w:val="auto"/>
              </w:rPr>
            </w:pPr>
            <w:r>
              <w:rPr>
                <w:rFonts w:ascii="Arial" w:cs="Arial" w:eastAsia="Arial" w:hAnsi="Arial"/>
                <w:sz w:val="18"/>
                <w:szCs w:val="18"/>
                <w:color w:val="auto"/>
              </w:rPr>
              <w:t>16</w:t>
            </w: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98"/>
        </w:trPr>
        <w:tc>
          <w:tcPr>
            <w:tcW w:w="396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30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9"/>
              </w:rPr>
              <w:t>Three Months Ended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77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right="63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700" w:type="dxa"/>
            <w:vAlign w:val="bottom"/>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gridSpan w:val="3"/>
          </w:tcPr>
          <w:p>
            <w:pPr>
              <w:jc w:val="center"/>
              <w:ind w:right="63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10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60" w:type="dxa"/>
            <w:vAlign w:val="bottom"/>
            <w:gridSpan w:val="2"/>
            <w:shd w:val="clear" w:color="auto" w:fill="CFF0FC"/>
          </w:tcPr>
          <w:p>
            <w:pPr>
              <w:jc w:val="right"/>
              <w:ind w:right="9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60"/>
              <w:spacing w:after="0" w:line="210" w:lineRule="exact"/>
              <w:rPr>
                <w:sz w:val="20"/>
                <w:szCs w:val="20"/>
                <w:color w:val="auto"/>
              </w:rPr>
            </w:pPr>
            <w:r>
              <w:rPr>
                <w:rFonts w:ascii="Arial" w:cs="Arial" w:eastAsia="Arial" w:hAnsi="Arial"/>
                <w:sz w:val="16"/>
                <w:szCs w:val="16"/>
                <w:color w:val="auto"/>
              </w:rPr>
              <w:t>Total stock-based compensation</w:t>
            </w:r>
            <w:r>
              <w:rPr>
                <w:rFonts w:ascii="Arial" w:cs="Arial" w:eastAsia="Arial" w:hAnsi="Arial"/>
                <w:sz w:val="24"/>
                <w:szCs w:val="24"/>
                <w:color w:val="auto"/>
                <w:vertAlign w:val="superscript"/>
              </w:rPr>
              <w:t>(1)</w:t>
            </w: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jc w:val="both"/>
        <w:ind w:left="740" w:hanging="368"/>
        <w:spacing w:after="0" w:line="256" w:lineRule="auto"/>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stock-based compensation for the three months ended March 31, 2022 decreased by $39 million compared to the three months ended March 31, 2021 primarily due to forfeitures originating from the resignation of the Company’s former CEO, reductions to the Company’s workforce as part of the Company’s February 2022 Restructuring Plan, and modifications to the Company’s former Executive Chair’s equity awards.</w:t>
      </w:r>
    </w:p>
    <w:p>
      <w:pPr>
        <w:spacing w:after="0" w:line="114"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8"/>
          <w:szCs w:val="18"/>
          <w:color w:val="auto"/>
        </w:rPr>
        <w:t>The Company will recognize the remaining $12 million and $300 million of unrecognized stock-based compensation expense over a weighted-average period of approximately 3.9 years and 2.8 years related to options and RSUs,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spacing w:after="0" w:line="11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The provision for income taxes was insignificant and $2 million for the three months ended March 31, 2022 and 2021, respectively. The year-over-year decrease in provision for income taxes was primarily related to a decrease in pre-tax earnings of the Company’s international operations. The Company continues to maintain a valuation allowance on its domestic net deferred tax assets which is excluded from the annual effective tax rate estimate.</w:t>
      </w:r>
    </w:p>
    <w:p>
      <w:pPr>
        <w:spacing w:after="0" w:line="12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The Company had $1 million of unrecognized tax benefits as of March 31, 2022 and December 31, 2021. These unrecognized tax benefits, if recognized, would affect the effective tax rate. The interest and penalties associated with the unrecognized tax benefits for the three months ended March 31, 2022 and 2021 were immaterial.</w:t>
      </w:r>
    </w:p>
    <w:p>
      <w:pPr>
        <w:spacing w:after="0" w:line="115"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NET LOSS PER SHARE</w:t>
      </w:r>
    </w:p>
    <w:p>
      <w:pPr>
        <w:spacing w:after="0" w:line="158"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The Company computes net loss per share attributable to common stockholders using the two-class method required for multiple classes of common stock and participating securities. The rights, including the liquidation and dividend rights, of the holders of Class A and Class B common stock are identical, except with respect to voting. As the liquidation and dividend rights are identical, the Company’s undistributed earnings or losses are allocated on a proportionate basis among the holders of both Class A and Class B common stock. As a result, the net income (loss) per share attributed to common stockholders will, therefore, be the same for both Class A and Class B common stock on an individual or combined basis.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25"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760" w:type="dxa"/>
            <w:vAlign w:val="bottom"/>
          </w:tcPr>
          <w:p>
            <w:pPr>
              <w:spacing w:after="0"/>
              <w:rPr>
                <w:sz w:val="17"/>
                <w:szCs w:val="17"/>
                <w:color w:val="auto"/>
              </w:rPr>
            </w:pPr>
          </w:p>
        </w:tc>
        <w:tc>
          <w:tcPr>
            <w:tcW w:w="29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(in millions, except per share data)</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4"/>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56"/>
        </w:trPr>
        <w:tc>
          <w:tcPr>
            <w:tcW w:w="77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2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197"/>
        </w:trPr>
        <w:tc>
          <w:tcPr>
            <w:tcW w:w="77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04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56"/>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10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040" w:type="dxa"/>
            <w:vAlign w:val="bottom"/>
            <w:shd w:val="clear" w:color="auto" w:fill="CFF0FC"/>
          </w:tcPr>
          <w:p>
            <w:pPr>
              <w:jc w:val="right"/>
              <w:ind w:right="85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(0.09)</w:t>
            </w:r>
          </w:p>
        </w:tc>
        <w:tc>
          <w:tcPr>
            <w:tcW w:w="120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(0.21)</w:t>
            </w: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7"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81"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As of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r>
      <w:tr>
        <w:trPr>
          <w:trHeight w:val="202"/>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4"/>
        </w:trPr>
        <w:tc>
          <w:tcPr>
            <w:tcW w:w="8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 to purchase common stock</w:t>
            </w:r>
          </w:p>
        </w:tc>
        <w:tc>
          <w:tcPr>
            <w:tcW w:w="1120" w:type="dxa"/>
            <w:vAlign w:val="bottom"/>
            <w:gridSpan w:val="3"/>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Common stock options outstanding</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r>
      <w:tr>
        <w:trPr>
          <w:trHeight w:val="216"/>
        </w:trPr>
        <w:tc>
          <w:tcPr>
            <w:tcW w:w="8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restricted stock units outstanding</w:t>
            </w:r>
            <w:r>
              <w:rPr>
                <w:rFonts w:ascii="Arial" w:cs="Arial" w:eastAsia="Arial" w:hAnsi="Arial"/>
                <w:sz w:val="15"/>
                <w:szCs w:val="15"/>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r>
      <w:tr>
        <w:trPr>
          <w:trHeight w:val="210"/>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39"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Unvested RSUs outstanding as of March 31, 2021 included 10 million PSUs, which were cancelled in February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GEOGRAPHICAL INFORMATION</w:t>
      </w:r>
    </w:p>
    <w:p>
      <w:pPr>
        <w:spacing w:after="0" w:line="158"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The Company believes it is relevant to disclose geographical revenue information on both a demand basis, determined by the ship-to address of the user, and on a supply basis, determined by the location of the merchants’ operations.</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by geographic area based on the ship-to address of the user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7"/>
          </w:tcPr>
          <w:p>
            <w:pPr>
              <w:jc w:val="right"/>
              <w:ind w:right="1140"/>
              <w:spacing w:after="0"/>
              <w:rPr>
                <w:sz w:val="20"/>
                <w:szCs w:val="20"/>
                <w:color w:val="auto"/>
              </w:rPr>
            </w:pPr>
            <w:r>
              <w:rPr>
                <w:rFonts w:ascii="Arial" w:cs="Arial" w:eastAsia="Arial" w:hAnsi="Arial"/>
                <w:sz w:val="18"/>
                <w:szCs w:val="18"/>
                <w:b w:val="1"/>
                <w:bCs w:val="1"/>
                <w:color w:val="auto"/>
              </w:rPr>
              <w:t>Three Months Ended March 31,</w:t>
            </w:r>
          </w:p>
        </w:tc>
        <w:tc>
          <w:tcPr>
            <w:tcW w:w="8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North America</w:t>
            </w:r>
            <w:r>
              <w:rPr>
                <w:rFonts w:ascii="Arial" w:cs="Arial" w:eastAsia="Arial" w:hAnsi="Arial"/>
                <w:sz w:val="15"/>
                <w:szCs w:val="15"/>
                <w:color w:val="auto"/>
              </w:rPr>
              <w:t>(1)</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South America</w:t>
            </w:r>
          </w:p>
        </w:tc>
        <w:tc>
          <w:tcPr>
            <w:tcW w:w="7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Core marketplace revenue</w:t>
            </w:r>
            <w:r>
              <w:rPr>
                <w:rFonts w:ascii="Arial" w:cs="Arial" w:eastAsia="Arial" w:hAnsi="Arial"/>
                <w:sz w:val="15"/>
                <w:szCs w:val="15"/>
                <w:color w:val="auto"/>
              </w:rPr>
              <w:t>(2)</w:t>
            </w: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120" w:hanging="370"/>
        <w:spacing w:after="0"/>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United States accounted for $35 million and $156 million of core marketplace revenue for the three months ended March 31, 2022 and 2021, respectively.</w:t>
      </w:r>
    </w:p>
    <w:p>
      <w:pPr>
        <w:spacing w:after="0" w:line="396"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China accounted for substantially all of marketplace and logistics revenue during the three months ended March 31, 2022 and 2021 based on the location of the merchants’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1" w:name="page22"/>
    <w:bookmarkEnd w:id="21"/>
    <w:p>
      <w:pPr>
        <w:jc w:val="both"/>
        <w:ind w:firstLine="749"/>
        <w:spacing w:after="0" w:line="253" w:lineRule="auto"/>
        <w:rPr>
          <w:sz w:val="20"/>
          <w:szCs w:val="20"/>
          <w:color w:val="auto"/>
        </w:rPr>
      </w:pPr>
      <w:r>
        <w:rPr>
          <w:rFonts w:ascii="Arial" w:cs="Arial" w:eastAsia="Arial" w:hAnsi="Arial"/>
          <w:sz w:val="18"/>
          <w:szCs w:val="18"/>
          <w:color w:val="auto"/>
        </w:rPr>
        <w:t>The Company’s long-lived tangible assets, which consist of property and equipment, net and operating lease right-of-use assets, net, located in the United States were 85% of the total long-lived tangible assets as of March 31, 2022 and December 31, 2021. The long-lived tangible assets outside the United States were located in China, Canada and the Netherlands.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COSTS</w:t>
      </w:r>
    </w:p>
    <w:p>
      <w:pPr>
        <w:spacing w:after="0" w:line="212"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February 2022, the Company’s Board of Directors approved the February 2022 Restructuring Plan (“Restructuring Plan”) to refocus the Company’s operations to support sustainable long-term growth, better align resources, and improve operational efficiencies. The Restructuring Plan includes i) reducing the Company’s headcount by approximately 15% (or approximately 190 positions), ii) exiting various office leases, and iii) reducing and realigning vendor expenditures. The Company expects the Restructuring Plan to be substantially implemented by the end of fiscal year 2022.</w:t>
      </w:r>
    </w:p>
    <w:p>
      <w:pPr>
        <w:spacing w:after="0" w:line="244"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During the three months ended March 31, 2022, the Company recorded charges of approximately $3 million in severance and other personnel reductions costs for terminated employees and $4 million in impairments of lease assets and property and equipment. The Company anticipates that related severance payments will continue to occur into the second quarter of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98" w:lineRule="exact"/>
        <w:rPr>
          <w:sz w:val="20"/>
          <w:szCs w:val="20"/>
          <w:color w:val="auto"/>
        </w:rPr>
      </w:pPr>
    </w:p>
    <w:p>
      <w:pPr>
        <w:jc w:val="both"/>
        <w:ind w:right="20" w:firstLine="644"/>
        <w:spacing w:after="0" w:line="247" w:lineRule="auto"/>
        <w:rPr>
          <w:sz w:val="20"/>
          <w:szCs w:val="20"/>
          <w:color w:val="auto"/>
        </w:rPr>
      </w:pPr>
      <w:r>
        <w:rPr>
          <w:rFonts w:ascii="Arial" w:cs="Arial" w:eastAsia="Arial" w:hAnsi="Arial"/>
          <w:sz w:val="18"/>
          <w:szCs w:val="18"/>
          <w:color w:val="auto"/>
        </w:rPr>
        <w:t>In May 2022, the Company filed a Form S-8 to register an additional 15 million shares towards its 2022 Plan. The Company intends the additional shares to be used exclusively for grants of equity as an inducement to individuals who were not previously employees or directors of the Company. As of the filing date of this Quarterly Report on Form 10-Q, 16 million shares under the 2022 Plan remained available for grant.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w:t>
      </w:r>
    </w:p>
    <w:p>
      <w:pPr>
        <w:spacing w:after="0" w:line="12" w:lineRule="exact"/>
        <w:rPr>
          <w:sz w:val="20"/>
          <w:szCs w:val="20"/>
          <w:color w:val="auto"/>
        </w:rPr>
      </w:pPr>
    </w:p>
    <w:p>
      <w:pPr>
        <w:jc w:val="both"/>
        <w:ind w:firstLine="8"/>
        <w:spacing w:after="0" w:line="236" w:lineRule="auto"/>
        <w:tabs>
          <w:tab w:leader="none" w:pos="278"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2021 included in our Annual Report on Form 10-K for the year ended December 31, 2021 (the "2021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2021 Form 10-K, as updated and supplemented by our Quarterly Reports on Form 10-Q, including in Part 2, Item 1A, the Special Note Regarding Forward-Looking Statements in this Quarterly Report on Form 10-Q, and elsewhere in this Quarterly Report on Form 10-Q.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March 31, 2022</w:t>
      </w:r>
    </w:p>
    <w:p>
      <w:pPr>
        <w:spacing w:after="0" w:line="63" w:lineRule="exact"/>
        <w:rPr>
          <w:sz w:val="20"/>
          <w:szCs w:val="20"/>
          <w:color w:val="auto"/>
        </w:rPr>
      </w:pPr>
    </w:p>
    <w:p>
      <w:pPr>
        <w:ind w:left="1000" w:hanging="250"/>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Total revenue was $189 million.</w:t>
      </w:r>
    </w:p>
    <w:p>
      <w:pPr>
        <w:spacing w:after="0" w:line="75" w:lineRule="exact"/>
        <w:rPr>
          <w:rFonts w:ascii="Times New Roman" w:cs="Times New Roman" w:eastAsia="Times New Roman" w:hAnsi="Times New Roman"/>
          <w:sz w:val="18"/>
          <w:szCs w:val="18"/>
          <w:color w:val="auto"/>
        </w:rPr>
      </w:pPr>
    </w:p>
    <w:p>
      <w:pPr>
        <w:ind w:left="1000" w:hanging="250"/>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revenue and expenses were $251 million, including negative stock-based compensation expense of $2 million.</w:t>
      </w:r>
    </w:p>
    <w:p>
      <w:pPr>
        <w:spacing w:after="0" w:line="75" w:lineRule="exact"/>
        <w:rPr>
          <w:rFonts w:ascii="Times New Roman" w:cs="Times New Roman" w:eastAsia="Times New Roman" w:hAnsi="Times New Roman"/>
          <w:sz w:val="18"/>
          <w:szCs w:val="18"/>
          <w:color w:val="auto"/>
        </w:rPr>
      </w:pPr>
    </w:p>
    <w:p>
      <w:pPr>
        <w:ind w:left="1000" w:hanging="250"/>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Loss from operations was $62 million.</w:t>
      </w:r>
    </w:p>
    <w:p>
      <w:pPr>
        <w:spacing w:after="0" w:line="75" w:lineRule="exact"/>
        <w:rPr>
          <w:rFonts w:ascii="Times New Roman" w:cs="Times New Roman" w:eastAsia="Times New Roman" w:hAnsi="Times New Roman"/>
          <w:sz w:val="18"/>
          <w:szCs w:val="18"/>
          <w:color w:val="auto"/>
        </w:rPr>
      </w:pPr>
    </w:p>
    <w:p>
      <w:pPr>
        <w:ind w:left="1000" w:hanging="250"/>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$60 million.</w:t>
      </w:r>
    </w:p>
    <w:p>
      <w:pPr>
        <w:spacing w:after="0" w:line="75" w:lineRule="exact"/>
        <w:rPr>
          <w:rFonts w:ascii="Times New Roman" w:cs="Times New Roman" w:eastAsia="Times New Roman" w:hAnsi="Times New Roman"/>
          <w:sz w:val="18"/>
          <w:szCs w:val="18"/>
          <w:color w:val="auto"/>
        </w:rPr>
      </w:pPr>
    </w:p>
    <w:p>
      <w:pPr>
        <w:ind w:left="1000" w:hanging="250"/>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was a loss of $40 million or 21% of total revenue.</w:t>
      </w:r>
    </w:p>
    <w:p>
      <w:pPr>
        <w:spacing w:after="0" w:line="75" w:lineRule="exact"/>
        <w:rPr>
          <w:rFonts w:ascii="Times New Roman" w:cs="Times New Roman" w:eastAsia="Times New Roman" w:hAnsi="Times New Roman"/>
          <w:sz w:val="18"/>
          <w:szCs w:val="18"/>
          <w:color w:val="auto"/>
        </w:rPr>
      </w:pPr>
    </w:p>
    <w:p>
      <w:pPr>
        <w:ind w:left="1000" w:hanging="250"/>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and marketable securities were $1.0 billion.</w:t>
      </w:r>
    </w:p>
    <w:p>
      <w:pPr>
        <w:spacing w:after="0" w:line="17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As of March 31, 2022, we had an accumulated deficit of $2.6 billion. We expect losses from operations to continue for the foreseeable future as we incur costs and expenses related to brand development, expansion of market share, and continued development of our mobile shopping marketplace infrastructure.</w:t>
      </w:r>
    </w:p>
    <w:p>
      <w:pPr>
        <w:spacing w:after="0" w:line="11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During the first quarter of 2022, we continued to face headwinds of reduced retention and new buyer conversion and a rise in digital advertising costs. In response to rising digital advertising costs, which contributed to lower marketing efficiency, starting in the third quarter of 2021, we decided to significantly reduce our digital advertising expenditures as we focused our resources on other strategic initiatives. As discussed below under “Key Financial and Performance Metrics,” our monthly active users (“MAUs”) and last twelve months (“LTM”) active buyers have been negatively impacted by our decision to significantly reduce our digital advertising expenditures. In response to these headwinds, we commenced a number of initiatives that we believe will improve the user experience and increase retention, including enhancing our product quality and selection, and providing an unmatched fun and entertaining shopping experience. We believe our continued strategy to enhance users’ experience in our marketplace and provide a more differentiated and engaging user experience will position us for long-term sustainable growth.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58"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As of the date of filing of this Quarterly Report, the outbreak of COVID-19, including recent and any future variants, has affected businesses worldwide, and continues to impact the major markets in which we operate. Our business, operations and financial condition and results have been and may continue to be impacted by the COVID-19 pandemic and a range of external factors related to the COVID-19 pandemic that are not within our control. The COVID-19 pandemic has resulted in significant governmental measures being implemented at various times and in various geographic areas over the course of the pandemic to control the spread of the virus. Our operations as well as the operations of our third-party merchants have been, and we expect will continue to be, disrupted by varying individual and governmental responses to COVID-19 around the world.</w:t>
      </w:r>
    </w:p>
    <w:p>
      <w:pPr>
        <w:spacing w:after="0" w:line="13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In addition, the COVID-19 pandemic has also disrupted the global supply chain, which may interfere with the delivery of our merchants’ products to our users. Our MAUs, LTM Active Buyers and revenue may be negatively impacted due to a combination of reasons including: (i) macroeconomic factors such as worldwide retail businesses reopening; (ii) the disruption of the global supply chain; (iii) increased consumer spending on travel and other discretionary items; and, (iv) the waning impact of U.S. and other government economic stimulus programs.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February 2022 Restructuring Plan</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In February 2022, our Board of Directors approved the Restructuring Plan to refocus our operations to support sustainable long-term growth, better align resources, and improve operational efficiencies. We expect the Restructuring Plan to be substantially implemented by the end of fiscal year 2022.</w:t>
      </w:r>
    </w:p>
    <w:p>
      <w:pPr>
        <w:spacing w:after="0" w:line="115"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The Restructuring Plan includes i) reducing our headcount by approximately 15% (or approximately 190 positions), ii) exiting various office leases, and iii) reducing and realigning vendor expenditures. During the three months ended March 31, 2022, we recorded charges of approximately $ 3 million in severance and other personnel reductions costs for terminated employees and $4 million in impairments of lease assets and property and equipment. We anticipate that related severance payments will continue to occur into the second quarter of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5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Our business benefits from powerful network effects, fueled by our data advantage and massive scale. As more users join Wish, attracted by our affordable value proposition and personalized shopping experiences, we are able to increase revenue potential for our merchants. The successes of our merchants attract more merchants and broaden the product selection on Wish’s platform, which further improves user experiences. The growth in users and merchants generates more data, which, in turn, refines our algorithm and strengthens our data advantage. By focusing on users and merchants, we align their success with our own.</w:t>
      </w:r>
    </w:p>
    <w:p>
      <w:pPr>
        <w:spacing w:after="0" w:line="122" w:lineRule="exact"/>
        <w:rPr>
          <w:sz w:val="20"/>
          <w:szCs w:val="20"/>
          <w:color w:val="auto"/>
        </w:rPr>
      </w:pPr>
    </w:p>
    <w:p>
      <w:pPr>
        <w:jc w:val="both"/>
        <w:ind w:firstLine="637"/>
        <w:spacing w:after="0" w:line="253" w:lineRule="auto"/>
        <w:rPr>
          <w:sz w:val="20"/>
          <w:szCs w:val="20"/>
          <w:color w:val="auto"/>
        </w:rPr>
      </w:pPr>
      <w:r>
        <w:rPr>
          <w:rFonts w:ascii="Arial" w:cs="Arial" w:eastAsia="Arial" w:hAnsi="Arial"/>
          <w:sz w:val="18"/>
          <w:szCs w:val="18"/>
          <w:color w:val="auto"/>
        </w:rPr>
        <w:t>The economics of the Wish platform rely on cost-effectively adding new users, converting those users into buyers, and improving engagement and monetization of those buyers over time as well as acquiring new merchants and monetizing the end-to-end services that we provide to them.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15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In addition to the measures presented in our condensed consolidated financial statements, we monitor the following key metrics and other financial information to measure our performance, identify trends affecting our business, and make strategic decisions.</w:t>
      </w:r>
    </w:p>
    <w:p>
      <w:pPr>
        <w:spacing w:after="0" w:line="208"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09"/>
        </w:trPr>
        <w:tc>
          <w:tcPr>
            <w:tcW w:w="614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r>
      <w:tr>
        <w:trPr>
          <w:trHeight w:val="210"/>
        </w:trPr>
        <w:tc>
          <w:tcPr>
            <w:tcW w:w="6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(in millions)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MAU</w:t>
            </w:r>
          </w:p>
        </w:tc>
        <w:tc>
          <w:tcPr>
            <w:tcW w:w="1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LTM Active Buyers</w:t>
            </w:r>
          </w:p>
        </w:tc>
        <w:tc>
          <w:tcPr>
            <w:tcW w:w="1540" w:type="dxa"/>
            <w:vAlign w:val="bottom"/>
          </w:tcPr>
          <w:p>
            <w:pPr>
              <w:spacing w:after="0"/>
              <w:rPr>
                <w:sz w:val="18"/>
                <w:szCs w:val="18"/>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54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213"/>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54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54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213"/>
              <w:spacing w:after="0"/>
              <w:rPr>
                <w:sz w:val="20"/>
                <w:szCs w:val="20"/>
                <w:color w:val="auto"/>
              </w:rPr>
            </w:pPr>
            <w:r>
              <w:rPr>
                <w:rFonts w:ascii="Arial" w:cs="Arial" w:eastAsia="Arial" w:hAnsi="Arial"/>
                <w:sz w:val="18"/>
                <w:szCs w:val="18"/>
                <w:color w:val="auto"/>
              </w:rPr>
              <w:t>(148)</w:t>
            </w:r>
          </w:p>
        </w:tc>
        <w:tc>
          <w:tcPr>
            <w:tcW w:w="6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(354)</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Users</w:t>
      </w:r>
    </w:p>
    <w:p>
      <w:pPr>
        <w:spacing w:after="0" w:line="158"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We define MAUs as the number of unique users that visited the Wish platform,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the platform in a given month. We view the number of MAUs as key driver of revenue growth as well as a key indicator of user engagement and brand awareness.</w:t>
      </w:r>
    </w:p>
    <w:p>
      <w:pPr>
        <w:spacing w:after="0" w:line="122"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MAUs decreased approximately 73% from the three months ended March 31, 2022 compared to the three months ended March 31, 2021. We believe this decline was primarily driven by our decision to significantly reduce our digital advertising expenditures.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LTM Active Buyers</w:t>
      </w:r>
    </w:p>
    <w:p>
      <w:pPr>
        <w:spacing w:after="0" w:line="158"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As of the last date of each reported period, we determine our number of unique LTM active buyers by counting the total number of individual users who have placed at least one order on the Wish platform, either on our mobile app, mobile web, or on a desktop, during the preceding 12 months. We, however, exclude from the computation those buyers whose order is canceled before the item is shipped and the purchase price is refunded. The number of Active Buyers is an indicator of our ability to attract and monetize a large user base to our platform and of our ability to convert visits into purchases. We believe that increasing our Active Buyers will be a significant driver to our future revenue growth.</w:t>
      </w:r>
    </w:p>
    <w:p>
      <w:pPr>
        <w:spacing w:after="0" w:line="12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LTM Active Buyers decreased approximately 54% from the three months ended March 31, 2022 compared to the three months ended March 31, 2021. We believe this decline was primarily driven by reduced digital advertising expenditures resulting in lower MAUs and conversion.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Metrics</w:t>
      </w:r>
    </w:p>
    <w:p>
      <w:pPr>
        <w:spacing w:after="0" w:line="158"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We provide Adjusted EBITDA, a non-U.S. GAAP financial measure that represents our net income (loss) before interest and other income (expense), net (which includes foreign exchange gain or loss and gain or loss on one-time transactions recognized), income tax expense, and depreciation and amortization, adjusted to eliminate stock-based compensation expense and related payroll taxes, lease termination and impairment related expenses, and to add back certain recurring other items. Additionally, we provide Adjusted EBITDA Margin, a non-U.S. GAAP financial measure that represents Adjusted EBITDA divided by revenue. Below is a reconciliation of Adjusted EBITDA to net loss, the most directly comparable U.S. GAAP financial measure.</w:t>
      </w:r>
    </w:p>
    <w:p>
      <w:pPr>
        <w:spacing w:after="0" w:line="125" w:lineRule="exact"/>
        <w:rPr>
          <w:sz w:val="20"/>
          <w:szCs w:val="20"/>
          <w:color w:val="auto"/>
        </w:rPr>
      </w:pPr>
    </w:p>
    <w:p>
      <w:pPr>
        <w:jc w:val="both"/>
        <w:ind w:firstLine="637"/>
        <w:spacing w:after="0" w:line="244" w:lineRule="auto"/>
        <w:rPr>
          <w:sz w:val="20"/>
          <w:szCs w:val="20"/>
          <w:color w:val="auto"/>
        </w:rPr>
      </w:pPr>
      <w:r>
        <w:rPr>
          <w:rFonts w:ascii="Arial" w:cs="Arial" w:eastAsia="Arial" w:hAnsi="Arial"/>
          <w:sz w:val="18"/>
          <w:szCs w:val="18"/>
          <w:color w:val="auto"/>
        </w:rPr>
        <w:t>We have included Adjusted EBITDA and Adjusted EBITDA Margin in this report because they are key measures used by our management and board of directors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certain non-recurring cash items, and certain variable charges.</w:t>
      </w:r>
    </w:p>
    <w:p>
      <w:pPr>
        <w:spacing w:after="0" w:line="122"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U.S. GAAP. Some of these limitations are:</w:t>
      </w:r>
    </w:p>
    <w:p>
      <w:pPr>
        <w:spacing w:after="0" w:line="46" w:lineRule="exact"/>
        <w:rPr>
          <w:sz w:val="20"/>
          <w:szCs w:val="20"/>
          <w:color w:val="auto"/>
        </w:rPr>
      </w:pPr>
    </w:p>
    <w:p>
      <w:pPr>
        <w:ind w:left="740" w:hanging="368"/>
        <w:spacing w:after="0" w:line="253" w:lineRule="auto"/>
        <w:tabs>
          <w:tab w:leader="none" w:pos="7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0"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Adjusted EBITDA does not consider the impact of stock-based compensation and related payroll taxes;</w:t>
      </w:r>
    </w:p>
    <w:p>
      <w:pPr>
        <w:spacing w:after="0" w:line="117" w:lineRule="exact"/>
        <w:rPr>
          <w:rFonts w:ascii="Times New Roman" w:cs="Times New Roman" w:eastAsia="Times New Roman" w:hAnsi="Times New Roman"/>
          <w:sz w:val="16"/>
          <w:szCs w:val="16"/>
          <w:color w:val="auto"/>
        </w:rPr>
      </w:pPr>
    </w:p>
    <w:p>
      <w:pPr>
        <w:ind w:left="740" w:hanging="368"/>
        <w:spacing w:after="0"/>
        <w:tabs>
          <w:tab w:leader="none" w:pos="7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Times New Roman" w:cs="Times New Roman" w:eastAsia="Times New Roman" w:hAnsi="Times New Roman"/>
          <w:sz w:val="16"/>
          <w:szCs w:val="16"/>
          <w:color w:val="auto"/>
        </w:rPr>
      </w:pPr>
    </w:p>
    <w:p>
      <w:pPr>
        <w:ind w:left="740" w:right="40" w:hanging="368"/>
        <w:spacing w:after="0" w:line="271" w:lineRule="auto"/>
        <w:tabs>
          <w:tab w:leader="none" w:pos="7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00"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Because of these limitations, you should consider Adjusted EBITDA and Adjusted EBITDA Margin alongside other financial performance measures, including various cash flow metrics, net income (loss) and our other U.S. GAAP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5" w:name="page26"/>
    <w:bookmarkEnd w:id="25"/>
    <w:p>
      <w:pPr>
        <w:ind w:firstLine="644"/>
        <w:spacing w:after="0" w:line="271" w:lineRule="auto"/>
        <w:rPr>
          <w:sz w:val="20"/>
          <w:szCs w:val="20"/>
          <w:color w:val="auto"/>
        </w:rPr>
      </w:pPr>
      <w:r>
        <w:rPr>
          <w:rFonts w:ascii="Arial" w:cs="Arial" w:eastAsia="Arial" w:hAnsi="Arial"/>
          <w:sz w:val="18"/>
          <w:szCs w:val="18"/>
          <w:color w:val="auto"/>
        </w:rPr>
        <w:t>The following table reflects the reconciliation of net loss to Adjusted EBITDA and net loss as a percentage of revenue to Adjusted EBITDA margin for each of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88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99"/>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1"/>
        </w:trPr>
        <w:tc>
          <w:tcPr>
            <w:tcW w:w="77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center"/>
              <w:ind w:right="43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09"/>
        </w:trPr>
        <w:tc>
          <w:tcPr>
            <w:tcW w:w="77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60" w:type="dxa"/>
            <w:vAlign w:val="bottom"/>
            <w:gridSpan w:val="4"/>
          </w:tcPr>
          <w:p>
            <w:pPr>
              <w:jc w:val="center"/>
              <w:ind w:right="43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4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6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8"/>
                <w:szCs w:val="18"/>
                <w:color w:val="auto"/>
              </w:rPr>
            </w:pPr>
          </w:p>
        </w:tc>
        <w:tc>
          <w:tcPr>
            <w:tcW w:w="840" w:type="dxa"/>
            <w:vAlign w:val="bottom"/>
            <w:gridSpan w:val="2"/>
          </w:tcPr>
          <w:p>
            <w:pPr>
              <w:jc w:val="right"/>
              <w:ind w:right="31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(128)</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loss as a percentage of revenue</w:t>
            </w:r>
          </w:p>
        </w:tc>
        <w:tc>
          <w:tcPr>
            <w:tcW w:w="9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Excluding:</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9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920" w:type="dxa"/>
            <w:vAlign w:val="bottom"/>
          </w:tcPr>
          <w:p>
            <w:pPr>
              <w:spacing w:after="0"/>
              <w:rPr>
                <w:sz w:val="18"/>
                <w:szCs w:val="18"/>
                <w:color w:val="auto"/>
              </w:rPr>
            </w:pPr>
          </w:p>
        </w:tc>
        <w:tc>
          <w:tcPr>
            <w:tcW w:w="8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5"/>
                <w:szCs w:val="15"/>
                <w:color w:val="auto"/>
              </w:rPr>
              <w:t>(1)</w:t>
            </w:r>
          </w:p>
        </w:tc>
        <w:tc>
          <w:tcPr>
            <w:tcW w:w="920" w:type="dxa"/>
            <w:vAlign w:val="bottom"/>
          </w:tcPr>
          <w:p>
            <w:pPr>
              <w:spacing w:after="0"/>
              <w:rPr>
                <w:sz w:val="18"/>
                <w:szCs w:val="18"/>
                <w:color w:val="auto"/>
              </w:rPr>
            </w:pPr>
          </w:p>
        </w:tc>
        <w:tc>
          <w:tcPr>
            <w:tcW w:w="840" w:type="dxa"/>
            <w:vAlign w:val="bottom"/>
            <w:gridSpan w:val="2"/>
          </w:tcPr>
          <w:p>
            <w:pPr>
              <w:jc w:val="right"/>
              <w:ind w:right="31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Employer payroll taxes related to stock-based compensation expense</w:t>
            </w:r>
          </w:p>
        </w:tc>
        <w:tc>
          <w:tcPr>
            <w:tcW w:w="9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Restructuring and other discrete items</w:t>
            </w:r>
            <w:r>
              <w:rPr>
                <w:rFonts w:ascii="Arial" w:cs="Arial" w:eastAsia="Arial" w:hAnsi="Arial"/>
                <w:sz w:val="15"/>
                <w:szCs w:val="15"/>
                <w:color w:val="auto"/>
              </w:rPr>
              <w:t>(2)</w:t>
            </w: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Recurring other items</w:t>
            </w:r>
          </w:p>
        </w:tc>
        <w:tc>
          <w:tcPr>
            <w:tcW w:w="9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8"/>
                <w:szCs w:val="18"/>
                <w:color w:val="auto"/>
              </w:rPr>
            </w:pPr>
          </w:p>
        </w:tc>
      </w:tr>
      <w:tr>
        <w:trPr>
          <w:trHeight w:val="250"/>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Adjusted EBITDA</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CFF0FC"/>
            </w:tcBorders>
          </w:tcPr>
          <w:p>
            <w:pPr>
              <w:spacing w:after="0"/>
              <w:rPr>
                <w:sz w:val="21"/>
                <w:szCs w:val="21"/>
                <w:color w:val="auto"/>
              </w:rPr>
            </w:pPr>
          </w:p>
        </w:tc>
      </w:tr>
      <w:tr>
        <w:trPr>
          <w:trHeight w:val="196"/>
        </w:trPr>
        <w:tc>
          <w:tcPr>
            <w:tcW w:w="77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Adjusted EBITDA margin</w:t>
            </w:r>
          </w:p>
        </w:tc>
        <w:tc>
          <w:tcPr>
            <w:tcW w:w="92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46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2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99" w:lineRule="exact"/>
        <w:rPr>
          <w:sz w:val="20"/>
          <w:szCs w:val="20"/>
          <w:color w:val="auto"/>
        </w:rPr>
      </w:pPr>
    </w:p>
    <w:p>
      <w:pPr>
        <w:ind w:left="740" w:right="580" w:hanging="368"/>
        <w:spacing w:after="0" w:line="263" w:lineRule="auto"/>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stock-based compensation for the three months ended March 31, 2022 decreased by $39 million compared to the three months ended March 31, 2021 primarily due to forfeitures originating from the resignation of the Company’s former CEO, reductions to the Company’s workforce as part of the Company’s Restructuring Plan, and modifications to our former Executive Chair’s equity awards.</w:t>
      </w:r>
    </w:p>
    <w:p>
      <w:pPr>
        <w:spacing w:after="0" w:line="64" w:lineRule="exact"/>
        <w:rPr>
          <w:rFonts w:ascii="Arial" w:cs="Arial" w:eastAsia="Arial" w:hAnsi="Arial"/>
          <w:sz w:val="14"/>
          <w:szCs w:val="14"/>
          <w:color w:val="auto"/>
        </w:rPr>
      </w:pPr>
    </w:p>
    <w:p>
      <w:pPr>
        <w:jc w:val="both"/>
        <w:ind w:left="740" w:right="80" w:hanging="368"/>
        <w:spacing w:after="0" w:line="263" w:lineRule="auto"/>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restructuring charges consisting of $3 million of employee severance and $4 million in impairment of lease assets and property and equipment as well as a $15 million one-time discretionary cash bonus paid to select employees to help cover their tax obligations triggered by the settlement of their RSUs that vested upon the Company’s IPO.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also provide Free Cash Flow, a non-U.S. GAAP financial measure that represents net cash provided by (used in) operating activities less purchases of property and equipment. We believe that Free Cash Flow is an important measure since we use third parties to host our services and therefore we do not incur significant capital expenditures to support revenue generating activities.</w:t>
      </w:r>
    </w:p>
    <w:p>
      <w:pPr>
        <w:spacing w:after="0" w:line="115"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8"/>
          <w:szCs w:val="18"/>
          <w:color w:val="auto"/>
        </w:rPr>
        <w:t>Free Cash Flow has limitations as an analytical measure, and you should not consider it in isolation or as a substitute for analysis of our results as reported under U.S. GAAP. Some of these limitations are:</w:t>
      </w:r>
    </w:p>
    <w:p>
      <w:pPr>
        <w:spacing w:after="0" w:line="46" w:lineRule="exact"/>
        <w:rPr>
          <w:sz w:val="20"/>
          <w:szCs w:val="20"/>
          <w:color w:val="auto"/>
        </w:rPr>
      </w:pPr>
    </w:p>
    <w:p>
      <w:pPr>
        <w:ind w:left="740" w:hanging="368"/>
        <w:spacing w:after="0"/>
        <w:tabs>
          <w:tab w:leader="none" w:pos="7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8"/>
          <w:szCs w:val="18"/>
          <w:color w:val="auto"/>
        </w:rPr>
        <w:t>it is not a substitute for net cash provided by (used in) operating activities;</w:t>
      </w:r>
    </w:p>
    <w:p>
      <w:pPr>
        <w:spacing w:after="0" w:line="144" w:lineRule="exact"/>
        <w:rPr>
          <w:rFonts w:ascii="Times New Roman" w:cs="Times New Roman" w:eastAsia="Times New Roman" w:hAnsi="Times New Roman"/>
          <w:sz w:val="16"/>
          <w:szCs w:val="16"/>
          <w:color w:val="auto"/>
        </w:rPr>
      </w:pPr>
    </w:p>
    <w:p>
      <w:pPr>
        <w:ind w:left="740" w:right="140" w:hanging="368"/>
        <w:spacing w:after="0" w:line="271" w:lineRule="auto"/>
        <w:tabs>
          <w:tab w:leader="none" w:pos="7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8"/>
          <w:szCs w:val="18"/>
          <w:color w:val="auto"/>
        </w:rPr>
        <w:t>other companies may calculate Free Cash Flow or similarly titled non-U.S. GAAP measures differently or may use other measures to evaluate their performance, all of which could reduce the usefulness of free cash flow as a tool for comparison; and</w:t>
      </w:r>
    </w:p>
    <w:p>
      <w:pPr>
        <w:spacing w:after="0" w:line="45" w:lineRule="exact"/>
        <w:rPr>
          <w:rFonts w:ascii="Times New Roman" w:cs="Times New Roman" w:eastAsia="Times New Roman" w:hAnsi="Times New Roman"/>
          <w:sz w:val="16"/>
          <w:szCs w:val="16"/>
          <w:color w:val="auto"/>
        </w:rPr>
      </w:pPr>
    </w:p>
    <w:p>
      <w:pPr>
        <w:ind w:left="740" w:right="380" w:hanging="368"/>
        <w:spacing w:after="0" w:line="271" w:lineRule="auto"/>
        <w:tabs>
          <w:tab w:leader="none" w:pos="7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8"/>
          <w:szCs w:val="18"/>
          <w:color w:val="auto"/>
        </w:rPr>
        <w:t>the utility of free cash flow is further limited as it does not reflect our future contractual commitments and does not represent the total increase or decrease in our cash balance for any given period.</w:t>
      </w:r>
    </w:p>
    <w:p>
      <w:pPr>
        <w:spacing w:after="0" w:line="100"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Because of these limitations, you should consider Free Cash Flow alongside other financial performance measures, such as net cash provided by (used in) operating activities, net income (loss) and our other U.S. GAAP results.</w:t>
      </w:r>
    </w:p>
    <w:p>
      <w:pPr>
        <w:spacing w:after="0" w:line="100" w:lineRule="exact"/>
        <w:rPr>
          <w:sz w:val="20"/>
          <w:szCs w:val="20"/>
          <w:color w:val="auto"/>
        </w:rPr>
      </w:pPr>
    </w:p>
    <w:p>
      <w:pPr>
        <w:ind w:right="140" w:firstLine="637"/>
        <w:spacing w:after="0" w:line="255" w:lineRule="auto"/>
        <w:rPr>
          <w:sz w:val="20"/>
          <w:szCs w:val="20"/>
          <w:color w:val="auto"/>
        </w:rPr>
      </w:pPr>
      <w:r>
        <w:rPr>
          <w:rFonts w:ascii="Arial" w:cs="Arial" w:eastAsia="Arial" w:hAnsi="Arial"/>
          <w:sz w:val="18"/>
          <w:szCs w:val="18"/>
          <w:color w:val="auto"/>
        </w:rPr>
        <w:t>The following table reflects the reconciliation of net cash provided by (used in) operating activities to Free Cash Flow for each of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March 31,</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26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(146)</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Less:</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780" w:type="dxa"/>
            <w:vAlign w:val="bottom"/>
            <w:shd w:val="clear" w:color="auto" w:fill="CFF0FC"/>
          </w:tcPr>
          <w:p>
            <w:pPr>
              <w:ind w:left="260"/>
              <w:spacing w:after="0" w:line="197" w:lineRule="exact"/>
              <w:rPr>
                <w:sz w:val="20"/>
                <w:szCs w:val="20"/>
                <w:color w:val="auto"/>
              </w:rPr>
            </w:pPr>
            <w:r>
              <w:rPr>
                <w:rFonts w:ascii="Arial" w:cs="Arial" w:eastAsia="Arial" w:hAnsi="Arial"/>
                <w:sz w:val="18"/>
                <w:szCs w:val="18"/>
                <w:color w:val="auto"/>
              </w:rPr>
              <w:t>Purchases of property and equipment and development of internal-use</w:t>
            </w:r>
          </w:p>
        </w:tc>
        <w:tc>
          <w:tcPr>
            <w:tcW w:w="1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software</w:t>
            </w:r>
          </w:p>
        </w:tc>
        <w:tc>
          <w:tcPr>
            <w:tcW w:w="1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80" w:type="dxa"/>
            <w:vAlign w:val="bottom"/>
          </w:tcPr>
          <w:p>
            <w:pPr>
              <w:ind w:left="260"/>
              <w:spacing w:after="0"/>
              <w:rPr>
                <w:sz w:val="20"/>
                <w:szCs w:val="20"/>
                <w:color w:val="auto"/>
              </w:rPr>
            </w:pPr>
            <w:r>
              <w:rPr>
                <w:rFonts w:ascii="Arial" w:cs="Arial" w:eastAsia="Arial" w:hAnsi="Arial"/>
                <w:sz w:val="18"/>
                <w:szCs w:val="18"/>
                <w:color w:val="auto"/>
              </w:rPr>
              <w:t>Free Cash Flow</w:t>
            </w: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5520"/>
              <w:spacing w:after="0"/>
              <w:rPr>
                <w:sz w:val="20"/>
                <w:szCs w:val="20"/>
                <w:color w:val="auto"/>
              </w:rPr>
            </w:pPr>
            <w:r>
              <w:rPr>
                <w:rFonts w:ascii="Arial" w:cs="Arial" w:eastAsia="Arial" w:hAnsi="Arial"/>
                <w:sz w:val="18"/>
                <w:szCs w:val="18"/>
                <w:color w:val="auto"/>
              </w:rPr>
              <w:t>23</w:t>
            </w:r>
          </w:p>
        </w:tc>
        <w:tc>
          <w:tcPr>
            <w:tcW w:w="1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7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7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The following tables show our results of operations for the periods presented and express the relationship of certain line items as a percentage of revenue for those periods. The period-to-period comparison of financial results is not necessarily indicative of future results.</w:t>
      </w:r>
    </w:p>
    <w:p>
      <w:pPr>
        <w:spacing w:after="0" w:line="167"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Three Months Ended</w:t>
      </w:r>
    </w:p>
    <w:p>
      <w:pPr>
        <w:spacing w:after="0" w:line="1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209"/>
        </w:trPr>
        <w:tc>
          <w:tcPr>
            <w:tcW w:w="7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60"/>
              <w:spacing w:after="0"/>
              <w:rPr>
                <w:sz w:val="20"/>
                <w:szCs w:val="20"/>
                <w:color w:val="auto"/>
              </w:rPr>
            </w:pPr>
            <w:r>
              <w:rPr>
                <w:rFonts w:ascii="Arial" w:cs="Arial" w:eastAsia="Arial" w:hAnsi="Arial"/>
                <w:sz w:val="18"/>
                <w:szCs w:val="18"/>
                <w:color w:val="auto"/>
              </w:rPr>
              <w:t>Product development</w:t>
            </w: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52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640"/>
              <w:spacing w:after="0"/>
              <w:rPr>
                <w:sz w:val="20"/>
                <w:szCs w:val="20"/>
                <w:color w:val="auto"/>
              </w:rPr>
            </w:pPr>
            <w:r>
              <w:rPr>
                <w:rFonts w:ascii="Arial" w:cs="Arial" w:eastAsia="Arial" w:hAnsi="Arial"/>
                <w:sz w:val="18"/>
                <w:szCs w:val="18"/>
                <w:color w:val="auto"/>
              </w:rPr>
              <w:t>(1)  Includes stock-based compensation expense as follows:</w:t>
            </w: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7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1"/>
        </w:trPr>
        <w:tc>
          <w:tcPr>
            <w:tcW w:w="7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revenue:</w:t>
      </w:r>
    </w:p>
    <w:p>
      <w:pPr>
        <w:spacing w:after="0" w:line="23"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Three Months Ended</w:t>
      </w:r>
    </w:p>
    <w:p>
      <w:pPr>
        <w:jc w:val="center"/>
        <w:ind w:left="6600"/>
        <w:spacing w:after="0" w:line="235"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80" w:type="dxa"/>
            <w:vAlign w:val="bottom"/>
            <w:tcBorders>
              <w:bottom w:val="single" w:sz="8" w:color="CFF0FC"/>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CFF0FC"/>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100%</w:t>
            </w: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Cost of revenue</w:t>
            </w:r>
          </w:p>
        </w:tc>
        <w:tc>
          <w:tcPr>
            <w:tcW w:w="12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66%</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Gross margin</w:t>
            </w:r>
          </w:p>
        </w:tc>
        <w:tc>
          <w:tcPr>
            <w:tcW w:w="1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34%</w:t>
            </w: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3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24%</w:t>
            </w: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Product development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8%</w:t>
            </w: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50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67%</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(33)%</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1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1%</w:t>
            </w: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500"/>
              <w:spacing w:after="0"/>
              <w:rPr>
                <w:sz w:val="20"/>
                <w:szCs w:val="20"/>
                <w:color w:val="auto"/>
              </w:rPr>
            </w:pPr>
            <w:r>
              <w:rPr>
                <w:rFonts w:ascii="Arial" w:cs="Arial" w:eastAsia="Arial" w:hAnsi="Arial"/>
                <w:sz w:val="18"/>
                <w:szCs w:val="18"/>
                <w:color w:val="auto"/>
              </w:rPr>
              <w:t>Loss before provision for income taxes</w:t>
            </w:r>
          </w:p>
        </w:tc>
        <w:tc>
          <w:tcPr>
            <w:tcW w:w="1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5520"/>
              <w:spacing w:after="0"/>
              <w:rPr>
                <w:sz w:val="20"/>
                <w:szCs w:val="20"/>
                <w:color w:val="auto"/>
              </w:rPr>
            </w:pPr>
            <w:r>
              <w:rPr>
                <w:rFonts w:ascii="Arial" w:cs="Arial" w:eastAsia="Arial" w:hAnsi="Arial"/>
                <w:sz w:val="18"/>
                <w:szCs w:val="18"/>
                <w:color w:val="auto"/>
              </w:rPr>
              <w:t>24</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8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Three Months Ended March 31, 2022 and 2021</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420" w:type="dxa"/>
            <w:vAlign w:val="bottom"/>
          </w:tcPr>
          <w:p>
            <w:pPr>
              <w:spacing w:after="0"/>
              <w:rPr>
                <w:sz w:val="24"/>
                <w:szCs w:val="24"/>
                <w:color w:val="auto"/>
              </w:rPr>
            </w:pPr>
          </w:p>
        </w:tc>
        <w:tc>
          <w:tcPr>
            <w:tcW w:w="22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Change</w:t>
            </w: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line="216" w:lineRule="exact"/>
              <w:rPr>
                <w:sz w:val="20"/>
                <w:szCs w:val="20"/>
                <w:color w:val="auto"/>
              </w:rPr>
            </w:pPr>
            <w:r>
              <w:rPr>
                <w:rFonts w:ascii="Arial" w:cs="Arial" w:eastAsia="Arial" w:hAnsi="Arial"/>
                <w:sz w:val="18"/>
                <w:szCs w:val="18"/>
                <w:color w:val="auto"/>
              </w:rPr>
              <w:t>Core marketplace revenue</w:t>
            </w:r>
            <w:r>
              <w:rPr>
                <w:rFonts w:ascii="Arial" w:cs="Arial" w:eastAsia="Arial" w:hAnsi="Arial"/>
                <w:sz w:val="24"/>
                <w:szCs w:val="24"/>
                <w:color w:val="auto"/>
                <w:vertAlign w:val="superscript"/>
              </w:rPr>
              <w:t>(1)</w:t>
            </w:r>
          </w:p>
        </w:tc>
        <w:tc>
          <w:tcPr>
            <w:tcW w:w="126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(387)</w:t>
            </w: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ProductBoost revenue</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9"/>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Marketplace revenue</w:t>
            </w:r>
          </w:p>
        </w:tc>
        <w:tc>
          <w:tcPr>
            <w:tcW w:w="4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Logistics revenue</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740" w:hanging="368"/>
        <w:spacing w:after="0" w:line="285" w:lineRule="auto"/>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Core marketplace revenue for the three months ended March 31, 2022 and 2021 included approximately $2 million and $9 million net gains, respectively, from our cash flow hedging program.</w:t>
      </w:r>
    </w:p>
    <w:p>
      <w:pPr>
        <w:spacing w:after="0" w:line="94"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8"/>
          <w:szCs w:val="18"/>
          <w:color w:val="auto"/>
        </w:rPr>
        <w:t>Revenue decreased $583 million, or 76%, to $189 million for the three months ended March 31, 2022 as compared to $772 million for the three months ended March 31, 2021. This decrease was attributable to decreased marketplace and logistics revenue, as noted below.</w:t>
      </w:r>
    </w:p>
    <w:p>
      <w:pPr>
        <w:spacing w:after="0" w:line="100" w:lineRule="exact"/>
        <w:rPr>
          <w:sz w:val="20"/>
          <w:szCs w:val="20"/>
          <w:color w:val="auto"/>
        </w:rPr>
      </w:pPr>
    </w:p>
    <w:p>
      <w:pPr>
        <w:jc w:val="both"/>
        <w:ind w:firstLine="637"/>
        <w:spacing w:after="0" w:line="244" w:lineRule="auto"/>
        <w:rPr>
          <w:sz w:val="20"/>
          <w:szCs w:val="20"/>
          <w:color w:val="auto"/>
        </w:rPr>
      </w:pPr>
      <w:r>
        <w:rPr>
          <w:rFonts w:ascii="Arial" w:cs="Arial" w:eastAsia="Arial" w:hAnsi="Arial"/>
          <w:sz w:val="18"/>
          <w:szCs w:val="18"/>
          <w:color w:val="auto"/>
        </w:rPr>
        <w:t>Marketplace revenue decreased $423 million, or 80% to $104 million for the three months ended March 31, 2022, as compared to $527 million for the three months ended March 31, 2021. This decrease was primarily driven by lower order volumes associated with reduced MAUs and LTM Active Buyers, as well as revisions to our pricing strategy, which resulted in lower marketplace revenue per order. While lower pricing contributed to lower marketplace revenue based on first quarter sales volume, we expect to see corresponding increases in order volumes over time.</w:t>
      </w:r>
    </w:p>
    <w:p>
      <w:pPr>
        <w:spacing w:after="0" w:line="122" w:lineRule="exact"/>
        <w:rPr>
          <w:sz w:val="20"/>
          <w:szCs w:val="20"/>
          <w:color w:val="auto"/>
        </w:rPr>
      </w:pPr>
    </w:p>
    <w:p>
      <w:pPr>
        <w:jc w:val="both"/>
        <w:ind w:firstLine="637"/>
        <w:spacing w:after="0" w:line="257" w:lineRule="auto"/>
        <w:rPr>
          <w:sz w:val="20"/>
          <w:szCs w:val="20"/>
          <w:color w:val="auto"/>
        </w:rPr>
      </w:pPr>
      <w:r>
        <w:rPr>
          <w:rFonts w:ascii="Arial" w:cs="Arial" w:eastAsia="Arial" w:hAnsi="Arial"/>
          <w:sz w:val="18"/>
          <w:szCs w:val="18"/>
          <w:color w:val="auto"/>
        </w:rPr>
        <w:t>Logistics revenue decreased $160 million, or 65% to $ 85 million for the three months ended March 31, 2022, as compared to $245 million for the three months ended March 31, 2021. Like marketplace revenue, the decrease was primarily driven by lower order volumes.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3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1"/>
        </w:trPr>
        <w:tc>
          <w:tcPr>
            <w:tcW w:w="60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396"/>
              <w:spacing w:after="0"/>
              <w:rPr>
                <w:sz w:val="20"/>
                <w:szCs w:val="20"/>
                <w:color w:val="auto"/>
              </w:rPr>
            </w:pPr>
            <w:r>
              <w:rPr>
                <w:rFonts w:ascii="Arial" w:cs="Arial" w:eastAsia="Arial" w:hAnsi="Arial"/>
                <w:sz w:val="18"/>
                <w:szCs w:val="18"/>
                <w:b w:val="1"/>
                <w:bCs w:val="1"/>
                <w:color w:val="auto"/>
              </w:rPr>
              <w:t>March 31,</w:t>
            </w: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9"/>
        </w:trPr>
        <w:tc>
          <w:tcPr>
            <w:tcW w:w="60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10"/>
        </w:trPr>
        <w:tc>
          <w:tcPr>
            <w:tcW w:w="6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125</w:t>
            </w:r>
          </w:p>
        </w:tc>
        <w:tc>
          <w:tcPr>
            <w:tcW w:w="94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335</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602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7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9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bl>
    <w:p>
      <w:pPr>
        <w:spacing w:after="0" w:line="197" w:lineRule="exact"/>
        <w:rPr>
          <w:sz w:val="20"/>
          <w:szCs w:val="20"/>
          <w:color w:val="auto"/>
        </w:rPr>
      </w:pPr>
    </w:p>
    <w:p>
      <w:pPr>
        <w:jc w:val="both"/>
        <w:ind w:firstLine="637"/>
        <w:spacing w:after="0" w:line="253" w:lineRule="auto"/>
        <w:rPr>
          <w:sz w:val="20"/>
          <w:szCs w:val="20"/>
          <w:color w:val="auto"/>
        </w:rPr>
      </w:pPr>
      <w:r>
        <w:rPr>
          <w:rFonts w:ascii="Arial" w:cs="Arial" w:eastAsia="Arial" w:hAnsi="Arial"/>
          <w:sz w:val="18"/>
          <w:szCs w:val="18"/>
          <w:color w:val="auto"/>
        </w:rPr>
        <w:t>Cost of revenue decreased $210 million, or 63%, to $125 million for the three months ended March 31, 2022, as compared to $335 million for the three months ended March 31, 2021, primarily due to lower marketplace and logistics related costs as a result of lower order volumes.</w:t>
      </w:r>
    </w:p>
    <w:p>
      <w:pPr>
        <w:spacing w:after="0" w:line="115" w:lineRule="exact"/>
        <w:rPr>
          <w:sz w:val="20"/>
          <w:szCs w:val="20"/>
          <w:color w:val="auto"/>
        </w:rPr>
      </w:pPr>
    </w:p>
    <w:p>
      <w:pPr>
        <w:jc w:val="both"/>
        <w:ind w:firstLine="637"/>
        <w:spacing w:after="0" w:line="247" w:lineRule="auto"/>
        <w:rPr>
          <w:sz w:val="20"/>
          <w:szCs w:val="20"/>
          <w:color w:val="auto"/>
        </w:rPr>
      </w:pPr>
      <w:r>
        <w:rPr>
          <w:rFonts w:ascii="Arial" w:cs="Arial" w:eastAsia="Arial" w:hAnsi="Arial"/>
          <w:sz w:val="18"/>
          <w:szCs w:val="18"/>
          <w:color w:val="auto"/>
        </w:rPr>
        <w:t>The gross margin decreased to 34% for the three months ended March 31, 2022 from 57% for the three months ended March 31, 2021, primarily due to a shift in revenue mix, with a greater percentage of lower margin logistics services making up overall revenue during the first quarter of 2022 compared to the same period in 2021 and revisions to our pricing strategy, which resulted in lower marketplace revenue per order.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20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1"/>
        </w:trPr>
        <w:tc>
          <w:tcPr>
            <w:tcW w:w="59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336"/>
              <w:spacing w:after="0"/>
              <w:rPr>
                <w:sz w:val="20"/>
                <w:szCs w:val="20"/>
                <w:color w:val="auto"/>
              </w:rPr>
            </w:pPr>
            <w:r>
              <w:rPr>
                <w:rFonts w:ascii="Arial" w:cs="Arial" w:eastAsia="Arial" w:hAnsi="Arial"/>
                <w:sz w:val="18"/>
                <w:szCs w:val="18"/>
                <w:b w:val="1"/>
                <w:bCs w:val="1"/>
                <w:color w:val="auto"/>
              </w:rPr>
              <w:t>March 31,</w:t>
            </w:r>
          </w:p>
        </w:tc>
        <w:tc>
          <w:tcPr>
            <w:tcW w:w="3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0"/>
        </w:trPr>
        <w:tc>
          <w:tcPr>
            <w:tcW w:w="59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ind w:left="60"/>
              <w:spacing w:after="0"/>
              <w:rPr>
                <w:sz w:val="20"/>
                <w:szCs w:val="20"/>
                <w:color w:val="auto"/>
              </w:rPr>
            </w:pPr>
            <w:r>
              <w:rPr>
                <w:rFonts w:ascii="Arial" w:cs="Arial" w:eastAsia="Arial" w:hAnsi="Arial"/>
                <w:sz w:val="18"/>
                <w:szCs w:val="18"/>
                <w:color w:val="auto"/>
              </w:rPr>
              <w:t>45</w:t>
            </w:r>
          </w:p>
        </w:tc>
        <w:tc>
          <w:tcPr>
            <w:tcW w:w="86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470</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r>
      <w:tr>
        <w:trPr>
          <w:trHeight w:val="239"/>
        </w:trPr>
        <w:tc>
          <w:tcPr>
            <w:tcW w:w="594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74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1"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8"/>
          <w:szCs w:val="18"/>
          <w:color w:val="auto"/>
        </w:rPr>
        <w:t>Sales and marketing expense decreased $425 million, or 90%, to $45 million for the three months ended March 31, 2022, compared to $470 million for the three months ended March 31, 2021, primarily due to our decision to reduce digital advertising expenditures in order to focus our resources on other strategic initiatives.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45"/>
        </w:trPr>
        <w:tc>
          <w:tcPr>
            <w:tcW w:w="414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15"/>
        </w:trPr>
        <w:tc>
          <w:tcPr>
            <w:tcW w:w="4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2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1"/>
        </w:trPr>
        <w:tc>
          <w:tcPr>
            <w:tcW w:w="4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416"/>
              <w:spacing w:after="0"/>
              <w:rPr>
                <w:sz w:val="20"/>
                <w:szCs w:val="20"/>
                <w:color w:val="auto"/>
              </w:rPr>
            </w:pPr>
            <w:r>
              <w:rPr>
                <w:rFonts w:ascii="Arial" w:cs="Arial" w:eastAsia="Arial" w:hAnsi="Arial"/>
                <w:sz w:val="18"/>
                <w:szCs w:val="18"/>
                <w:b w:val="1"/>
                <w:bCs w:val="1"/>
                <w:color w:val="auto"/>
                <w:w w:val="98"/>
              </w:rPr>
              <w:t>March 31,</w:t>
            </w:r>
          </w:p>
        </w:tc>
        <w:tc>
          <w:tcPr>
            <w:tcW w:w="2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9"/>
        </w:trPr>
        <w:tc>
          <w:tcPr>
            <w:tcW w:w="4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09"/>
        </w:trPr>
        <w:tc>
          <w:tcPr>
            <w:tcW w:w="4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28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66</w:t>
            </w:r>
          </w:p>
        </w:tc>
        <w:tc>
          <w:tcPr>
            <w:tcW w:w="8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r>
      <w:tr>
        <w:trPr>
          <w:trHeight w:val="239"/>
        </w:trPr>
        <w:tc>
          <w:tcPr>
            <w:tcW w:w="414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35%</w:t>
            </w:r>
          </w:p>
        </w:tc>
        <w:tc>
          <w:tcPr>
            <w:tcW w:w="8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Product development expense increased $15 million, or 29%, to $66 million for the three months ended March 31, 2022, as compared to $51 million for the three months ended March 31, 2021, primarily as a result of an increase in employee-related costs driven by increased headcount prior to our Restructuring Plan and a one-time discretionary bonus paid to select employees to help cover their tax obligations trigged by the settlement of their RSUs that vested upon the Company’s IPO.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300" w:type="dxa"/>
            <w:vAlign w:val="bottom"/>
            <w:gridSpan w:val="3"/>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1"/>
        </w:trPr>
        <w:tc>
          <w:tcPr>
            <w:tcW w:w="4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8"/>
                <w:szCs w:val="18"/>
                <w:b w:val="1"/>
                <w:bCs w:val="1"/>
                <w:color w:val="auto"/>
              </w:rPr>
              <w:t>March 31,</w:t>
            </w:r>
          </w:p>
        </w:tc>
        <w:tc>
          <w:tcPr>
            <w:tcW w:w="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10"/>
        </w:trPr>
        <w:tc>
          <w:tcPr>
            <w:tcW w:w="4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9"/>
              </w:rPr>
              <w:t>2022</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09"/>
        </w:trPr>
        <w:tc>
          <w:tcPr>
            <w:tcW w:w="4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78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15</w:t>
            </w:r>
          </w:p>
        </w:tc>
        <w:tc>
          <w:tcPr>
            <w:tcW w:w="94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42</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r>
      <w:tr>
        <w:trPr>
          <w:trHeight w:val="239"/>
        </w:trPr>
        <w:tc>
          <w:tcPr>
            <w:tcW w:w="412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1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74" w:lineRule="exact"/>
        <w:rPr>
          <w:sz w:val="20"/>
          <w:szCs w:val="20"/>
          <w:color w:val="auto"/>
        </w:rPr>
      </w:pPr>
    </w:p>
    <w:p>
      <w:pPr>
        <w:jc w:val="both"/>
        <w:ind w:firstLine="637"/>
        <w:spacing w:after="0" w:line="247" w:lineRule="auto"/>
        <w:rPr>
          <w:sz w:val="20"/>
          <w:szCs w:val="20"/>
          <w:color w:val="auto"/>
        </w:rPr>
      </w:pPr>
      <w:r>
        <w:rPr>
          <w:rFonts w:ascii="Arial" w:cs="Arial" w:eastAsia="Arial" w:hAnsi="Arial"/>
          <w:sz w:val="18"/>
          <w:szCs w:val="18"/>
          <w:color w:val="auto"/>
        </w:rPr>
        <w:t>General and administrative expense decreased $27 million, or 64%, to $15 million for the three months ended March 31, 2022, as compared to $42 million for the three months ended March 31, 2021. The decrease was primarily related to a reversal of stock-based compensation in connection with the resignation of both our CEO and executive chair and the reduction of our workforce pursuant to the Restructuring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8"/>
                <w:szCs w:val="18"/>
                <w:color w:val="auto"/>
              </w:rPr>
            </w:pPr>
          </w:p>
        </w:tc>
        <w:tc>
          <w:tcPr>
            <w:tcW w:w="22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61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494"/>
              <w:spacing w:after="0"/>
              <w:rPr>
                <w:sz w:val="20"/>
                <w:szCs w:val="20"/>
                <w:color w:val="auto"/>
              </w:rPr>
            </w:pPr>
            <w:r>
              <w:rPr>
                <w:rFonts w:ascii="Arial" w:cs="Arial" w:eastAsia="Arial" w:hAnsi="Arial"/>
                <w:sz w:val="18"/>
                <w:szCs w:val="18"/>
                <w:b w:val="1"/>
                <w:bCs w:val="1"/>
                <w:color w:val="auto"/>
              </w:rPr>
              <w:t>March 31,</w:t>
            </w:r>
          </w:p>
        </w:tc>
        <w:tc>
          <w:tcPr>
            <w:tcW w:w="2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6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r>
      <w:tr>
        <w:trPr>
          <w:trHeight w:val="210"/>
        </w:trPr>
        <w:tc>
          <w:tcPr>
            <w:tcW w:w="6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ind w:left="6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(100)%</w:t>
            </w:r>
          </w:p>
        </w:tc>
        <w:tc>
          <w:tcPr>
            <w:tcW w:w="120" w:type="dxa"/>
            <w:vAlign w:val="bottom"/>
            <w:shd w:val="clear" w:color="auto" w:fill="CFF0FC"/>
          </w:tcPr>
          <w:p>
            <w:pPr>
              <w:spacing w:after="0"/>
              <w:rPr>
                <w:sz w:val="18"/>
                <w:szCs w:val="18"/>
                <w:color w:val="auto"/>
              </w:rPr>
            </w:pPr>
          </w:p>
        </w:tc>
      </w:tr>
      <w:tr>
        <w:trPr>
          <w:trHeight w:val="239"/>
        </w:trPr>
        <w:tc>
          <w:tcPr>
            <w:tcW w:w="616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spacing w:after="0"/>
              <w:rPr>
                <w:sz w:val="20"/>
                <w:szCs w:val="20"/>
                <w:color w:val="auto"/>
              </w:rPr>
            </w:pPr>
          </w:p>
        </w:tc>
        <w:tc>
          <w:tcPr>
            <w:tcW w:w="1460" w:type="dxa"/>
            <w:vAlign w:val="bottom"/>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74" w:lineRule="exact"/>
        <w:rPr>
          <w:sz w:val="20"/>
          <w:szCs w:val="20"/>
          <w:color w:val="auto"/>
        </w:rPr>
      </w:pPr>
    </w:p>
    <w:p>
      <w:pPr>
        <w:jc w:val="both"/>
        <w:ind w:firstLine="637"/>
        <w:spacing w:after="0" w:line="253" w:lineRule="auto"/>
        <w:rPr>
          <w:sz w:val="20"/>
          <w:szCs w:val="20"/>
          <w:color w:val="auto"/>
        </w:rPr>
      </w:pPr>
      <w:r>
        <w:rPr>
          <w:rFonts w:ascii="Arial" w:cs="Arial" w:eastAsia="Arial" w:hAnsi="Arial"/>
          <w:sz w:val="18"/>
          <w:szCs w:val="18"/>
          <w:color w:val="auto"/>
        </w:rPr>
        <w:t>Provision for income taxes decreased $ 2 million for the three months ended March 31, 2022 compared to the three months ended March 31, 2021. The change in provision for income taxes was primarily due to a decrease in pre-tax earnings of our international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of March 31, 2022, we had cash, cash equivalents and marketable securities of $1.0 billion,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though we may require additional financing or capital resources in the future.</w:t>
      </w:r>
    </w:p>
    <w:p>
      <w:pPr>
        <w:spacing w:after="0" w:line="120" w:lineRule="exact"/>
        <w:rPr>
          <w:sz w:val="20"/>
          <w:szCs w:val="20"/>
          <w:color w:val="auto"/>
        </w:rPr>
      </w:pPr>
    </w:p>
    <w:p>
      <w:pPr>
        <w:ind w:right="240" w:firstLine="644"/>
        <w:spacing w:after="0" w:line="271" w:lineRule="auto"/>
        <w:rPr>
          <w:sz w:val="20"/>
          <w:szCs w:val="20"/>
          <w:color w:val="auto"/>
        </w:rPr>
      </w:pPr>
      <w:r>
        <w:rPr>
          <w:rFonts w:ascii="Arial" w:cs="Arial" w:eastAsia="Arial" w:hAnsi="Arial"/>
          <w:sz w:val="18"/>
          <w:szCs w:val="18"/>
          <w:color w:val="auto"/>
        </w:rPr>
        <w:t>Our material cash requirements include $190 million in accounts and merchants payable, $7 million remaining on a colocation and cloud services purchase commitment, and $25 million of facility lease obligations, of which $7 million is due within the next 12 months.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November 2020 Credit Facility</w:t>
      </w:r>
    </w:p>
    <w:p>
      <w:pPr>
        <w:spacing w:after="0" w:line="156"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March 31, 2022, we had not made any borrowings under the Revolving Credit Facility. Refer to Note 7 to our condensed consolidated financial statements in Item 1 of Part I, “Financial Information” for additional details related to the Revolving Credit Facility.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140" w:type="dxa"/>
            <w:vAlign w:val="bottom"/>
          </w:tcPr>
          <w:p>
            <w:pPr>
              <w:spacing w:after="0"/>
              <w:rPr>
                <w:sz w:val="21"/>
                <w:szCs w:val="21"/>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6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9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March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(146)</w:t>
            </w:r>
          </w:p>
        </w:tc>
        <w:tc>
          <w:tcPr>
            <w:tcW w:w="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(105)</w:t>
            </w:r>
          </w:p>
        </w:tc>
        <w:tc>
          <w:tcPr>
            <w:tcW w:w="8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140" w:type="dxa"/>
            <w:vAlign w:val="bottom"/>
          </w:tcPr>
          <w:p>
            <w:pPr>
              <w:spacing w:after="0"/>
              <w:rPr>
                <w:sz w:val="20"/>
                <w:szCs w:val="20"/>
                <w:color w:val="auto"/>
              </w:rPr>
            </w:pP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Our cash flows from operations are largely dependent on the amount of revenue we generate. Net cash used in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w:t>
      </w:r>
    </w:p>
    <w:p>
      <w:pPr>
        <w:spacing w:after="0" w:line="115"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Net cash used in our operating activities for the three months ended March 31, 2022 was $146 million. This was driven by our net loss of $60 million and $97 million unfavorable changes in our operating assets and liabilities, which was partially offset by non-cash expenses of $11 million. Unfavorable working capital movement was mainly driven by reductions in accounts payable, merchants payable and accrued and refund liabilities. Accounts payable decreased by $27 million primarily due to lower order volumes and reduced digital advertising expenditures.</w:t>
      </w:r>
    </w:p>
    <w:p>
      <w:pPr>
        <w:spacing w:after="0" w:line="122" w:lineRule="exact"/>
        <w:rPr>
          <w:sz w:val="20"/>
          <w:szCs w:val="20"/>
          <w:color w:val="auto"/>
        </w:rPr>
      </w:pPr>
    </w:p>
    <w:p>
      <w:pPr>
        <w:jc w:val="both"/>
        <w:ind w:firstLine="637"/>
        <w:spacing w:after="0" w:line="239" w:lineRule="auto"/>
        <w:rPr>
          <w:sz w:val="20"/>
          <w:szCs w:val="20"/>
          <w:color w:val="auto"/>
        </w:rPr>
      </w:pPr>
      <w:r>
        <w:rPr>
          <w:rFonts w:ascii="Arial" w:cs="Arial" w:eastAsia="Arial" w:hAnsi="Arial"/>
          <w:sz w:val="18"/>
          <w:szCs w:val="18"/>
          <w:color w:val="auto"/>
        </w:rPr>
        <w:t>Net cash used in our operating activities for the three months ended March 31, 2021 was $354 million. This was primarily driven by our net loss of $128 million and $266 million unfavorable net working capital changes, which was partially offset by non-cash expenses, such as stock-based compensation expense of $37 million. Unfavorable working capital movement was mainly driven by accounts payable and merchants payable. Accounts payable decreased by $143 million primarily due to shorter vendor payment terms. Due to the COVID-19 pandemic, we were able to negotiate favorable payment terms with certain key digital advertising partners (45 days and 60 days). The payment terms with these key digital advertising partners reverted back to 30 days when the favorable terms expired on December 31, 2020. Merchants payable decreased by $73 million primarily driven by lower order volumes in the first quarter of 2021 compared to the fourth quarter of 2020 due to seasonality and higher percentage of shipments through our A+ program which accelerated the payment of merchants payable due to higher delivery confirmation rates. Other decreases in unfavorable working capital movement were driven by refunds and accrued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Net cash used in investing activities was $105 million for the three months ended March 31, 2022. This was primarily due to $153 million in purchases of marketable securities and $2 million in capital expenditures, partially offset by $50 million of maturities in marketable securities.</w:t>
      </w:r>
    </w:p>
    <w:p>
      <w:pPr>
        <w:spacing w:after="0" w:line="115"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Net cash provided by investing activities was $14 million for the three months ended March 31, 2021. This was primarily due to $67 million of maturities of marketable securities, partially offset by $53 million purchases of marketable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generated by our financing activities was insignificant for the three months ended March 31, 2022.</w:t>
      </w:r>
    </w:p>
    <w:p>
      <w:pPr>
        <w:spacing w:after="0" w:line="158"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auto"/>
        </w:rPr>
        <w:t>Net cash used in our financing activities was $5 million for the three months ended March 31, 2021 primarily due to tax payments related to RSU settlement.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5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For the three months ended March 31, 2022 and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58"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We are involved in claims, lawsuits, government investigations, and proceedings arising from the ordinary course of our business. We record a provision for a liability when we believe that it is both probable that a liability has been incurred, and the amount can be reasonably estimated. Significant judgment is required to determine both probability and the estimated amount. Such legal proceedings are inherently unpredictable and subject to significant uncertainties, some of which are beyond our control. Should any of these estimates and assumptions change or prove to be incorrect, it could have a material impact on our results of operations, financial position, and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8" w:lineRule="exact"/>
        <w:rPr>
          <w:sz w:val="20"/>
          <w:szCs w:val="20"/>
          <w:color w:val="auto"/>
        </w:rPr>
      </w:pPr>
    </w:p>
    <w:p>
      <w:pPr>
        <w:jc w:val="both"/>
        <w:ind w:firstLine="584"/>
        <w:spacing w:after="0" w:line="242" w:lineRule="auto"/>
        <w:rPr>
          <w:sz w:val="20"/>
          <w:szCs w:val="20"/>
          <w:color w:val="auto"/>
        </w:rPr>
      </w:pPr>
      <w:r>
        <w:rPr>
          <w:rFonts w:ascii="Arial" w:cs="Arial" w:eastAsia="Arial" w:hAnsi="Arial"/>
          <w:sz w:val="18"/>
          <w:szCs w:val="18"/>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We evaluate our estimates, including those listed below on an ongoing basis. We base our estimates on historical facts and various other assumptions that we believe to be reasonable at the time the estimates are made. Actual results could differ from those estimates.</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critical accounting policies are as follows:</w:t>
      </w:r>
    </w:p>
    <w:p>
      <w:pPr>
        <w:spacing w:after="0" w:line="104" w:lineRule="exact"/>
        <w:rPr>
          <w:sz w:val="20"/>
          <w:szCs w:val="20"/>
          <w:color w:val="auto"/>
        </w:rPr>
      </w:pPr>
    </w:p>
    <w:p>
      <w:pPr>
        <w:ind w:left="1340" w:hanging="374"/>
        <w:spacing w:after="0"/>
        <w:tabs>
          <w:tab w:leader="none" w:pos="13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Revenue recognition;</w:t>
      </w:r>
    </w:p>
    <w:p>
      <w:pPr>
        <w:spacing w:after="0" w:line="117" w:lineRule="exact"/>
        <w:rPr>
          <w:rFonts w:ascii="Times New Roman" w:cs="Times New Roman" w:eastAsia="Times New Roman" w:hAnsi="Times New Roman"/>
          <w:sz w:val="16"/>
          <w:szCs w:val="16"/>
          <w:color w:val="auto"/>
        </w:rPr>
      </w:pPr>
    </w:p>
    <w:p>
      <w:pPr>
        <w:ind w:left="1340" w:hanging="374"/>
        <w:spacing w:after="0"/>
        <w:tabs>
          <w:tab w:leader="none" w:pos="13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Operating lease obligations;</w:t>
      </w:r>
    </w:p>
    <w:p>
      <w:pPr>
        <w:spacing w:after="0" w:line="117" w:lineRule="exact"/>
        <w:rPr>
          <w:rFonts w:ascii="Times New Roman" w:cs="Times New Roman" w:eastAsia="Times New Roman" w:hAnsi="Times New Roman"/>
          <w:sz w:val="16"/>
          <w:szCs w:val="16"/>
          <w:color w:val="auto"/>
        </w:rPr>
      </w:pPr>
    </w:p>
    <w:p>
      <w:pPr>
        <w:ind w:left="1340" w:hanging="374"/>
        <w:spacing w:after="0"/>
        <w:tabs>
          <w:tab w:leader="none" w:pos="13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Impairment of long-lived assets, including intangibles and lease assets;</w:t>
      </w:r>
    </w:p>
    <w:p>
      <w:pPr>
        <w:spacing w:after="0" w:line="117" w:lineRule="exact"/>
        <w:rPr>
          <w:rFonts w:ascii="Times New Roman" w:cs="Times New Roman" w:eastAsia="Times New Roman" w:hAnsi="Times New Roman"/>
          <w:sz w:val="16"/>
          <w:szCs w:val="16"/>
          <w:color w:val="auto"/>
        </w:rPr>
      </w:pPr>
    </w:p>
    <w:p>
      <w:pPr>
        <w:ind w:left="1340" w:hanging="374"/>
        <w:spacing w:after="0"/>
        <w:tabs>
          <w:tab w:leader="none" w:pos="13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Stock-based compensation; and</w:t>
      </w:r>
    </w:p>
    <w:p>
      <w:pPr>
        <w:spacing w:after="0" w:line="117" w:lineRule="exact"/>
        <w:rPr>
          <w:rFonts w:ascii="Times New Roman" w:cs="Times New Roman" w:eastAsia="Times New Roman" w:hAnsi="Times New Roman"/>
          <w:sz w:val="16"/>
          <w:szCs w:val="16"/>
          <w:color w:val="auto"/>
        </w:rPr>
      </w:pPr>
    </w:p>
    <w:p>
      <w:pPr>
        <w:ind w:left="1340" w:hanging="374"/>
        <w:spacing w:after="0"/>
        <w:tabs>
          <w:tab w:leader="none" w:pos="13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right="20" w:firstLine="578"/>
        <w:spacing w:after="0" w:line="271" w:lineRule="auto"/>
        <w:rPr>
          <w:sz w:val="20"/>
          <w:szCs w:val="20"/>
          <w:color w:val="auto"/>
        </w:rPr>
      </w:pPr>
      <w:r>
        <w:rPr>
          <w:rFonts w:ascii="Arial" w:cs="Arial" w:eastAsia="Arial" w:hAnsi="Arial"/>
          <w:sz w:val="18"/>
          <w:szCs w:val="18"/>
          <w:color w:val="auto"/>
        </w:rPr>
        <w:t>Our critical accounting policies are important to the portrayal of our financial condition and results of operations, and require us to make judgments and estimates about matters that are inherently uncertain.</w:t>
      </w:r>
    </w:p>
    <w:p>
      <w:pPr>
        <w:spacing w:after="0" w:line="100" w:lineRule="exact"/>
        <w:rPr>
          <w:sz w:val="20"/>
          <w:szCs w:val="20"/>
          <w:color w:val="auto"/>
        </w:rPr>
      </w:pPr>
    </w:p>
    <w:p>
      <w:pPr>
        <w:ind w:firstLine="578"/>
        <w:spacing w:after="0" w:line="271"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our 2021 Form 10-K, filed with the SEC on March 14,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Note 1 of Part I, Item 1 of this Quarterly Report on Form 10-Q for a full description of recent accounting pronouncements.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56"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Cash, cash equivalents and marketable securities as of March 31, 2022 were held primarily in cash deposits and money market funds. The fair value of our cash, cash equivalents, and investments would not be significantly affected by either an increase or decrease in interest rates due mainly to the short-term nature of these instruments. A 100 basis point increase or decrease in our current interest rates would have increased or decreased our interest income by $10 million for the three months ended March 31,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5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8"/>
          <w:szCs w:val="18"/>
          <w:color w:val="auto"/>
        </w:rPr>
        <w:t>We transact business in various foreign countries and are, therefore, subject to risk of foreign currency exchange rate fluctuations. We have established a foreign currency risk management policy to provide processes and procedures for managing this risk. We use natural hedging techniques first to net off existing foreign currency exposures. For the remaining exposure, we may enter into short term foreign currency derivative contracts, including forward contracts to hedge exposures associated with monetary assets and liabilities, mainly merchants payable, and cash flows denominated in non-functional currencies.</w:t>
      </w:r>
    </w:p>
    <w:p>
      <w:pPr>
        <w:spacing w:after="0" w:line="122" w:lineRule="exact"/>
        <w:rPr>
          <w:sz w:val="20"/>
          <w:szCs w:val="20"/>
          <w:color w:val="auto"/>
        </w:rPr>
      </w:pPr>
    </w:p>
    <w:p>
      <w:pPr>
        <w:jc w:val="both"/>
        <w:ind w:firstLine="637"/>
        <w:spacing w:after="0" w:line="242" w:lineRule="auto"/>
        <w:rPr>
          <w:sz w:val="20"/>
          <w:szCs w:val="20"/>
          <w:color w:val="auto"/>
        </w:rPr>
      </w:pPr>
      <w:r>
        <w:rPr>
          <w:rFonts w:ascii="Arial" w:cs="Arial" w:eastAsia="Arial" w:hAnsi="Arial"/>
          <w:sz w:val="18"/>
          <w:szCs w:val="18"/>
          <w:color w:val="auto"/>
        </w:rPr>
        <w:t>The credit risk of our foreign exchange derivative contracts is minimized since contracts are not concentrated with any one financial institution and all contracts are only placed with large financial institutions. The gains and losses on foreign currency derivative contracts generally offset the losses and gains on the assets, liabilities and transactions hedged. The fair value of foreign exchange derivative contracts is reported in the condensed consolidated balance sheets. The majority of these foreign exchange contracts expire in less than three months and all expire within one year. Refer to Note 5 to our condensed consolidated financial statements in Item 1 of Part I, “Financial Statements” for more information related to our derivative financial instruments.</w:t>
      </w:r>
    </w:p>
    <w:p>
      <w:pPr>
        <w:spacing w:after="0" w:line="125" w:lineRule="exact"/>
        <w:rPr>
          <w:sz w:val="20"/>
          <w:szCs w:val="20"/>
          <w:color w:val="auto"/>
        </w:rPr>
      </w:pPr>
    </w:p>
    <w:p>
      <w:pPr>
        <w:jc w:val="both"/>
        <w:ind w:firstLine="637"/>
        <w:spacing w:after="0" w:line="247" w:lineRule="auto"/>
        <w:rPr>
          <w:sz w:val="20"/>
          <w:szCs w:val="20"/>
          <w:color w:val="auto"/>
        </w:rPr>
      </w:pPr>
      <w:r>
        <w:rPr>
          <w:rFonts w:ascii="Arial" w:cs="Arial" w:eastAsia="Arial" w:hAnsi="Arial"/>
          <w:sz w:val="18"/>
          <w:szCs w:val="18"/>
          <w:color w:val="auto"/>
        </w:rPr>
        <w:t>Based on our overall currency rate exposures as of March 31, 2022,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56"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As of the date of filing of this Quarterly Report, we do not believe that inflation has had a material effect on our business, financial condition, or results of operations. If the Company’s costs were to become subject to significant inflationary pressures, the Company may not be able to fully offset such higher costs through increases in revenue as increases in core inflation rates may also affect consumers’ willingness to make discretionary purchases on our platforms. The Company’s inability or failure to do so could harm the Company’s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6"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CEO and Chief Financial Officer, with assistance from other members of management, have reviewed the effectiveness of our disclosure controls and procedures as of March 31, 2022, and, based on their evaluation, have concluded that the disclosure controls and procedures were not effective as of such date due to material weaknesses in internal control over financial reporting,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Previously Reported Material Weaknesses</w:t>
      </w:r>
    </w:p>
    <w:p>
      <w:pPr>
        <w:spacing w:after="0" w:line="15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As disclosed in Item 9A, “Controls and Procedures” within our 2021 Form 10-K, which was filed with the SEC on March 14, 2022, the following material weaknesses were identified:</w:t>
      </w:r>
    </w:p>
    <w:p>
      <w:pPr>
        <w:spacing w:after="0" w:line="100" w:lineRule="exact"/>
        <w:rPr>
          <w:sz w:val="20"/>
          <w:szCs w:val="20"/>
          <w:color w:val="auto"/>
        </w:rPr>
      </w:pPr>
    </w:p>
    <w:p>
      <w:pPr>
        <w:ind w:left="760" w:right="20" w:hanging="469"/>
        <w:spacing w:after="0" w:line="239"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did not design and maintain effective controls over information technology general controls (“ITGCs”) for information systems and applications that are relevant to the preparation of the consolidated financial statements. Specifically, the Company did not design and maintain: (i) sufficient user access controls to ensure appropriate segregation of duties and adequately restrict user and privileged access to financial applications, programs and data to appropriate Company personnel; (ii) program change management controls to ensure that information technology program and data changes affecting financial information technology applications and underlying accounting records are identified, tested, authorized and implemented appropriately; and (iii) computer operations controls to ensure that critical batch and interface jobs are monitored, privileges are appropriately granted, and data backups are authorized and monitored. Business process controls (automated and manual) that are dependent on the ineffective ITGCs, or that rely on data produced from systems impacted by the ineffective ITGCs, are also deemed ineffective.</w:t>
      </w:r>
    </w:p>
    <w:p>
      <w:pPr>
        <w:spacing w:after="0" w:line="128" w:lineRule="exact"/>
        <w:rPr>
          <w:rFonts w:ascii="Times New Roman" w:cs="Times New Roman" w:eastAsia="Times New Roman" w:hAnsi="Times New Roman"/>
          <w:sz w:val="18"/>
          <w:szCs w:val="18"/>
          <w:color w:val="auto"/>
        </w:rPr>
      </w:pPr>
    </w:p>
    <w:p>
      <w:pPr>
        <w:ind w:left="760" w:right="80" w:hanging="469"/>
        <w:spacing w:after="0" w:line="239"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did not fully implement components of the COSO framework, including elements of the control environment, information and communication, control activities and monitoring activities components, relating to: (i) providing sufficient management oversight and ownership over the internal control evaluation process; (ii) hiring and training sufficient competent personnel to support the Company’s internal control objectives; (iii) performing timely monitoring to ascertain whether the components of internal control are present and functioning effectively; (iv) communicating deficiencies in a timely manner to those parties responsible for taking corrective action; and (v) retaining sufficient documentation of control activities and evidence supporting the operating effectiveness of the controls. As such, management concluded that it did not have an adequate process in place to complete its assessment of the design and operating effectiveness of internal control over financial reporting in a timely manner.</w:t>
      </w:r>
    </w:p>
    <w:p>
      <w:pPr>
        <w:spacing w:after="0" w:line="12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After giving full consideration to these material weaknesses, and the additional analyses and other procedures we performed to ensure that our condensed consolidated financial statements included in this Quarterly Report on Form 10-Q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Management’s Plan to Remediate the Material Weaknesses</w:t>
      </w:r>
    </w:p>
    <w:p>
      <w:pPr>
        <w:spacing w:after="0" w:line="15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8"/>
          <w:szCs w:val="18"/>
          <w:color w:val="auto"/>
        </w:rPr>
        <w:t>Our remediation efforts are ongoing and we will continue our initiatives to implement measures designed to ensure that control deficiencies contributing to the material weaknesses are remediated, such that these controls are designed, implemented, and operating effectively. Management is committed to making the necessary changes and improvements to its system of controls to address the material weaknesses in internal control over financial reporting described above.</w:t>
      </w:r>
    </w:p>
    <w:p>
      <w:pPr>
        <w:spacing w:after="0" w:line="120"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18"/>
          <w:szCs w:val="18"/>
          <w:color w:val="auto"/>
        </w:rPr>
        <w:t>In 2021, the Company added to its executive leadership team individuals who have extensive backgrounds leading and operating in companies compliant with the Sarbanes Oxley Act (“SOX”): (i) Chief Financial Officer, who is also a certified public accountant (“CPA”) and experienced in U.S. GAAP financial reporting, (ii) Chief Technology Officer, with experience in SOX compliance within Fortune 100 companies, (iii) Chief Product Officer, with experience in SOX compliance within Fortune 100 companies, and (iv) six finance and accounting personnel ranging from staff accountants to a Senior Director who are also all CPAs. Additionally, in 2022, the Company appointed a new CEO, an experienced retail, ecommerce and consumer brand executive who has led significant digital and operational transformations within both established and rapidly growing public, multinational enterprises. We believe that this leadership team has the experience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commitment necessary to oversee and lead the necessary steps needed to remediate the material weaknesses noted above</w:t>
      </w:r>
      <w:r>
        <w:rPr>
          <w:rFonts w:ascii="Arial" w:cs="Arial" w:eastAsia="Arial" w:hAnsi="Arial"/>
          <w:sz w:val="21"/>
          <w:szCs w:val="21"/>
          <w:color w:val="auto"/>
        </w:rPr>
        <w:t>.</w:t>
      </w:r>
    </w:p>
    <w:p>
      <w:pPr>
        <w:spacing w:after="0" w:line="151"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8"/>
          <w:szCs w:val="18"/>
          <w:color w:val="auto"/>
        </w:rPr>
        <w:t>We are committed to continuing to implement a strong system of controls and believe that our ongoing remediation efforts will result in significant improvements to our system of controls and will remediate the material weaknesses. However, material weaknesses are not considered remediated until the new controls have been operational for a period of time, are tested, and management concludes that these controls are operating effectively. This remediation process will require resources and time to implement. We will continue to monitor the effectiveness of these remediation measures, and we will make any changes to the design of this plan and take such other actions that we deem appropriate given the circumstances.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Other than the changes associated with the material weaknesses and remediation actions noted above, there have been no changes to our internal control over financial reporting that occurred during the quarter ended March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the Effectiveness of Disclosure Controls and Procedures</w:t>
      </w:r>
    </w:p>
    <w:p>
      <w:pPr>
        <w:spacing w:after="0" w:line="15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8"/>
          <w:szCs w:val="18"/>
          <w:color w:val="auto"/>
        </w:rPr>
        <w:t>The information set forth under Note 7, Commitments and Contingencies, in Notes to Unaudited Condensed Consolidated Financial Statements included in Part I, Item 1, of this Quarterly Report on Form 10-Q, is incorporated herein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8"/>
          <w:szCs w:val="18"/>
          <w:color w:val="auto"/>
        </w:rPr>
        <w:t>You should carefully consider the risks and uncertainties described under the heading "Risk Factors" in Part I, Item 1A of our 2021 Form 10 -K, together with all of the other information contained in this Quarterly Report on Form 10-Q, including our condensed consolidated financial statements and related notes, before making a decision to invest in our Class A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ordinary shares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There have been no additional material changes from the risks and uncertainties previously disclosed under the "Risk Factors" section in our 2021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40"/>
          </w:cols>
          <w:pgMar w:left="320" w:top="688" w:right="339" w:bottom="1440" w:gutter="0" w:footer="0" w:header="0"/>
        </w:sectPr>
      </w:pPr>
    </w:p>
    <w:p>
      <w:pPr>
        <w:spacing w:after="0" w:line="26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000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10.15</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10.16</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10.17</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31.1*</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31.2*</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32.1**</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32.2**</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9512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64547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15" w:lineRule="exact"/>
        <w:rPr>
          <w:sz w:val="20"/>
          <w:szCs w:val="20"/>
          <w:color w:val="auto"/>
        </w:rPr>
      </w:pPr>
    </w:p>
    <w:p>
      <w:pPr>
        <w:ind w:right="280"/>
        <w:spacing w:after="0" w:line="245" w:lineRule="auto"/>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Offer Letter, dated January 26, 2022, by and between the Company and Vijay Talwar (incorporated by reference from Exhibit</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10.15 to the Company’s Annual Report on Form 10-K filed on March 1</w:t>
        </w:r>
        <w:r>
          <w:rPr>
            <w:rFonts w:ascii="Times New Roman" w:cs="Times New Roman" w:eastAsia="Times New Roman" w:hAnsi="Times New Roman"/>
            <w:sz w:val="18"/>
            <w:szCs w:val="18"/>
            <w:u w:val="single" w:color="auto"/>
            <w:color w:val="0000EE"/>
          </w:rPr>
          <w:t>4</w:t>
        </w:r>
        <w:r>
          <w:rPr>
            <w:rFonts w:ascii="Arial" w:cs="Arial" w:eastAsia="Arial" w:hAnsi="Arial"/>
            <w:sz w:val="18"/>
            <w:szCs w:val="18"/>
            <w:u w:val="single" w:color="auto"/>
            <w:color w:val="0000EE"/>
          </w:rPr>
          <w:t>, 2022).</w:t>
        </w:r>
      </w:hyperlink>
    </w:p>
    <w:p>
      <w:pPr>
        <w:spacing w:after="0" w:line="1" w:lineRule="exact"/>
        <w:rPr>
          <w:sz w:val="20"/>
          <w:szCs w:val="20"/>
          <w:color w:val="auto"/>
        </w:rPr>
      </w:pPr>
    </w:p>
    <w:p>
      <w:pPr>
        <w:ind w:right="160"/>
        <w:spacing w:after="0" w:line="249" w:lineRule="auto"/>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Consulting Agreement, dated February 4, 2022, between the Registrant and Jaqueline Reses (incorporated by reference from</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Exhibit 10.16 to the Company’s Annual Report on Form 10-K filed on March 1</w:t>
        </w:r>
        <w:r>
          <w:rPr>
            <w:rFonts w:ascii="Times New Roman" w:cs="Times New Roman" w:eastAsia="Times New Roman" w:hAnsi="Times New Roman"/>
            <w:sz w:val="18"/>
            <w:szCs w:val="18"/>
            <w:u w:val="single" w:color="auto"/>
            <w:color w:val="0000EE"/>
          </w:rPr>
          <w:t>4</w:t>
        </w:r>
        <w:r>
          <w:rPr>
            <w:rFonts w:ascii="Arial" w:cs="Arial" w:eastAsia="Arial" w:hAnsi="Arial"/>
            <w:sz w:val="18"/>
            <w:szCs w:val="18"/>
            <w:u w:val="single" w:color="auto"/>
            <w:color w:val="0000EE"/>
          </w:rPr>
          <w:t>, 2022).</w:t>
        </w:r>
      </w:hyperlink>
    </w:p>
    <w:p>
      <w:pPr>
        <w:spacing w:after="0" w:line="2" w:lineRule="exact"/>
        <w:rPr>
          <w:sz w:val="20"/>
          <w:szCs w:val="20"/>
          <w:color w:val="auto"/>
        </w:rPr>
      </w:pPr>
    </w:p>
    <w:p>
      <w:pPr>
        <w:ind w:right="180"/>
        <w:spacing w:after="0" w:line="247" w:lineRule="auto"/>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ContextLogic Inc. 2022 New Employee Equity Incentive Plan and forms of agreements thereunder, as amended (incorporated</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by reference from Exhibit 99.1 to the Company’s Form S-8 filed on January 31, 2022).</w:t>
        </w:r>
      </w:hyperlink>
    </w:p>
    <w:p>
      <w:pPr>
        <w:spacing w:after="0" w:line="1" w:lineRule="exact"/>
        <w:rPr>
          <w:sz w:val="20"/>
          <w:szCs w:val="20"/>
          <w:color w:val="auto"/>
        </w:rPr>
      </w:pPr>
    </w:p>
    <w:p>
      <w:pPr>
        <w:ind w:right="360"/>
        <w:spacing w:after="0" w:line="242" w:lineRule="auto"/>
        <w:rPr>
          <w:sz w:val="20"/>
          <w:szCs w:val="20"/>
          <w:color w:val="auto"/>
        </w:rPr>
      </w:pPr>
      <w:r>
        <w:rPr>
          <w:rFonts w:ascii="Arial" w:cs="Arial" w:eastAsia="Arial" w:hAnsi="Arial"/>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ind w:right="420"/>
        <w:spacing w:after="0" w:line="242" w:lineRule="auto"/>
        <w:rPr>
          <w:sz w:val="20"/>
          <w:szCs w:val="20"/>
          <w:color w:val="auto"/>
        </w:rPr>
      </w:pPr>
      <w:r>
        <w:rPr>
          <w:rFonts w:ascii="Arial" w:cs="Arial" w:eastAsia="Arial" w:hAnsi="Arial"/>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1" w:lineRule="exact"/>
        <w:rPr>
          <w:sz w:val="20"/>
          <w:szCs w:val="20"/>
          <w:color w:val="auto"/>
        </w:rPr>
      </w:pPr>
    </w:p>
    <w:p>
      <w:pPr>
        <w:ind w:right="480"/>
        <w:spacing w:after="0" w:line="242" w:lineRule="auto"/>
        <w:rPr>
          <w:sz w:val="20"/>
          <w:szCs w:val="20"/>
          <w:color w:val="auto"/>
        </w:rPr>
      </w:pPr>
      <w:r>
        <w:rPr>
          <w:rFonts w:ascii="Arial" w:cs="Arial" w:eastAsia="Arial" w:hAnsi="Arial"/>
          <w:sz w:val="18"/>
          <w:szCs w:val="18"/>
          <w:u w:val="single" w:color="auto"/>
          <w:color w:val="0000EE"/>
        </w:rPr>
        <w:t>Certification of Principal Executive Officer Pursuant to 18 U.S.C. Section 1350, as Adopted Pursuant to Section 906 of the Sarbanes-Oxley Act of 2002.</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u w:val="single" w:color="auto"/>
          <w:color w:val="0000EE"/>
        </w:rPr>
        <w:t>Certification of Principal Financial Officer Pursuant to 18 U.S.C. Section 1350, as Adopted Pursuant to Section 906 of the Sarbanes-Oxley Act of 2002.</w:t>
      </w:r>
    </w:p>
    <w:p>
      <w:pPr>
        <w:spacing w:after="0" w:line="22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 embedded within the Inline XBRL document.</w:t>
      </w: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800" w:space="280"/>
            <w:col w:w="10160"/>
          </w:cols>
          <w:pgMar w:left="320" w:top="688" w:right="339" w:bottom="1440" w:gutter="0" w:footer="0" w:header="0"/>
          <w:type w:val="continuous"/>
        </w:sectPr>
      </w:pPr>
    </w:p>
    <w:p>
      <w:pPr>
        <w:spacing w:after="0" w:line="9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4"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1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ContextLogic Inc.</w:t>
      </w:r>
    </w:p>
    <w:p>
      <w:pPr>
        <w:spacing w:after="0" w:line="239" w:lineRule="exact"/>
        <w:rPr>
          <w:sz w:val="20"/>
          <w:szCs w:val="20"/>
          <w:color w:val="auto"/>
        </w:rPr>
      </w:pPr>
    </w:p>
    <w:p>
      <w:pPr>
        <w:spacing w:after="0"/>
        <w:tabs>
          <w:tab w:leader="none" w:pos="5620" w:val="left"/>
          <w:tab w:leader="none" w:pos="798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Vijay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9"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Vijay Talwar</w:t>
      </w:r>
    </w:p>
    <w:p>
      <w:pPr>
        <w:spacing w:after="0" w:line="18"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Chief Executive Officer and Director</w:t>
      </w:r>
    </w:p>
    <w:p>
      <w:pPr>
        <w:spacing w:after="0" w:line="3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5640"/>
        <w:spacing w:after="0"/>
        <w:tabs>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0"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Vivian Liu</w:t>
      </w:r>
    </w:p>
    <w:p>
      <w:pPr>
        <w:spacing w:after="0" w:line="50"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580"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 Vijay Talwar, certify that:</w:t>
      </w:r>
    </w:p>
    <w:p>
      <w:pPr>
        <w:spacing w:after="0" w:line="104"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00" w:right="100" w:hanging="492"/>
        <w:spacing w:after="0" w:line="25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00" w:right="280" w:hanging="492"/>
        <w:spacing w:after="0" w:line="25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00" w:right="80" w:hanging="492"/>
        <w:spacing w:after="0" w:line="25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00" w:right="300" w:hanging="493"/>
        <w:spacing w:after="0" w:line="25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00" w:right="300" w:hanging="493"/>
        <w:spacing w:after="0" w:line="25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00" w:right="240" w:hanging="493"/>
        <w:spacing w:after="0" w:line="25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00" w:right="40" w:hanging="493"/>
        <w:spacing w:after="0" w:line="25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00" w:right="280" w:hanging="492"/>
        <w:spacing w:after="0" w:line="25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00" w:right="220" w:hanging="493"/>
        <w:spacing w:after="0" w:line="25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00" w:right="140" w:hanging="493"/>
        <w:spacing w:after="0" w:line="271"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5640" w:val="left"/>
          <w:tab w:leader="none" w:pos="80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Vijay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Vijay Talwar</w:t>
      </w:r>
    </w:p>
    <w:p>
      <w:pPr>
        <w:spacing w:after="0" w:line="1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 and Director</w:t>
      </w:r>
    </w:p>
    <w:p>
      <w:pPr>
        <w:ind w:left="7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 Vivian Liu, certify that:</w:t>
      </w:r>
    </w:p>
    <w:p>
      <w:pPr>
        <w:spacing w:after="0" w:line="104"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00" w:right="100" w:hanging="492"/>
        <w:spacing w:after="0" w:line="25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00" w:right="280" w:hanging="492"/>
        <w:spacing w:after="0" w:line="25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00" w:right="80" w:hanging="492"/>
        <w:spacing w:after="0" w:line="25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00" w:right="300" w:hanging="493"/>
        <w:spacing w:after="0" w:line="25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00" w:right="300" w:hanging="493"/>
        <w:spacing w:after="0" w:line="25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00" w:right="240" w:hanging="493"/>
        <w:spacing w:after="0" w:line="25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00" w:right="40" w:hanging="493"/>
        <w:spacing w:after="0" w:line="25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00" w:right="280" w:hanging="492"/>
        <w:spacing w:after="0" w:line="25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00" w:right="220" w:hanging="493"/>
        <w:spacing w:after="0" w:line="253"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00" w:right="140" w:hanging="493"/>
        <w:spacing w:after="0" w:line="271"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5640" w:val="left"/>
          <w:tab w:leader="none" w:pos="808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Vivian Liu</w:t>
      </w:r>
    </w:p>
    <w:p>
      <w:pPr>
        <w:spacing w:after="0" w:line="1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ind w:left="7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5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left="340" w:right="258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40" w:firstLine="510"/>
        <w:spacing w:after="0" w:line="253"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March 31, 2022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00" w:right="180" w:hanging="493"/>
        <w:spacing w:after="0" w:line="271"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00" w:right="60" w:hanging="493"/>
        <w:spacing w:after="0" w:line="271"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Vijay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Vijay Talwar</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Executive Officer</w:t>
      </w:r>
    </w:p>
    <w:p>
      <w:pPr>
        <w:spacing w:after="0" w:line="3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left="340" w:right="258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40" w:firstLine="510"/>
        <w:spacing w:after="0" w:line="253"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March 31, 2022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00" w:right="180" w:hanging="493"/>
        <w:spacing w:after="0" w:line="271"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00" w:right="60" w:hanging="493"/>
        <w:spacing w:after="0" w:line="271"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5680" w:val="left"/>
          <w:tab w:leader="none" w:pos="81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Vivian Liu</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Financial Officer</w:t>
      </w:r>
    </w:p>
    <w:p>
      <w:pPr>
        <w:spacing w:after="0" w:line="3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1" Type="http://schemas.openxmlformats.org/officeDocument/2006/relationships/hyperlink" Target="http://www.sec.gov/Archives/edgar/data/1822250/000119312522023478/d279247dex101.htm" TargetMode="External"/><Relationship Id="rId62" Type="http://schemas.openxmlformats.org/officeDocument/2006/relationships/hyperlink" Target="http://www.sec.gov/Archives/edgar/data/1822250/000156459022010074/wish-ex1016_316.htm" TargetMode="External"/><Relationship Id="rId63" Type="http://schemas.openxmlformats.org/officeDocument/2006/relationships/hyperlink" Target="http://www.sec.gov/Archives/edgar/data/1822250/000119312522023465/d28717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2022-05-06T10:55:52Z</dcterms:created>
  <dcterms:modified xsi:type="dcterms:W3CDTF">2022-05-06T10:55:52Z</dcterms:modified>
</cp:coreProperties>
</file>