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ish-20231231.htm"/>
      <w:bookmarkStart w:id="1" w:name="kswish20231231"/>
      <w:bookmarkEnd w:id="0"/>
      <w:bookmarkEnd w:id="1"/>
      <w:r>
        <w:rPr/>
        <w:t> </w:t>
      </w:r>
    </w:p>
    <w:p>
      <w:pPr>
        <w:pStyle w:val="TextBody"/>
        <w:bidi w:val="0"/>
        <w:jc w:val="center"/>
        <w:rPr/>
      </w:pPr>
      <w:r>
        <w:rPr/>
        <w:t> </w:t>
      </w:r>
    </w:p>
    <w:p>
      <w:pPr>
        <w:pStyle w:val="TextBody"/>
        <w:pBdr>
          <w:bottom w:val="double" w:sz="6" w:space="1" w:color="000000"/>
        </w:pBdr>
        <w:bidi w:val="0"/>
        <w:jc w:val="center"/>
        <w:rPr/>
      </w:pPr>
      <w:r>
        <w:rPr/>
        <w:t> </w:t>
      </w:r>
    </w:p>
    <w:p>
      <w:pPr>
        <w:pStyle w:val="TextBody"/>
        <w:bidi w:val="0"/>
        <w:spacing w:before="40" w:after="283"/>
        <w:jc w:val="center"/>
        <w:rPr>
          <w:rFonts w:ascii="Times New Roman" w:hAnsi="Times New Roman"/>
          <w:sz w:val="20"/>
        </w:rPr>
      </w:pPr>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32"/>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407" w:type="dxa"/>
        <w:jc w:val="left"/>
        <w:tblInd w:w="0" w:type="dxa"/>
        <w:tblLayout w:type="fixed"/>
        <w:tblCellMar>
          <w:top w:w="28" w:type="dxa"/>
          <w:left w:w="28" w:type="dxa"/>
          <w:bottom w:w="28" w:type="dxa"/>
          <w:right w:w="28" w:type="dxa"/>
        </w:tblCellMar>
      </w:tblPr>
      <w:tblGrid>
        <w:gridCol w:w="331"/>
        <w:gridCol w:w="9076"/>
      </w:tblGrid>
      <w:tr>
        <w:trPr/>
        <w:tc>
          <w:tcPr>
            <w:tcW w:w="331" w:type="dxa"/>
            <w:tcBorders/>
            <w:vAlign w:val="center"/>
          </w:tcPr>
          <w:p>
            <w:pPr>
              <w:pStyle w:val="TableContents"/>
              <w:bidi w:val="0"/>
              <w:spacing w:before="0" w:after="283"/>
              <w:jc w:val="left"/>
              <w:rPr>
                <w:sz w:val="4"/>
                <w:szCs w:val="4"/>
              </w:rPr>
            </w:pPr>
            <w:r>
              <w:rPr>
                <w:sz w:val="4"/>
                <w:szCs w:val="4"/>
              </w:rPr>
            </w:r>
          </w:p>
        </w:tc>
        <w:tc>
          <w:tcPr>
            <w:tcW w:w="90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Arial" w:hAnsi="Arial"/>
          <w:b/>
          <w:color w:val="000000"/>
          <w:sz w:val="20"/>
        </w:rPr>
      </w:pPr>
      <w:r>
        <w:rPr>
          <w:rFonts w:ascii="Arial" w:hAnsi="Arial"/>
          <w:b/>
          <w:color w:val="000000"/>
          <w:sz w:val="20"/>
        </w:rPr>
        <w:t>For the fiscal year ended December 31, 2023</w:t>
      </w:r>
    </w:p>
    <w:p>
      <w:pPr>
        <w:pStyle w:val="TextBody"/>
        <w:bidi w:val="0"/>
        <w:spacing w:before="6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8"/>
              </w:rPr>
            </w:pPr>
            <w:r>
              <w:rPr>
                <w:rFonts w:ascii="Arial" w:hAnsi="Arial"/>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Arial" w:hAnsi="Arial"/>
          <w:b/>
          <w:color w:val="000000"/>
          <w:sz w:val="18"/>
        </w:rPr>
        <w:t>Commission File Number 001-39775</w:t>
      </w:r>
      <w:r>
        <w:rPr>
          <w:rFonts w:ascii="Times New Roman" w:hAnsi="Times New Roman"/>
          <w:color w:val="000000"/>
          <w:sz w:val="20"/>
        </w:rPr>
        <w:t xml:space="preserve"> </w:t>
      </w:r>
    </w:p>
    <w:p>
      <w:pPr>
        <w:pStyle w:val="TextBody"/>
        <w:bidi w:val="0"/>
        <w:spacing w:before="60" w:after="283"/>
        <w:jc w:val="center"/>
        <w:rPr>
          <w:rFonts w:ascii="Arial" w:hAnsi="Arial"/>
          <w:b/>
          <w:color w:val="000000"/>
          <w:sz w:val="40"/>
        </w:rPr>
      </w:pPr>
      <w:r>
        <w:rPr>
          <w:rFonts w:ascii="Arial" w:hAnsi="Arial"/>
          <w:b/>
          <w:color w:val="000000"/>
          <w:sz w:val="40"/>
        </w:rPr>
        <w:t>ContextLogic Inc.</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27-2930953</w:t>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15"/>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r>
        <w:trPr/>
        <w:tc>
          <w:tcPr>
            <w:tcW w:w="3226"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16"/>
              </w:rPr>
            </w:pPr>
            <w:r>
              <w:rPr>
                <w:rFonts w:ascii="Arial" w:hAnsi="Arial"/>
                <w:b/>
                <w:color w:val="000000"/>
                <w:sz w:val="16"/>
              </w:rPr>
              <w:t>One Sansome Street 33rd Floor</w:t>
            </w:r>
          </w:p>
          <w:p>
            <w:pPr>
              <w:pStyle w:val="TableContents"/>
              <w:bidi w:val="0"/>
              <w:spacing w:before="0" w:after="15"/>
              <w:jc w:val="center"/>
              <w:rPr>
                <w:rFonts w:ascii="Arial" w:hAnsi="Arial"/>
                <w:b/>
                <w:color w:val="000000"/>
                <w:sz w:val="16"/>
              </w:rPr>
            </w:pPr>
            <w:r>
              <w:rPr>
                <w:rFonts w:ascii="Arial" w:hAnsi="Arial"/>
                <w:b/>
                <w:color w:val="000000"/>
                <w:sz w:val="16"/>
              </w:rPr>
              <w:t>San Francisco, CA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94104</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40" w:after="283"/>
        <w:jc w:val="center"/>
        <w:rPr>
          <w:rFonts w:ascii="Times New Roman" w:hAnsi="Times New Roman"/>
          <w:sz w:val="20"/>
        </w:rPr>
      </w:pPr>
      <w:r>
        <w:rPr>
          <w:rFonts w:ascii="Arial" w:hAnsi="Arial"/>
          <w:b/>
          <w:color w:val="000000"/>
          <w:sz w:val="18"/>
        </w:rPr>
        <w:t>Registrant’s telephone number, including area code: (415) 432-7323</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805" w:type="dxa"/>
        <w:jc w:val="left"/>
        <w:tblInd w:w="0" w:type="dxa"/>
        <w:tblLayout w:type="fixed"/>
        <w:tblCellMar>
          <w:top w:w="28" w:type="dxa"/>
          <w:left w:w="28" w:type="dxa"/>
          <w:bottom w:w="28" w:type="dxa"/>
          <w:right w:w="28" w:type="dxa"/>
        </w:tblCellMar>
      </w:tblPr>
      <w:tblGrid>
        <w:gridCol w:w="2776"/>
        <w:gridCol w:w="146"/>
        <w:gridCol w:w="751"/>
        <w:gridCol w:w="146"/>
        <w:gridCol w:w="298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Trading</w:t>
            </w:r>
          </w:p>
          <w:p>
            <w:pPr>
              <w:pStyle w:val="TableContents"/>
              <w:bidi w:val="0"/>
              <w:spacing w:before="0" w:after="283"/>
              <w:jc w:val="center"/>
              <w:rPr>
                <w:rFonts w:ascii="Arial" w:hAnsi="Arial"/>
                <w:b/>
                <w:color w:val="000000"/>
                <w:sz w:val="14"/>
              </w:rPr>
            </w:pPr>
            <w:r>
              <w:rPr>
                <w:rFonts w:ascii="Arial" w:hAnsi="Arial"/>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Name of each exchange on which registered</w:t>
            </w:r>
          </w:p>
        </w:tc>
      </w:tr>
      <w:tr>
        <w:trPr/>
        <w:tc>
          <w:tcPr>
            <w:tcW w:w="277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Class A Common Stock, $0.0001 par value</w:t>
            </w:r>
          </w:p>
        </w:tc>
        <w:tc>
          <w:tcPr>
            <w:tcW w:w="14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WISH</w:t>
            </w:r>
          </w:p>
        </w:tc>
        <w:tc>
          <w:tcPr>
            <w:tcW w:w="146" w:type="dxa"/>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Nasdaq Global Select Market</w:t>
            </w:r>
          </w:p>
        </w:tc>
      </w:tr>
      <w:tr>
        <w:trPr/>
        <w:tc>
          <w:tcPr>
            <w:tcW w:w="277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Preferred Stock Purchase Rights</w:t>
            </w:r>
          </w:p>
        </w:tc>
        <w:tc>
          <w:tcPr>
            <w:tcW w:w="14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Nasdaq Global Select Market</w:t>
            </w:r>
          </w:p>
        </w:tc>
      </w:tr>
    </w:tbl>
    <w:p>
      <w:pPr>
        <w:pStyle w:val="TextBody"/>
        <w:bidi w:val="0"/>
        <w:spacing w:before="60" w:after="283"/>
        <w:jc w:val="left"/>
        <w:rPr>
          <w:rFonts w:ascii="Times New Roman" w:hAnsi="Times New Roman"/>
          <w:sz w:val="20"/>
        </w:rPr>
      </w:pPr>
      <w:r>
        <w:rPr>
          <w:rFonts w:ascii="Arial" w:hAnsi="Arial"/>
          <w:color w:val="000000"/>
          <w:sz w:val="14"/>
        </w:rPr>
        <w:t xml:space="preserve">Securities registered pursuant to Section 12(g) of the Act: </w:t>
      </w:r>
      <w:r>
        <w:rPr>
          <w:rFonts w:ascii="Arial" w:hAnsi="Arial"/>
          <w:b/>
          <w:color w:val="000000"/>
          <w:sz w:val="14"/>
        </w:rPr>
        <w:t>None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if the Registrant is a well-known seasoned issuer, as defined in Rule 405 of the Securities Act. </w:t>
      </w:r>
      <w:r>
        <w:rPr>
          <w:rFonts w:ascii="Arial" w:hAnsi="Arial"/>
          <w:caps/>
          <w:color w:val="000000"/>
          <w:sz w:val="14"/>
        </w:rPr>
        <w:t>Yes</w:t>
      </w:r>
      <w:r>
        <w:rPr>
          <w:rFonts w:ascii="Times New Roman" w:hAnsi="Times New Roman"/>
          <w:color w:val="000000"/>
          <w:sz w:val="20"/>
        </w:rPr>
        <w:t xml:space="preserve"> ☒ </w:t>
      </w:r>
      <w:r>
        <w:rPr>
          <w:rFonts w:ascii="Arial" w:hAnsi="Arial"/>
          <w:caps/>
          <w:color w:val="000000"/>
          <w:sz w:val="14"/>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if the Registrant is not required to file reports pursuant to Section 13 or 15(d) of the Act. </w:t>
      </w:r>
      <w:r>
        <w:rPr>
          <w:rFonts w:ascii="Arial" w:hAnsi="Arial"/>
          <w:caps/>
          <w:color w:val="000000"/>
          <w:sz w:val="14"/>
        </w:rPr>
        <w:t>Yes</w:t>
      </w:r>
      <w:r>
        <w:rPr>
          <w:rFonts w:ascii="Times New Roman" w:hAnsi="Times New Roman"/>
          <w:color w:val="000000"/>
          <w:sz w:val="20"/>
        </w:rPr>
        <w:t xml:space="preserve"> ☐ </w:t>
      </w:r>
      <w:r>
        <w:rPr>
          <w:rFonts w:ascii="Arial" w:hAnsi="Arial"/>
          <w:caps/>
          <w:color w:val="000000"/>
          <w:sz w:val="14"/>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4"/>
        </w:rPr>
        <w:t>Yes</w:t>
      </w:r>
      <w:r>
        <w:rPr>
          <w:rFonts w:ascii="Times New Roman" w:hAnsi="Times New Roman"/>
          <w:color w:val="000000"/>
          <w:sz w:val="20"/>
        </w:rPr>
        <w:t xml:space="preserve"> ☒ </w:t>
      </w:r>
      <w:r>
        <w:rPr>
          <w:rFonts w:ascii="Arial" w:hAnsi="Arial"/>
          <w:caps/>
          <w:color w:val="000000"/>
          <w:sz w:val="14"/>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4"/>
        </w:rPr>
        <w:t>Yes</w:t>
      </w:r>
      <w:r>
        <w:rPr>
          <w:rFonts w:ascii="Times New Roman" w:hAnsi="Times New Roman"/>
          <w:color w:val="000000"/>
          <w:sz w:val="20"/>
        </w:rPr>
        <w:t xml:space="preserve"> ☒ </w:t>
      </w:r>
      <w:r>
        <w:rPr>
          <w:rFonts w:ascii="Arial" w:hAnsi="Arial"/>
          <w:caps/>
          <w:color w:val="000000"/>
          <w:sz w:val="14"/>
        </w:rPr>
        <w:t>No</w:t>
      </w:r>
      <w:r>
        <w:rPr>
          <w:rFonts w:ascii="Times New Roman" w:hAnsi="Times New Roman"/>
          <w:color w:val="000000"/>
          <w:sz w:val="20"/>
        </w:rPr>
        <w:t xml:space="preserve"> ☐</w:t>
      </w:r>
    </w:p>
    <w:p>
      <w:pPr>
        <w:pStyle w:val="TextBody"/>
        <w:bidi w:val="0"/>
        <w:spacing w:before="120" w:after="283"/>
        <w:jc w:val="both"/>
        <w:rPr>
          <w:rFonts w:ascii="Arial" w:hAnsi="Arial"/>
          <w:color w:val="000000"/>
          <w:sz w:val="14"/>
        </w:rPr>
      </w:pPr>
      <w:r>
        <w:rPr>
          <w:rFonts w:ascii="Arial" w:hAnsi="Arial"/>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741"/>
        <w:gridCol w:w="146"/>
        <w:gridCol w:w="316"/>
        <w:gridCol w:w="146"/>
        <w:gridCol w:w="1741"/>
        <w:gridCol w:w="14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Arial" w:hAnsi="Arial"/>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Arial" w:hAnsi="Arial"/>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4"/>
        </w:rPr>
        <w:t xml:space="preserve">Indicate by check mark whether the Registrant is a shell company (as defined in Rule 12b-2 of the Exchange Act). </w:t>
      </w:r>
      <w:r>
        <w:rPr>
          <w:rFonts w:ascii="Arial" w:hAnsi="Arial"/>
          <w:caps/>
          <w:color w:val="000000"/>
          <w:sz w:val="14"/>
        </w:rPr>
        <w:t>Yes</w:t>
      </w:r>
      <w:r>
        <w:rPr>
          <w:rFonts w:ascii="Times New Roman" w:hAnsi="Times New Roman"/>
          <w:color w:val="000000"/>
          <w:sz w:val="20"/>
        </w:rPr>
        <w:t xml:space="preserve"> ☐ </w:t>
      </w:r>
      <w:r>
        <w:rPr>
          <w:rFonts w:ascii="Arial" w:hAnsi="Arial"/>
          <w:caps/>
          <w:color w:val="000000"/>
          <w:sz w:val="14"/>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The aggregate market value of the registrant’s Class A common stock held by non-affiliates of the registrant, based on the closing price of the registrant’s Class A common stock as reported by the Nasdaq Global Select Market on June 30, 2023 (the last business day of the registrant’s most recently completed second fiscal quarter) was approximately $174</w:t>
      </w:r>
      <w:r>
        <w:rPr>
          <w:rFonts w:ascii="Times New Roman" w:hAnsi="Times New Roman"/>
          <w:color w:val="000000"/>
          <w:sz w:val="20"/>
        </w:rPr>
        <w:t xml:space="preserve"> </w:t>
      </w:r>
      <w:r>
        <w:rPr>
          <w:rFonts w:ascii="Arial" w:hAnsi="Arial"/>
          <w:color w:val="000000"/>
          <w:sz w:val="14"/>
        </w:rPr>
        <w:t>million, based upon the closing sale price of such stock on the Nasdaq Global Select Market. Shares of common stock held by each executive officer, director, and holder or 5% or more of the outstanding common stock have been excluded in that such persons may be deemed to be affiliates. This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4"/>
        </w:rPr>
        <w:t>As of February 29, 2024, the number of shares of the registrant’s Class A common stock outstanding was 24,397,977</w:t>
      </w:r>
      <w:r>
        <w:rPr>
          <w:rFonts w:ascii="Times New Roman" w:hAnsi="Times New Roman"/>
          <w:color w:val="000000"/>
          <w:sz w:val="20"/>
        </w:rPr>
        <w:t xml:space="preserve"> </w:t>
      </w:r>
      <w:r>
        <w:rPr>
          <w:rFonts w:ascii="Arial" w:hAnsi="Arial"/>
          <w:color w:val="000000"/>
          <w:sz w:val="14"/>
        </w:rPr>
        <w:t>and there were no</w:t>
      </w:r>
      <w:r>
        <w:rPr>
          <w:rFonts w:ascii="Times New Roman" w:hAnsi="Times New Roman"/>
          <w:color w:val="000000"/>
          <w:sz w:val="20"/>
        </w:rPr>
        <w:t xml:space="preserve"> </w:t>
      </w:r>
      <w:r>
        <w:rPr>
          <w:rFonts w:ascii="Arial" w:hAnsi="Arial"/>
          <w:color w:val="000000"/>
          <w:sz w:val="14"/>
        </w:rPr>
        <w:t>shares of the registrant's Class B common stock outstanding.</w:t>
      </w:r>
    </w:p>
    <w:p>
      <w:pPr>
        <w:pStyle w:val="TextBody"/>
        <w:bidi w:val="0"/>
        <w:spacing w:before="120" w:after="283"/>
        <w:jc w:val="center"/>
        <w:rPr>
          <w:rFonts w:ascii="Arial" w:hAnsi="Arial"/>
          <w:color w:val="000000"/>
          <w:sz w:val="14"/>
        </w:rPr>
      </w:pPr>
      <w:r>
        <w:rPr>
          <w:rFonts w:ascii="Arial" w:hAnsi="Arial"/>
          <w:color w:val="000000"/>
          <w:sz w:val="14"/>
        </w:rPr>
        <w:t>DOCUMENTS INCORPORATED BY REFERENCE</w:t>
      </w:r>
    </w:p>
    <w:p>
      <w:pPr>
        <w:pStyle w:val="TextBody"/>
        <w:pBdr>
          <w:bottom w:val="double" w:sz="6" w:space="1" w:color="000000"/>
        </w:pBdr>
        <w:bidi w:val="0"/>
        <w:spacing w:before="120" w:after="283"/>
        <w:jc w:val="both"/>
        <w:rPr>
          <w:rFonts w:ascii="Arial" w:hAnsi="Arial"/>
          <w:color w:val="000000"/>
          <w:sz w:val="14"/>
        </w:rPr>
      </w:pPr>
      <w:r>
        <w:rPr>
          <w:rFonts w:ascii="Arial" w:hAnsi="Arial"/>
          <w:color w:val="000000"/>
          <w:sz w:val="14"/>
        </w:rPr>
        <w:t>Portions of the information called for by Part III of this Annual Report on Form 10-K is hereby incorporated by reference from the definitive proxy statement for the registrant’s 2024 annual meeting of stockholders, which will be filed with the Securities and Exchange Commission not later than 120 days after the registrant’s fiscal year ended December 31, 2023.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5"/>
        <w:gridCol w:w="8646"/>
        <w:gridCol w:w="604"/>
      </w:tblGrid>
      <w:tr>
        <w:trPr/>
        <w:tc>
          <w:tcPr>
            <w:tcW w:w="955" w:type="dxa"/>
            <w:tcBorders/>
            <w:vAlign w:val="center"/>
          </w:tcPr>
          <w:p>
            <w:pPr>
              <w:pStyle w:val="TableContents"/>
              <w:bidi w:val="0"/>
              <w:spacing w:before="0" w:after="283"/>
              <w:jc w:val="left"/>
              <w:rPr>
                <w:sz w:val="4"/>
                <w:szCs w:val="4"/>
              </w:rPr>
            </w:pPr>
            <w:r>
              <w:rPr>
                <w:sz w:val="4"/>
                <w:szCs w:val="4"/>
              </w:rPr>
            </w:r>
          </w:p>
        </w:tc>
        <w:tc>
          <w:tcPr>
            <w:tcW w:w="86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color w:val="0000FF"/>
                  <w:sz w:val="20"/>
                  <w:u w:val="single"/>
                </w:rPr>
                <w:t>Special Note Regarding Forward Looking Statements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Arial" w:hAnsi="Arial"/>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1B.</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Arial" w:hAnsi="Arial"/>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1C.</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Arial" w:hAnsi="Arial"/>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2.</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3.</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4.</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5.</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Arial" w:hAnsi="Arial"/>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6.</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Arial" w:hAnsi="Arial"/>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7.</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Arial" w:hAnsi="Arial"/>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7A.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Arial" w:hAnsi="Arial"/>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8.</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Arial" w:hAnsi="Arial"/>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9.</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Arial" w:hAnsi="Arial"/>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9A.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Arial" w:hAnsi="Arial"/>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9B.</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Arial" w:hAnsi="Arial"/>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9C.</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Arial" w:hAnsi="Arial"/>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III</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10.</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Arial" w:hAnsi="Arial"/>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11.</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Arial" w:hAnsi="Arial"/>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12.</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Arial" w:hAnsi="Arial"/>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13.</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Arial" w:hAnsi="Arial"/>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14.</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Arial" w:hAnsi="Arial"/>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IV</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15.</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Arial" w:hAnsi="Arial"/>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107</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20"/>
              </w:rPr>
            </w:pPr>
            <w:r>
              <w:rPr>
                <w:rFonts w:ascii="Arial" w:hAnsi="Arial"/>
                <w:color w:val="000000"/>
                <w:sz w:val="20"/>
              </w:rPr>
              <w:t>Item 16.</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Arial" w:hAnsi="Arial"/>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Arial" w:hAnsi="Arial"/>
          <w:b/>
          <w:color w:val="000000"/>
          <w:sz w:val="20"/>
        </w:rPr>
      </w:pPr>
      <w:bookmarkStart w:id="2" w:name="special_note_regarding_forward_looking"/>
      <w:bookmarkEnd w:id="2"/>
      <w:r>
        <w:rPr>
          <w:rFonts w:ascii="Arial" w:hAnsi="Arial"/>
          <w:b/>
          <w:color w:val="000000"/>
          <w:sz w:val="20"/>
        </w:rPr>
        <w:t>SPECIAL NOTE REGARDING FORWARD-LOOKING STATEMENTS</w:t>
      </w:r>
    </w:p>
    <w:p>
      <w:pPr>
        <w:pStyle w:val="TextBody"/>
        <w:bidi w:val="0"/>
        <w:spacing w:before="180" w:after="283"/>
        <w:jc w:val="both"/>
        <w:rPr>
          <w:rFonts w:ascii="Arial" w:hAnsi="Arial"/>
          <w:color w:val="000000"/>
          <w:sz w:val="20"/>
        </w:rPr>
      </w:pPr>
      <w:r>
        <w:rPr>
          <w:rFonts w:ascii="Arial" w:hAnsi="Arial"/>
          <w:color w:val="000000"/>
          <w:sz w:val="20"/>
        </w:rPr>
        <w:t>This Annual Report on Form 10-K contains forward-looking statements within the meaning of Section 27A of the Securities Act of 1933, as amended ("Securities Act"), and Section 21E of the Securities Exchange Act of 1934, as amended ("Exchange Act"), which statements involve substantial risks and uncertainties. Forward-looking statements include all statements that are not historical facts such as information concerning our evaluation and pursuit of strategic alternatives,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pStyle w:val="TextBody"/>
        <w:bidi w:val="0"/>
        <w:spacing w:before="180" w:after="283"/>
        <w:jc w:val="both"/>
        <w:rPr>
          <w:rFonts w:ascii="Times New Roman" w:hAnsi="Times New Roman"/>
          <w:sz w:val="20"/>
        </w:rPr>
      </w:pPr>
      <w:r>
        <w:rPr>
          <w:rFonts w:ascii="Arial" w:hAnsi="Arial"/>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“Risk Factors” in this Annual Report on Form 10-K.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including, but not limited to, statements regarding the proposed Asset Sale (as defined in Part I, Item 1. “Business—Asset Purchase Agreement with Qoo10”), including our ability to complete the Asset Sale on the anticipated timeline, or at all, and restrictions imposed on our business under the Asset Purchase Agreement (as defined in Part I, Item 1. “Business—Asset Purchase Agreement with Qoo10”) while the Asset Sale is pending; the satisfaction or waiver of the closing conditions to the Asset Sale, including the approval of the Asset Sale by our stockholders; disruptions to our business while the proposed Asset Sale is pending; risks associated with our ability to identify and realize business opportunities following the Asset Sale; risks associated with our ability to utilize our federal income tax net operating loss carryforwards (the “NOLs”) and other tax attributes following the Asset Sale; the occurrence of any event, change or other circumstances that could give rise to the termination of the Asset Purchase Agreement; the impact of management’s time and attention being focused on consummation of the proposed Asset Sale; costs associated with the proposed Asset Sale; the scope, timing and outcome of any potential stockholder litigation related to the Asset Sale; future financial performance; implementation and execution of business strategies, including turnaround efforts, restructuring plans, and reductions in force; implementation and execution of promotional strategies and rebrand efforts; our future liquidity and operating expenditures; the impact of the 1-to-30 reverse stock split; compliance with Nasdaq continued listing requirements;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80" w:after="283"/>
        <w:jc w:val="both"/>
        <w:rPr>
          <w:rFonts w:ascii="Arial" w:hAnsi="Arial"/>
          <w:color w:val="000000"/>
          <w:sz w:val="20"/>
        </w:rPr>
      </w:pPr>
      <w:r>
        <w:rPr>
          <w:rFonts w:ascii="Arial" w:hAnsi="Arial"/>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The risks affecting our forward-looking statements could also change as a result of consummation of the proposed Asset Sale.</w:t>
      </w:r>
    </w:p>
    <w:p>
      <w:pPr>
        <w:pStyle w:val="TextBody"/>
        <w:bidi w:val="0"/>
        <w:spacing w:before="180" w:after="283"/>
        <w:jc w:val="both"/>
        <w:rPr>
          <w:rFonts w:ascii="Arial" w:hAnsi="Arial"/>
          <w:color w:val="000000"/>
          <w:sz w:val="20"/>
        </w:rPr>
      </w:pPr>
      <w:r>
        <w:rPr>
          <w:rFonts w:ascii="Arial" w:hAnsi="Arial"/>
          <w:color w:val="000000"/>
          <w:sz w:val="20"/>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Arial" w:hAnsi="Arial"/>
          <w:b/>
          <w:color w:val="000000"/>
          <w:sz w:val="20"/>
        </w:rPr>
      </w:pPr>
      <w:r>
        <w:rPr>
          <w:rFonts w:ascii="Arial" w:hAnsi="Arial"/>
          <w:b/>
          <w:color w:val="000000"/>
          <w:sz w:val="20"/>
        </w:rPr>
        <w:t>RISK FACTORS SUMMARY</w:t>
      </w:r>
    </w:p>
    <w:p>
      <w:pPr>
        <w:pStyle w:val="TextBody"/>
        <w:bidi w:val="0"/>
        <w:spacing w:before="180" w:after="283"/>
        <w:jc w:val="both"/>
        <w:rPr>
          <w:rFonts w:ascii="Arial" w:hAnsi="Arial"/>
          <w:color w:val="000000"/>
          <w:sz w:val="20"/>
        </w:rPr>
      </w:pPr>
      <w:r>
        <w:rPr>
          <w:rFonts w:ascii="Arial" w:hAnsi="Arial"/>
          <w:color w:val="000000"/>
          <w:sz w:val="20"/>
        </w:rPr>
        <w:t>Below is a summary of the principal factors that make an investment in our Class A common stock speculative or risky: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efforts to acquire new users and engage existing users may not be successful or may be more costly than we expect, which could prevent us from maintaining or increasing our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we are unable to promote, maintain, and protect our brand and reputation and offer a compelling user experience, our ability to attract new users and engage with our existing base of users will be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we lose the services of members of our senior management team we may not be able to execute our business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Merchants on our platform may experience additional disruptions to their supply and restrictions on their ability to deliver products to our users in a timely manner, which could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in which we operate is rapidly evolving and we face intense competition; if we do not compete effectively, our results of operations and financial condition could be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company is evolving, and we are in the process of executing on new business strategies and restructuring efforts; if we fail to successfully execute on these strategies, our business, financial condition, and operating results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will be subject to business uncertainties while the asset sale with Qoo10 is pending, which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successfully execute or achieve the expected benefits of our new business strategies and restructuring efforts, which could adversely affect our business, financial condition, and operating results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may be involved in litigation matters or other legal proceedings or regulatory investigations that are expensive, time consuming, and may result in restrictions in our business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tension between the United States and China, or between other countries, may intensify and the United States, China, or other countries may adopt drastic measures in the future that impact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significant disruption in service on our platform or in our computer systems, some of which are currently hosted by third-party providers, for any reason, including cyber threats, could damage our reputation and result in a loss of users, which would harm our business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business and our merchants and users may be subject to sales and other taxes and these taxes may negatively impact our revenue and growth.</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3" w:name="part_i"/>
      <w:bookmarkEnd w:id="3"/>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w:t>
      </w:r>
    </w:p>
    <w:p>
      <w:pPr>
        <w:pStyle w:val="TextBody"/>
        <w:bidi w:val="0"/>
        <w:spacing w:before="180" w:after="283"/>
        <w:jc w:val="left"/>
        <w:rPr>
          <w:rFonts w:ascii="Times New Roman" w:hAnsi="Times New Roman"/>
          <w:sz w:val="20"/>
        </w:rPr>
      </w:pPr>
      <w:bookmarkStart w:id="4" w:name="item_1_business"/>
      <w:bookmarkEnd w:id="4"/>
      <w:r>
        <w:rPr>
          <w:rFonts w:ascii="Arial" w:hAnsi="Arial"/>
          <w:b/>
          <w:color w:val="000000"/>
          <w:sz w:val="20"/>
        </w:rPr>
        <w:t>Item 1.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Wish brings an affordable and entertaining shopping experience to millions of consumers around the world. Since our founding in San Francisco in 2010, we have become one of the largest global ecommerce platforms, connecting millions of value-conscious consumers to hundreds of thousands of merchants globally. Wish combines technology and data science capabilities and an innovative discovery-based mobile shopping experience to create a highly-visual, entertaining, and personalized shopping experience for its users.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Wish’s mission “Bargains Made Fun, Discovery Made Easy” represents the company’s commitment to a unique, discovery-based shopping experience, where consumers can scroll through a varied product selection that is driven by personalization technology and complemented by robust merchandising. Wish users engage with our app in a similar manner to how they engage with social media, which is scrolling through visually-rich and interactive content. To enhance user engagement, we incorporate fresh gamified features, rich user-generated content including photos, videos, and reviews, and a wide range of relevant products to make shopping more entertaining.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also built Wish to empower merchants around the world. While the majority of the merchants on our platform are currently based in China, we are continuing to expand our merchant base around the world. Through our diversified and global merchant base, we are able to offer greater depth and breadth of categories and products. We provide our merchants with immediate access to our global base of monthly active users (“MAUs”) and a comprehensive suite of merchant services, including demand generation and engagement, data intelligence, promotional and logistics capabilities, integration partnerships, as well as business operations support, all in a cost-efficient manner.</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launched Wish Local in 2019 to help local retailers increase their online reach and discovery, drive foot traffic, and generate additional sales by leveraging the Wish marketplace platform. Our Wish Local partners also serve as Wish Pickup locations for online Wish orders, which enables us to efficiently expand our fulfillment footprint around the world.</w:t>
      </w:r>
    </w:p>
    <w:p>
      <w:pPr>
        <w:pStyle w:val="TextBody"/>
        <w:bidi w:val="0"/>
        <w:spacing w:before="180" w:after="283"/>
        <w:jc w:val="both"/>
        <w:rPr>
          <w:rFonts w:ascii="Times New Roman" w:hAnsi="Times New Roman"/>
          <w:sz w:val="20"/>
        </w:rPr>
      </w:pPr>
      <w:r>
        <w:rPr>
          <w:rFonts w:ascii="Arial" w:hAnsi="Arial"/>
          <w:color w:val="000000"/>
          <w:sz w:val="20"/>
        </w:rPr>
        <w:t>Our data science capabilities provide us with a unique competitive advantage. Our proprietary algorithms analyze a rich and growing data set of transactions and historical behaviors of both users and merchants to drive continuous optimization on the platform and inform key business decisions on a daily basis. Our machine learning technology enables personalization at the individual user level on a massive scale and drives significant advantages across all aspects of our business operations, including user acquisition, user experience, user-generated content, merchant insights, and user and merchant support.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proprietary data and technology also create powerful network effects. The scale of our user base and active global merchants means we accumulate significant data across user and merchant activities, which we believe strengthens our data advantage, and creates an even better experience for everyone on our platform, which in turn can attract more users and merchants. As more users come to Wish, driven by the affordable value proposition and differentiated shopping experience, we can drive more sales to our merchants. Our large user base also drives our user-generated feedback loop of ratings, reviews, photos, and videos, which results in greater user engagement. As more merchants succeed on Wish, more merchants join the platform to grow their businesses, broadening our product selection which, in turn, improves the user experience. This flywheel effect has driven tremendous value to both users and merchants and has made Wish one of the largest ecommerce marketplaces in the world.</w:t>
      </w:r>
    </w:p>
    <w:p>
      <w:pPr>
        <w:pStyle w:val="TextBody"/>
        <w:bidi w:val="0"/>
        <w:spacing w:before="180" w:after="283"/>
        <w:jc w:val="left"/>
        <w:rPr>
          <w:rFonts w:ascii="Arial" w:hAnsi="Arial"/>
          <w:b/>
          <w:color w:val="000000"/>
          <w:sz w:val="20"/>
        </w:rPr>
      </w:pPr>
      <w:r>
        <w:rPr>
          <w:rFonts w:ascii="Arial" w:hAnsi="Arial"/>
          <w:b/>
          <w:color w:val="000000"/>
          <w:sz w:val="20"/>
        </w:rPr>
        <w:t>Asset Purchase Agreement with Qoo10</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an asset purchase agreement (the “Asset Purchase Agreement”) with Qoo10 Inc., a Delaware corporation (“Qoo10”), and, for certain specified purposes, Qoo10 Pte. Ltd., a Singapore private limited company and parent to Qoo10 (the “Parent”). The Asset Purchase Agreement provides, among other things, and subject to the satisfaction or waiver of the conditions set forth therein, that we will sell substantially all of our assets to Qoo10, other than (i) our NOLs and certain other tax attributes, (ii) our marketable securities held in a specified wealth management account and (iii) our cash and cash equivalents held in that wealth management account, and Qoo10 has agreed to acquire those assets and assume substantially all liabilities of the Company as specified in the Asset Purchase Agreement (the “Asset Sale”).</w:t>
      </w:r>
    </w:p>
    <w:p>
      <w:pPr>
        <w:pStyle w:val="TextBody"/>
        <w:bidi w:val="0"/>
        <w:spacing w:before="180" w:after="283"/>
        <w:jc w:val="both"/>
        <w:rPr>
          <w:rFonts w:ascii="Arial" w:hAnsi="Arial"/>
          <w:color w:val="000000"/>
          <w:sz w:val="20"/>
        </w:rPr>
      </w:pPr>
      <w:r>
        <w:rPr>
          <w:rFonts w:ascii="Arial" w:hAnsi="Arial"/>
          <w:color w:val="000000"/>
          <w:sz w:val="20"/>
        </w:rPr>
        <w:t>As consideration for the foregoing Asset Sale, Qoo10 has agreed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assume substantially all of our liabilities as specified in the Asset Purchase Agreement; and</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pay us a purchase price equal to the “Cash Consideration,” equal to $173 million in cash, less the amount of certain excluded cash, cash equivalents and marketable securities that will be retained by us following the closing of the Asset Sale. The Cash Consideration is subject to certain adjustments, depending on whether (i) the Company’s closing cash is greater than or less than a cash threshold of $320 million and (ii) whether the closing date for the Asset Sale (the “Closing Date”) is on or before May 31, 2024.</w:t>
      </w:r>
    </w:p>
    <w:p>
      <w:pPr>
        <w:pStyle w:val="TextBody"/>
        <w:bidi w:val="0"/>
        <w:spacing w:before="180" w:after="283"/>
        <w:jc w:val="both"/>
        <w:rPr>
          <w:rFonts w:ascii="Arial" w:hAnsi="Arial"/>
          <w:color w:val="000000"/>
          <w:sz w:val="20"/>
        </w:rPr>
      </w:pPr>
      <w:r>
        <w:rPr>
          <w:rFonts w:ascii="Arial" w:hAnsi="Arial"/>
          <w:color w:val="000000"/>
          <w:sz w:val="20"/>
        </w:rPr>
        <w:t>If the Closing Date is on or before May 31, 2024, then: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Company’s closing cash is greater than the $320 million cash threshold, the Cash Consideration will be adjusted upward by a cash adjustment equal to 100% of such surplus (subject to a downward adjustment of up to $3 million if Qoo10 pays certain transaction expenses incurred by the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Company’s closing cash is less than the $320 million cash threshold, then the Cash Consideration will be adjusted downward by a cash adjustment equal to 50% of the amount of such deficit.</w:t>
      </w:r>
    </w:p>
    <w:p>
      <w:pPr>
        <w:pStyle w:val="TextBody"/>
        <w:bidi w:val="0"/>
        <w:spacing w:before="180" w:after="283"/>
        <w:jc w:val="both"/>
        <w:rPr>
          <w:rFonts w:ascii="Arial" w:hAnsi="Arial"/>
          <w:color w:val="000000"/>
          <w:sz w:val="20"/>
        </w:rPr>
      </w:pPr>
      <w:r>
        <w:rPr>
          <w:rFonts w:ascii="Arial" w:hAnsi="Arial"/>
          <w:color w:val="000000"/>
          <w:sz w:val="20"/>
        </w:rPr>
        <w:t>However, if the Closing Date is on or after June 1, 2024, then: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Company’s closing cash is greater than the $320 million cash threshold, the Cash Consideration will be adjusted upward by a cash adjustment equal to 50% of such surplus (subject to a downward adjustment of up to $3 million if Qoo10 pays certain transaction expenses incurred by the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Company’s closing cash is less than the $320 million cash threshold, then the Cash Consideration will be adjusted downward by a cash adjustment equal to 100% of the amount of such deficit.</w:t>
      </w:r>
    </w:p>
    <w:p>
      <w:pPr>
        <w:pStyle w:val="TextBody"/>
        <w:bidi w:val="0"/>
        <w:spacing w:before="180" w:after="283"/>
        <w:jc w:val="both"/>
        <w:rPr>
          <w:rFonts w:ascii="Arial" w:hAnsi="Arial"/>
          <w:color w:val="000000"/>
          <w:sz w:val="20"/>
        </w:rPr>
      </w:pPr>
      <w:r>
        <w:rPr>
          <w:rFonts w:ascii="Arial" w:hAnsi="Arial"/>
          <w:color w:val="000000"/>
          <w:sz w:val="20"/>
        </w:rPr>
        <w:t>The sum of (i) the Cash Consideration plus (ii) the cash, cash equivalents and marketable securities that will be retained by the Company (and withheld from the Asset Sale) is referred to as the Company’s “Post-Closing Cash.”</w:t>
      </w:r>
    </w:p>
    <w:p>
      <w:pPr>
        <w:pStyle w:val="TextBody"/>
        <w:bidi w:val="0"/>
        <w:spacing w:before="180" w:after="283"/>
        <w:jc w:val="both"/>
        <w:rPr>
          <w:rFonts w:ascii="Arial" w:hAnsi="Arial"/>
          <w:color w:val="000000"/>
          <w:sz w:val="20"/>
        </w:rPr>
      </w:pPr>
      <w:r>
        <w:rPr>
          <w:rFonts w:ascii="Arial" w:hAnsi="Arial"/>
          <w:color w:val="000000"/>
          <w:sz w:val="20"/>
        </w:rPr>
        <w:t>In addition, we have agreed to certain covenants in the Asset Purchase Agreement restricting the conduct of our business between the date of the Asset Purchase Agreement and the earlier of the closing of the Asset Sale and the termination of the Asset Purchase Agreement. During such interim period, we have agreed that we and our subsidiaries will conduct our business in the ordinary course in substantially the same manner as previously conducted and use reasonable best efforts to preserve intact our business organization and operations and the assets that Qoo10 has agreed to purchase under the terms of the Asset Purchase Agreement. In addition, in the Asset Purchase Agreement, we have agreed to specific restrictions relating to the conduct of our business and other actions that we are expressly not permitted to take.</w:t>
      </w:r>
    </w:p>
    <w:p>
      <w:pPr>
        <w:pStyle w:val="TextBody"/>
        <w:bidi w:val="0"/>
        <w:spacing w:before="180" w:after="283"/>
        <w:jc w:val="both"/>
        <w:rPr>
          <w:rFonts w:ascii="Times New Roman" w:hAnsi="Times New Roman"/>
          <w:sz w:val="20"/>
        </w:rPr>
      </w:pPr>
      <w:r>
        <w:rPr>
          <w:rFonts w:ascii="Arial" w:hAnsi="Arial"/>
          <w:color w:val="000000"/>
          <w:sz w:val="20"/>
        </w:rPr>
        <w:t>The Asset Purchase Agreement also contains customary provisions regarding (i) our indemnification of Qoo10 and certain of their affiliates with respect to liabilities retained by us and any material breach by us of any of our post-closing covenants or agreements in the Asset Purchase Agreement and (ii) Qoo10’s indemnification of us and certain of our affiliates with respect to liabilities assumed by Qoo10 and any material breach by Qoo10 of any of its post-closing covenants or agreements. In addition, we and Qoo10 have agreed to use our reasonable best efforts to consummate the Asset Sale and other transactions contemplated by the Asset Purchase Agreement. The Asset Purchase Agreement also contains a guaranty by the Parent to satisfy Qoo10’s performance of its obligations under the Asset Purchase Agreement, including payment of the Cash Consideration.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Additionally, pursuant to the Asset Purchase Agreement, we have agreed, subject to certain exceptions with respect to unsolicited bids, not to directly or indirectly solicit competing proposals or to enter into discussions concerning, or provide confidential information in connection with, any unsolicited competing proposals. We have also agreed to cease all existing discussions with third parties regarding any competing proposals.</w:t>
      </w:r>
    </w:p>
    <w:p>
      <w:pPr>
        <w:pStyle w:val="TextBody"/>
        <w:bidi w:val="0"/>
        <w:spacing w:before="180" w:after="283"/>
        <w:jc w:val="both"/>
        <w:rPr>
          <w:rFonts w:ascii="Arial" w:hAnsi="Arial"/>
          <w:color w:val="000000"/>
          <w:sz w:val="20"/>
        </w:rPr>
      </w:pPr>
      <w:r>
        <w:rPr>
          <w:rFonts w:ascii="Arial" w:hAnsi="Arial"/>
          <w:color w:val="000000"/>
          <w:sz w:val="20"/>
        </w:rPr>
        <w:t>However, our Board of Directors may, subject to certain conditions, change its recommendation in favor of approving the Asset Purchase Agreement in response to a bona fide written competing proposal that was not solicited in breach of the non-solicit provisions set forth in the Asset Purchase Agreement, if our Board of Directors determines in good faith, after consulting with our financial advisors and outside legal counsel, that the competing proposal is a superior proposal and determines in good faith, after consulting with our outside legal counsel, that the failure to effect such a change in recommendation in response to such superior proposal would be inconsistent with its fiduciary duties to our stockholders under applicable law. Our Board of Directors may also terminate the Asset Purchase Agreement in order to enter into a definitive written agreement providing for a superior proposal, but only if (i) the receipt of the superior proposal did not result from a breach of the non-solicit provisions set forth in the Asset Purchase Agreement, (ii) we complied with obligations set forth in the Asset Purchase Agreement with respect to the superior proposal, (iii) we, concurrently with termination, cause to be paid the $5.2 million termination fee described below and (iv) our Board of Directors (or any committee thereof) has authorized us to enter into, and we concurrently enter into, a definitive written agreement providing for the superior proposal.</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Board of Directors also may, subject to certain conditions, change its recommendation in favor of approving the Asset Purchase Agreement (but may not terminate the Asset Purchase Agreement) in response to certain “intervening events” if it determines in good faith, after consulting with our financial advisor and outside legal counsel, that an intervening event has occurred and that, after consulting with our outside legal counsel, the failure to effect such change in recommendation in response to such an intervening event would be inconsistent with its fiduciary duties to our stockholders under applicable law.</w:t>
      </w:r>
    </w:p>
    <w:p>
      <w:pPr>
        <w:pStyle w:val="TextBody"/>
        <w:bidi w:val="0"/>
        <w:spacing w:before="180" w:after="283"/>
        <w:jc w:val="both"/>
        <w:rPr>
          <w:rFonts w:ascii="Arial" w:hAnsi="Arial"/>
          <w:color w:val="000000"/>
          <w:sz w:val="20"/>
        </w:rPr>
      </w:pPr>
      <w:r>
        <w:rPr>
          <w:rFonts w:ascii="Arial" w:hAnsi="Arial"/>
          <w:color w:val="000000"/>
          <w:sz w:val="20"/>
        </w:rPr>
        <w:t>Our Board of Directors has approved the Asset Purchase Agreement, the Asset Sale and the other transactions contemplated by the Asset Purchase Agreement. The Asset Purchase Agreement, the Asset Sale and other transactions contemplated by the Asset Purchase Agreement must also be approved by the holders of a majority of the outstanding shares of our Class A common stock entitled to vote thereon. In addition to the receipt of the approval of our stockholders, each party’s obligation to consummate the Asset Sale is conditioned upon certain other customary closing conditions, including the accuracy of each other party’s representations and warranties as of the closing, subject, in certain instances, to certain materiality and other thresholds, the performance by each other party of its obligations and covenants under the Asset Purchase Agreement in all material respects, the delivery of certain documentation by each other party, and the absence of any injunction or other legal prohibitions preventing consummation of the Asset Sale.</w:t>
      </w:r>
    </w:p>
    <w:p>
      <w:pPr>
        <w:pStyle w:val="TextBody"/>
        <w:bidi w:val="0"/>
        <w:spacing w:before="180" w:after="283"/>
        <w:jc w:val="both"/>
        <w:rPr>
          <w:rFonts w:ascii="Arial" w:hAnsi="Arial"/>
          <w:color w:val="000000"/>
          <w:sz w:val="20"/>
        </w:rPr>
      </w:pPr>
      <w:r>
        <w:rPr>
          <w:rFonts w:ascii="Arial" w:hAnsi="Arial"/>
          <w:color w:val="000000"/>
          <w:sz w:val="20"/>
        </w:rPr>
        <w:t>If the closing has not occurred by June 30, 2024, we are unable to obtain the approval of our stockholders as discussed above or there shall be in place any injunction or other legal prohibitions preventing consummation of the Asset Sale, either we or Qoo10 may terminate the Asset Purchase Agreement. The Asset Purchase Agreement contains certain additional termination rights for both Qoo10 and us, and further provides that, upon termination of the Asset Purchase Agreement under specified circumstances, we will be required to pay Qoo10 a termination fee of $5.2 million. Those circumstances include, among others, (i) our Board of Directors changing its recommendation in favor of the Asset Sale or approving or recommending a competing proposal, (ii) our entering into a definitive agreement with respect to a superior proposal, (iii) our failure to obtain stockholder approval of the Asset Sale, or (iv) a breach by us of any of our representations, warranties, covenants or agreements under the Asset Purchase Agreement that would result in the failure of a closing condition and that is not cured within a specified period, coupled with our entering into a definitive agreement with respect to a superior proposal that was announced or disclosed after the date of the Asset Purchase Agreement. In addition to the termination fee described above, each party remains liable to the other for any additional damages if such party commits an intentional and material breach of a covenant, agreement or obligation under the Asset Purchase Agreement.</w:t>
      </w:r>
    </w:p>
    <w:p>
      <w:pPr>
        <w:pStyle w:val="TextBody"/>
        <w:bidi w:val="0"/>
        <w:spacing w:before="180" w:after="283"/>
        <w:jc w:val="both"/>
        <w:rPr>
          <w:rFonts w:ascii="Arial" w:hAnsi="Arial"/>
          <w:color w:val="000000"/>
          <w:sz w:val="20"/>
        </w:rPr>
      </w:pPr>
      <w:r>
        <w:rPr>
          <w:rFonts w:ascii="Arial" w:hAnsi="Arial"/>
          <w:color w:val="000000"/>
          <w:sz w:val="20"/>
        </w:rPr>
        <w:t>The above is a summary of the material terms of the Asset Purchase Agreement and is qualified in its entirety by the terms and conditions of the Asset Purchase Agreement, which is incorporated by reference as Exhibit 2.1 to this Annual Report on Form 10-K.</w:t>
      </w:r>
    </w:p>
    <w:p>
      <w:pPr>
        <w:pStyle w:val="TextBody"/>
        <w:bidi w:val="0"/>
        <w:spacing w:before="180" w:after="283"/>
        <w:jc w:val="both"/>
        <w:rPr>
          <w:rFonts w:ascii="Arial" w:hAnsi="Arial"/>
          <w:color w:val="000000"/>
          <w:sz w:val="20"/>
        </w:rPr>
      </w:pPr>
      <w:r>
        <w:rPr>
          <w:rFonts w:ascii="Arial" w:hAnsi="Arial"/>
          <w:color w:val="000000"/>
          <w:sz w:val="20"/>
        </w:rPr>
        <w:t>Also on February 10, 2024, Qoo10 entered into separate Voting and Support Agreements (the “Voting Agreements”) with funds managed by GGV Capital, General Atlantic and Altai Capital, each of our directors and our CEO, COO/CFO, and General Counsel (collectively, the “Supporting Stockholders”). Collectively, the Supporting Stockholders beneficially own approximately 6.78% of the voting power of the outstanding Class A common stock as of February 10, 2024. Each Supporting Stockholder entered into the Voting Agreement solely in his, her or its capacity as a stockholder of ours, and the Voting Agreements do not restrict the actions of any director or officer of the Company in his or her capacity as a director or officer of ours.</w:t>
      </w:r>
    </w:p>
    <w:p>
      <w:pPr>
        <w:pStyle w:val="TextBody"/>
        <w:bidi w:val="0"/>
        <w:spacing w:before="180" w:after="283"/>
        <w:jc w:val="both"/>
        <w:rPr>
          <w:rFonts w:ascii="Arial" w:hAnsi="Arial"/>
          <w:color w:val="000000"/>
          <w:sz w:val="20"/>
        </w:rPr>
      </w:pPr>
      <w:r>
        <w:rPr>
          <w:rFonts w:ascii="Arial" w:hAnsi="Arial"/>
          <w:color w:val="000000"/>
          <w:sz w:val="20"/>
        </w:rPr>
        <w:t>Each Supporting Stockholder’s Voting Agreement generally requires that such Supporting Stockholder vote or cause to be voted all shares of Class A common stock owned by such Supporting Stockholder in favor of any proposal to adopt the Asset Purchase Agreement and against alternative transactions. Subject to certain exceptions, the Voting Agreements also contain prohibitions applicable to the Supporting Stockholders that are consistent with the non-solicitation provisions of the Asset Purchase Agreement.</w:t>
      </w:r>
    </w:p>
    <w:p>
      <w:pPr>
        <w:pStyle w:val="TextBody"/>
        <w:bidi w:val="0"/>
        <w:spacing w:before="180" w:after="283"/>
        <w:jc w:val="both"/>
        <w:rPr>
          <w:rFonts w:ascii="Arial" w:hAnsi="Arial"/>
          <w:color w:val="000000"/>
          <w:sz w:val="20"/>
        </w:rPr>
      </w:pPr>
      <w:r>
        <w:rPr>
          <w:rFonts w:ascii="Arial" w:hAnsi="Arial"/>
          <w:color w:val="000000"/>
          <w:sz w:val="20"/>
        </w:rPr>
        <w:t>In addition, until the termination of each Supporting Stockholder’s Voting Agreement, that Voting Agreement restricts that Supporting Stockholder from selling shares of Class A common stock and other equity securities of ours owned by that Supporting Stockholder.</w:t>
      </w:r>
    </w:p>
    <w:p>
      <w:pPr>
        <w:pStyle w:val="TextBody"/>
        <w:bidi w:val="0"/>
        <w:spacing w:before="180" w:after="283"/>
        <w:jc w:val="both"/>
        <w:rPr>
          <w:rFonts w:ascii="Arial" w:hAnsi="Arial"/>
          <w:color w:val="000000"/>
          <w:sz w:val="20"/>
        </w:rPr>
      </w:pPr>
      <w:r>
        <w:rPr>
          <w:rFonts w:ascii="Arial" w:hAnsi="Arial"/>
          <w:color w:val="000000"/>
          <w:sz w:val="20"/>
        </w:rPr>
        <w:t>Generally, each Voting Agreement will terminate upon the earlier to occur of (a) the consummation of the Asset Sale and (b) the termination of the Asset Purchase Agreement pursuant to and in compliance with its terms.</w:t>
      </w:r>
    </w:p>
    <w:p>
      <w:pPr>
        <w:pStyle w:val="TextBody"/>
        <w:bidi w:val="0"/>
        <w:spacing w:before="180" w:after="283"/>
        <w:jc w:val="both"/>
        <w:rPr>
          <w:rFonts w:ascii="Arial" w:hAnsi="Arial"/>
          <w:color w:val="000000"/>
          <w:sz w:val="20"/>
        </w:rPr>
      </w:pPr>
      <w:r>
        <w:rPr>
          <w:rFonts w:ascii="Arial" w:hAnsi="Arial"/>
          <w:color w:val="000000"/>
          <w:sz w:val="20"/>
        </w:rPr>
        <w:t>Also on February 10, 2024, in light of the significance of the NOLs to us following the completion of the Asset Sale, our Board of Directors adopted a tax benefits preservation plan (the “Tax Benefits Preservation Plan”) in order to protect against a possible limitation on our ability to use our NOLs and certain other tax attributes to reduce potential future U.S. federal income tax obligations. See Item 8, “Financial Statements and Supplementary Data, Note 13. Subsequent Events” for further information on the Tax Benefits Preservation Plan.</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If the Asset Sale closes, Wish will exit the operation of its e-commerce business and other historical operations. However, Wish does not intend to liquidate following the closing of the Asset Sale. Our Board of Directors will evaluate alternatives for the Post-Closing Cash remaining in the Company after the Asset Sale. Those alternatives are currently expected to include using the Post-Closing Cash to fund, at least in part, the acquisition of assets that will potentially allow the Company to utilize the NOLs and certain other tax attributes, which will be retained by Wish. Wish expects to complete the transaction in the second quarter of 2024, subject to the approval of its stockholders and other customary closing conditions.</w:t>
      </w:r>
    </w:p>
    <w:p>
      <w:pPr>
        <w:pStyle w:val="TextBody"/>
        <w:bidi w:val="0"/>
        <w:spacing w:before="180" w:after="283"/>
        <w:jc w:val="both"/>
        <w:rPr>
          <w:rFonts w:ascii="Arial" w:hAnsi="Arial"/>
          <w:color w:val="000000"/>
          <w:sz w:val="20"/>
        </w:rPr>
      </w:pPr>
      <w:r>
        <w:rPr>
          <w:rFonts w:ascii="Arial" w:hAnsi="Arial"/>
          <w:color w:val="000000"/>
          <w:sz w:val="20"/>
        </w:rPr>
        <w:t>See Item 1A, "Risk Factors—Risks Related to the Asset Sale," for further discussion of risks related to the Asset Sale.</w:t>
      </w:r>
    </w:p>
    <w:p>
      <w:pPr>
        <w:pStyle w:val="TextBody"/>
        <w:bidi w:val="0"/>
        <w:spacing w:before="180" w:after="283"/>
        <w:jc w:val="left"/>
        <w:rPr>
          <w:rFonts w:ascii="Times New Roman" w:hAnsi="Times New Roman"/>
          <w:sz w:val="20"/>
        </w:rPr>
      </w:pPr>
      <w:r>
        <w:rPr>
          <w:rFonts w:ascii="Arial" w:hAnsi="Arial"/>
          <w:b/>
          <w:color w:val="000000"/>
          <w:sz w:val="20"/>
        </w:rPr>
        <w:t>The Wish Platform</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global ecommerce platform connects millions of MAUs in over 60 countries to thousands of active global merchants. We define MAUs as the number of unique users that visited the Wish platform, either on our mobile app, mobile web, or on a desktop, during the month. An active user is identified by a unique email-address; a single person can have multiple user accounts via multiple email addresses. We determine our number of active global merchants by counting the total number of merchants who have sold at least one order on the Wish platform, either on our mobile app, mobile web, or on a desktop, during the preceding 12 months.</w:t>
      </w:r>
    </w:p>
    <w:p>
      <w:pPr>
        <w:pStyle w:val="TextBody"/>
        <w:bidi w:val="0"/>
        <w:spacing w:before="180" w:after="283"/>
        <w:jc w:val="both"/>
        <w:rPr>
          <w:rFonts w:ascii="Arial" w:hAnsi="Arial"/>
          <w:color w:val="000000"/>
          <w:sz w:val="20"/>
        </w:rPr>
      </w:pPr>
      <w:r>
        <w:rPr>
          <w:rFonts w:ascii="Arial" w:hAnsi="Arial"/>
          <w:color w:val="000000"/>
          <w:sz w:val="20"/>
        </w:rPr>
        <w:t>Our vision is to unlock the vast potential of ecommerce for the underserved, value-oriented consumer by making the Wish platform affordable, open, and accessible to all users and merchants in many countries around the world. We do this through our relentless focus on product, technology, data science, and logistics. For our users, we are revolutionizing the mobile shopping experience by making it affordable, relevant, personalized, and entertaining. For our merchants, we offer immediate, cost-efficient access to our global user base, scaled data, and technology platform, as well as a comprehensive suite of merchant services to help run their businesses and drive sales. To serve our global and diversified user and merchant base, we approach our platform development with a specific geographic focus, enabling an authentic, localized experience.</w:t>
      </w:r>
    </w:p>
    <w:p>
      <w:pPr>
        <w:pStyle w:val="TextBody"/>
        <w:bidi w:val="0"/>
        <w:spacing w:before="180" w:after="283"/>
        <w:jc w:val="both"/>
        <w:rPr>
          <w:rFonts w:ascii="Times New Roman" w:hAnsi="Times New Roman"/>
          <w:sz w:val="20"/>
        </w:rPr>
      </w:pPr>
      <w:r>
        <w:rPr>
          <w:rFonts w:ascii="Arial" w:hAnsi="Arial"/>
          <w:b/>
          <w:color w:val="000000"/>
          <w:sz w:val="20"/>
        </w:rPr>
        <w:t>Value Proposition to Wish Users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democratized ecommerce by making it: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Affordable. </w:t>
      </w:r>
      <w:r>
        <w:rPr>
          <w:rFonts w:ascii="Arial" w:hAnsi="Arial"/>
          <w:color w:val="000000"/>
          <w:sz w:val="20"/>
        </w:rPr>
        <w:t xml:space="preserve">Price is the single most important determinant when making a purchase for a substantial portion of the global population, and we aim to serve the affordability needs of these value-conscious consumers. The merchants on our platform offer primarily unbranded products that can be deeply discounted as compared to branded alternatives across several categories. Our Wish Standards program, which measures the performance of merchants in areas that matter to consumers the most, promotes higher quality merchants and products on our platform. This allows us to offer a vast selection of high-quality items at competitive prices, a value proposition that attracts our millions of MAUs to our platform.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Accessible. </w:t>
      </w:r>
      <w:r>
        <w:rPr>
          <w:rFonts w:ascii="Arial" w:hAnsi="Arial"/>
          <w:color w:val="000000"/>
          <w:sz w:val="20"/>
        </w:rPr>
        <w:t>We built Wish to be mobile-first so any consumer around the world can easily access our shopping platform on a mobile device. Over 90% of our user activity and purchases occur on our mobile app.</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Everywhere</w:t>
      </w:r>
      <w:r>
        <w:rPr>
          <w:rFonts w:ascii="Arial" w:hAnsi="Arial"/>
          <w:color w:val="000000"/>
          <w:sz w:val="20"/>
        </w:rPr>
        <w:t xml:space="preserve">. To better serve our global user base, we localize various features on our online platform and tailor our experience to each respective market through, for example, making it accessible in different languages and providing country-specific payment methods. This localization is designed to improve the engagement of our large, diverse user base, in addition to connecting our users with approximately 25,000 local brick-and-mortar Wish Local stores. </w:t>
      </w:r>
    </w:p>
    <w:p>
      <w:pPr>
        <w:pStyle w:val="TextBody"/>
        <w:bidi w:val="0"/>
        <w:spacing w:before="180" w:after="283"/>
        <w:jc w:val="both"/>
        <w:rPr>
          <w:rFonts w:ascii="Times New Roman" w:hAnsi="Times New Roman"/>
          <w:sz w:val="20"/>
        </w:rPr>
      </w:pPr>
      <w:r>
        <w:rPr>
          <w:rFonts w:ascii="Arial" w:hAnsi="Arial"/>
          <w:color w:val="000000"/>
          <w:sz w:val="20"/>
        </w:rPr>
        <w:t>We have re-invented the online shopping experience to be: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Mobile-First. </w:t>
      </w:r>
      <w:r>
        <w:rPr>
          <w:rFonts w:ascii="Arial" w:hAnsi="Arial"/>
          <w:color w:val="000000"/>
          <w:sz w:val="20"/>
        </w:rPr>
        <w:t>Wish was built for mobile. Our application is image-rich, with minimal search input or text-based interactions. Over 90% of our user activity and purchases occur on our mobile app.</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Discovery-Based. </w:t>
      </w:r>
      <w:r>
        <w:rPr>
          <w:rFonts w:ascii="Arial" w:hAnsi="Arial"/>
          <w:color w:val="000000"/>
          <w:sz w:val="20"/>
        </w:rPr>
        <w:t xml:space="preserve">Our platform is designed to make it easy to navigate a vast selection of products when users do not have a specific item or brand in mind. Unlike other ecommerce platforms where consumers often visit with a predetermined purchase intent for specific items, our navigational and entertaining shopping experience gives us the ability to create purchase intent in our users across a diverse set of products and categories. Approximately 70% of the sales on our platform do not involve a search query and instead come from personalized browsing.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Personalized. </w:t>
      </w:r>
      <w:r>
        <w:rPr>
          <w:rFonts w:ascii="Arial" w:hAnsi="Arial"/>
          <w:color w:val="000000"/>
          <w:sz w:val="20"/>
        </w:rPr>
        <w:t xml:space="preserve">Personalized shopping experience is powered by machine learning technology. The more users that engage with the Wish platform, the smarter and more intuitive their product feed gets, so no two interfaces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are ever the same. We deliver personalized and curated products to our users and help them discover desired products quickly.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Entertaining. </w:t>
      </w:r>
      <w:r>
        <w:rPr>
          <w:rFonts w:ascii="Arial" w:hAnsi="Arial"/>
          <w:color w:val="000000"/>
          <w:sz w:val="20"/>
        </w:rPr>
        <w:t>We have transformed the user experience to make shopping on Wish as engaging and entertaining as browsing on social media. We utilize highly-personalized feeds with a wide range of relevant products as well as gamified, interactive, and social features to increase the length and frequency of a user’s sessions and drive increased engagement.</w:t>
      </w:r>
    </w:p>
    <w:p>
      <w:pPr>
        <w:pStyle w:val="TextBody"/>
        <w:bidi w:val="0"/>
        <w:spacing w:before="180" w:after="283"/>
        <w:jc w:val="both"/>
        <w:rPr>
          <w:rFonts w:ascii="Times New Roman" w:hAnsi="Times New Roman"/>
          <w:sz w:val="20"/>
        </w:rPr>
      </w:pPr>
      <w:r>
        <w:rPr>
          <w:rFonts w:ascii="Arial" w:hAnsi="Arial"/>
          <w:b/>
          <w:color w:val="000000"/>
          <w:sz w:val="20"/>
        </w:rPr>
        <w:t>Value Proposition to Wish Merchants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 xml:space="preserve">Accessible and Cost-Efficient Ecommerce Platform. </w:t>
      </w:r>
      <w:r>
        <w:rPr>
          <w:rFonts w:ascii="Arial" w:hAnsi="Arial"/>
          <w:color w:val="000000"/>
          <w:sz w:val="20"/>
        </w:rPr>
        <w:t>We give our merchants immediate access to our global base of millions of MAUs and a comprehensive suite of merchant services in a cost-efficient manner to help them run their businesses and grow sales. We empower these highly capable merchants offering quality products at compelling values and unlock this supply of goods to consumers globally.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we give our merchants the following merchant services:</w:t>
      </w:r>
    </w:p>
    <w:p>
      <w:pPr>
        <w:pStyle w:val="TextBody"/>
        <w:bidi w:val="0"/>
        <w:spacing w:before="180" w:after="283"/>
        <w:jc w:val="both"/>
        <w:rPr>
          <w:rFonts w:ascii="Arial" w:hAnsi="Arial"/>
          <w:i/>
          <w:color w:val="000000"/>
          <w:sz w:val="20"/>
        </w:rPr>
      </w:pPr>
      <w:r>
        <w:rPr>
          <w:rFonts w:ascii="Arial" w:hAnsi="Arial"/>
          <w:i/>
          <w:color w:val="000000"/>
          <w:sz w:val="20"/>
        </w:rPr>
        <w:t>Demand Generation and Engagement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Global Reach for Online Merchants. </w:t>
      </w:r>
      <w:r>
        <w:rPr>
          <w:rFonts w:ascii="Arial" w:hAnsi="Arial"/>
          <w:color w:val="000000"/>
          <w:sz w:val="20"/>
        </w:rPr>
        <w:t>Wish gives merchants immediate access to millions of MAUs across more than 60 countries, with a significant user footprint in the United States ("U.S.") and Europe. We help our merchants reach these users in a highly targeted and cost-efficient manner.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Promotion. </w:t>
      </w:r>
      <w:r>
        <w:rPr>
          <w:rFonts w:ascii="Arial" w:hAnsi="Arial"/>
          <w:color w:val="000000"/>
          <w:sz w:val="20"/>
        </w:rPr>
        <w:t xml:space="preserve">Wish merchants can amplify their reach and sales by utilizing our native advertising tool, ProductBoost. We utilize data science to optimize ad placement, target users, and maximize the merchant’s return on ad spend. </w:t>
      </w:r>
    </w:p>
    <w:p>
      <w:pPr>
        <w:pStyle w:val="TextBody"/>
        <w:bidi w:val="0"/>
        <w:spacing w:before="180" w:after="283"/>
        <w:jc w:val="both"/>
        <w:rPr>
          <w:rFonts w:ascii="Times New Roman" w:hAnsi="Times New Roman"/>
          <w:sz w:val="20"/>
        </w:rPr>
      </w:pPr>
      <w:r>
        <w:rPr>
          <w:rFonts w:ascii="Arial" w:hAnsi="Arial"/>
          <w:i/>
          <w:color w:val="000000"/>
          <w:sz w:val="20"/>
        </w:rPr>
        <w:t>User-Generated Content Creation.</w:t>
      </w:r>
      <w:r>
        <w:rPr>
          <w:rFonts w:ascii="Times New Roman" w:hAnsi="Times New Roman"/>
          <w:color w:val="000000"/>
          <w:sz w:val="20"/>
        </w:rPr>
        <w:t xml:space="preserve"> </w:t>
      </w:r>
      <w:r>
        <w:rPr>
          <w:rFonts w:ascii="Arial" w:hAnsi="Arial"/>
          <w:color w:val="000000"/>
          <w:sz w:val="20"/>
        </w:rPr>
        <w:t>User-generated content that is particular, authentic, and localized can meaningfully improve user engagement and increase the purchases of products on our platform. Our value-conscious users rely on user-generated content such as reviews, ratings, photos, and videos, rather than brand recognition, when making purchase decisions. Our data science technology prioritizes items with favorable reviews, higher ratings and shipping history, connecting buyers with high-quality merchants and enhancing both the user and merchant experience.</w:t>
      </w:r>
    </w:p>
    <w:p>
      <w:pPr>
        <w:pStyle w:val="TextBody"/>
        <w:bidi w:val="0"/>
        <w:spacing w:before="180" w:after="283"/>
        <w:jc w:val="both"/>
        <w:rPr>
          <w:rFonts w:ascii="Times New Roman" w:hAnsi="Times New Roman"/>
          <w:sz w:val="20"/>
        </w:rPr>
      </w:pPr>
      <w:r>
        <w:rPr>
          <w:rFonts w:ascii="Arial" w:hAnsi="Arial"/>
          <w:i/>
          <w:color w:val="000000"/>
          <w:sz w:val="20"/>
        </w:rPr>
        <w:t>Data Intelligence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Data Insight. </w:t>
      </w:r>
      <w:r>
        <w:rPr>
          <w:rFonts w:ascii="Arial" w:hAnsi="Arial"/>
          <w:color w:val="000000"/>
          <w:sz w:val="20"/>
        </w:rPr>
        <w:t xml:space="preserve">We provide our merchants with a comprehensive data set to run their businesses through the Wish Merchant Dashboard. This dashboard helps our merchants improve their performance in terms of total impressions, overall sales, product assortment, service quality, fulfillment, shipping needs, and refunds, among others.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Revenue Impact. </w:t>
      </w:r>
      <w:r>
        <w:rPr>
          <w:rFonts w:ascii="Arial" w:hAnsi="Arial"/>
          <w:color w:val="000000"/>
          <w:sz w:val="20"/>
        </w:rPr>
        <w:t xml:space="preserve">Our proprietary, state-of-the-art data science capabilities are designed to display products to users who are most likely to buy them, in turn driving more revenue to merchants. </w:t>
      </w:r>
    </w:p>
    <w:p>
      <w:pPr>
        <w:pStyle w:val="TextBody"/>
        <w:bidi w:val="0"/>
        <w:spacing w:before="120" w:after="283"/>
        <w:jc w:val="both"/>
        <w:rPr>
          <w:rFonts w:ascii="Times New Roman" w:hAnsi="Times New Roman"/>
          <w:sz w:val="20"/>
        </w:rPr>
      </w:pPr>
      <w:r>
        <w:rPr>
          <w:rFonts w:ascii="Arial" w:hAnsi="Arial"/>
          <w:i/>
          <w:color w:val="000000"/>
          <w:sz w:val="20"/>
        </w:rPr>
        <w:t>Logistics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Shipping Logistics. </w:t>
      </w:r>
      <w:r>
        <w:rPr>
          <w:rFonts w:ascii="Arial" w:hAnsi="Arial"/>
          <w:color w:val="000000"/>
          <w:sz w:val="20"/>
        </w:rPr>
        <w:t>With ongoing changes to global postal regulations and increases in cross-border sales volume, logistics has become paramount for small merchants to succeed in ecommerce. We have developed a number of logistics programs to provide a set of reliable cross-border logistics solutions at competitive costs for our merchants. We believe that ensuring a consistent delivery experience for our users increases value to our merchants by boosting sales volumes and minimizing returns.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Wish Local Partners. </w:t>
      </w:r>
      <w:r>
        <w:rPr>
          <w:rFonts w:ascii="Arial" w:hAnsi="Arial"/>
          <w:color w:val="000000"/>
          <w:sz w:val="20"/>
        </w:rPr>
        <w:t>Through our Wish Local partnerships, our Wish Local partners also serve as Wish Pickup locations for online Wish orders. These Wish Local stores effectively give us a fulfillment footprint around the world without owning any real estate.</w:t>
      </w:r>
    </w:p>
    <w:p>
      <w:pPr>
        <w:pStyle w:val="TextBody"/>
        <w:bidi w:val="0"/>
        <w:spacing w:before="120" w:after="283"/>
        <w:jc w:val="both"/>
        <w:rPr>
          <w:rFonts w:ascii="Arial" w:hAnsi="Arial"/>
          <w:i/>
          <w:color w:val="000000"/>
          <w:sz w:val="20"/>
        </w:rPr>
      </w:pPr>
      <w:r>
        <w:rPr>
          <w:rFonts w:ascii="Arial" w:hAnsi="Arial"/>
          <w:i/>
          <w:color w:val="000000"/>
          <w:sz w:val="20"/>
        </w:rPr>
        <w:t>Business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Optimization Tools, Services, and Education.</w:t>
      </w:r>
      <w:r>
        <w:rPr>
          <w:color w:val="000000"/>
        </w:rPr>
        <w:t xml:space="preserve"> </w:t>
      </w:r>
      <w:r>
        <w:rPr>
          <w:rFonts w:ascii="Arial" w:hAnsi="Arial"/>
          <w:color w:val="000000"/>
          <w:sz w:val="20"/>
        </w:rPr>
        <w:t>We provide tools, services, and ongoing education to our merchant base to help them improve their business operations and drive greater success.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Merchant Support.</w:t>
      </w:r>
      <w:r>
        <w:rPr>
          <w:color w:val="000000"/>
        </w:rPr>
        <w:t xml:space="preserve"> </w:t>
      </w:r>
      <w:r>
        <w:rPr>
          <w:rFonts w:ascii="Arial" w:hAnsi="Arial"/>
          <w:color w:val="000000"/>
          <w:sz w:val="20"/>
        </w:rPr>
        <w:t xml:space="preserve">Wish assists merchants with international trade compliance, payment processing, user support, and certain other services. </w:t>
      </w:r>
    </w:p>
    <w:p>
      <w:pPr>
        <w:pStyle w:val="TextBody"/>
        <w:bidi w:val="0"/>
        <w:spacing w:before="180" w:after="283"/>
        <w:jc w:val="both"/>
        <w:rPr>
          <w:rFonts w:ascii="Times New Roman" w:hAnsi="Times New Roman"/>
          <w:sz w:val="20"/>
        </w:rPr>
      </w:pPr>
      <w:r>
        <w:rPr>
          <w:rFonts w:ascii="Arial" w:hAnsi="Arial"/>
          <w:i/>
          <w:color w:val="000000"/>
          <w:sz w:val="20"/>
        </w:rPr>
        <w:t>Data Science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Our machine learning and data science capabilities drive all aspects of our business. Our data advantage comes from our rich and growing data set of historical and recent user and merchant behaviors and transactions, and deep understanding of our millions of MAUs and thousands of active global merchants. All of this feeds into a proprietary data science algorithm that we continuously optimize for more intelligent insights and decision making.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Key examples of how we use data science to drive our business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User Acquisition: </w:t>
      </w:r>
      <w:r>
        <w:rPr>
          <w:rFonts w:ascii="Arial" w:hAnsi="Arial"/>
          <w:color w:val="000000"/>
          <w:sz w:val="20"/>
        </w:rPr>
        <w:t>We leverage the power of our proprietary data to make decisions on what to show to whom, when, and through which acquisition channel, with a focus on maximizing our return on marketing investment and conversion.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Lifetime Value Maximization:</w:t>
      </w:r>
      <w:r>
        <w:rPr>
          <w:color w:val="000000"/>
        </w:rPr>
        <w:t xml:space="preserve"> </w:t>
      </w:r>
      <w:r>
        <w:rPr>
          <w:rFonts w:ascii="Arial" w:hAnsi="Arial"/>
          <w:color w:val="000000"/>
          <w:sz w:val="20"/>
        </w:rPr>
        <w:t>Data science plays a critical role in maximizing lifetime value (“LTV”) of our users and optimizing the initial user acquisition investment. We use data science to determine the allocation of marketing investment across different users, marketing channels, and user acquisition and re-engagement strategies.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User Personalization:</w:t>
      </w:r>
      <w:r>
        <w:rPr>
          <w:color w:val="000000"/>
        </w:rPr>
        <w:t xml:space="preserve"> </w:t>
      </w:r>
      <w:r>
        <w:rPr>
          <w:rFonts w:ascii="Arial" w:hAnsi="Arial"/>
          <w:color w:val="000000"/>
          <w:sz w:val="20"/>
        </w:rPr>
        <w:t>Our proprietary algorithms utilize a rich and growing data set of historical and recent user behaviors that includes browsing data, past transactions, reviews, and preferences noted on Wish, to display the most relevant and personalized content. This data-driven approach enables efficient and enjoyable navigation and discovery on a mobile screen, creates purchase intent across a diverse set of products, and increases conversion to sales.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User-Generated Content:</w:t>
      </w:r>
      <w:r>
        <w:rPr>
          <w:color w:val="000000"/>
        </w:rPr>
        <w:t xml:space="preserve"> </w:t>
      </w:r>
      <w:r>
        <w:rPr>
          <w:rFonts w:ascii="Arial" w:hAnsi="Arial"/>
          <w:color w:val="000000"/>
          <w:sz w:val="20"/>
        </w:rPr>
        <w:t xml:space="preserve">Our platform offers mostly unbranded goods. Our value-conscious users rely on user-generated content such as reviews, ratings, photos, and videos, rather than brand recognition, when making purchase decisions. This makes the user-generated content on our platform an important source of trust and quality for our largely unbranded product selection.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Merchant Insights: </w:t>
      </w:r>
      <w:r>
        <w:rPr>
          <w:rFonts w:ascii="Arial" w:hAnsi="Arial"/>
          <w:color w:val="000000"/>
          <w:sz w:val="20"/>
        </w:rPr>
        <w:t xml:space="preserve">Our platform includes a merchant dashboard with built-in analytics to help merchants sell more products and track their performance. Our data capabilities help merchants better understand user behavior and preferences, enabling them to operate more intelligently and efficiently.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ProductBoost:</w:t>
      </w:r>
      <w:r>
        <w:rPr>
          <w:color w:val="000000"/>
        </w:rPr>
        <w:t xml:space="preserve"> </w:t>
      </w:r>
      <w:r>
        <w:rPr>
          <w:rFonts w:ascii="Arial" w:hAnsi="Arial"/>
          <w:color w:val="000000"/>
          <w:sz w:val="20"/>
        </w:rPr>
        <w:t xml:space="preserve">ProductBoost is our native advertising tool for merchants, which helps them promote their products on our platform. We utilize data science to improve the performance of ProductBoost and help maximize the merchants’ return on their ad spend.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Logistics: </w:t>
      </w:r>
      <w:r>
        <w:rPr>
          <w:rFonts w:ascii="Arial" w:hAnsi="Arial"/>
          <w:color w:val="000000"/>
          <w:sz w:val="20"/>
        </w:rPr>
        <w:t xml:space="preserve">We leverage data science to improve transparency and logistics operational efficiency for our merchants, while also reducing shipping time and improving delivery reliability for our buyers.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User and Merchant Support:</w:t>
      </w:r>
      <w:r>
        <w:rPr>
          <w:color w:val="000000"/>
        </w:rPr>
        <w:t xml:space="preserve"> </w:t>
      </w:r>
      <w:r>
        <w:rPr>
          <w:rFonts w:ascii="Arial" w:hAnsi="Arial"/>
          <w:color w:val="000000"/>
          <w:sz w:val="20"/>
        </w:rPr>
        <w:t>We use data to understand what a user or merchant is likely to need help with in order to improve the quality of support and maximize cost efficiency of providing such support.</w:t>
      </w:r>
    </w:p>
    <w:p>
      <w:pPr>
        <w:pStyle w:val="TextBody"/>
        <w:bidi w:val="0"/>
        <w:spacing w:before="180" w:after="283"/>
        <w:jc w:val="both"/>
        <w:rPr>
          <w:rFonts w:ascii="Arial" w:hAnsi="Arial"/>
          <w:b/>
          <w:color w:val="000000"/>
          <w:sz w:val="20"/>
        </w:rPr>
      </w:pPr>
      <w:r>
        <w:rPr>
          <w:rFonts w:ascii="Arial" w:hAnsi="Arial"/>
          <w:b/>
          <w:color w:val="000000"/>
          <w:sz w:val="20"/>
        </w:rPr>
        <w:t>Our Customers</w:t>
      </w:r>
    </w:p>
    <w:p>
      <w:pPr>
        <w:pStyle w:val="TextBody"/>
        <w:bidi w:val="0"/>
        <w:spacing w:before="180" w:after="283"/>
        <w:jc w:val="both"/>
        <w:rPr>
          <w:rFonts w:ascii="Arial" w:hAnsi="Arial"/>
          <w:color w:val="000000"/>
          <w:sz w:val="20"/>
        </w:rPr>
      </w:pPr>
      <w:r>
        <w:rPr>
          <w:rFonts w:ascii="Arial" w:hAnsi="Arial"/>
          <w:color w:val="000000"/>
          <w:sz w:val="20"/>
        </w:rPr>
        <w:t>We generate revenue from marketplace and logistics services provided to our customers. We consider both the merchant and the user to be our customers. We provide a mix of marketplace services to merchants. We provide merchants access to our marketplace where merchants display and sell their products to users. We also provide a range of merchandising services including ProductBoost to help merchants promote their products within our marketplace. 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pStyle w:val="TextBody"/>
        <w:bidi w:val="0"/>
        <w:spacing w:before="180" w:after="283"/>
        <w:jc w:val="both"/>
        <w:rPr>
          <w:rFonts w:ascii="Arial" w:hAnsi="Arial"/>
          <w:b/>
          <w:color w:val="000000"/>
          <w:sz w:val="20"/>
        </w:rPr>
      </w:pPr>
      <w:r>
        <w:rPr>
          <w:rFonts w:ascii="Arial" w:hAnsi="Arial"/>
          <w:b/>
          <w:color w:val="000000"/>
          <w:sz w:val="20"/>
        </w:rPr>
        <w:t>Sales and Marketing</w:t>
      </w:r>
    </w:p>
    <w:p>
      <w:pPr>
        <w:pStyle w:val="TextBody"/>
        <w:bidi w:val="0"/>
        <w:spacing w:before="180" w:after="283"/>
        <w:jc w:val="both"/>
        <w:rPr>
          <w:rFonts w:ascii="Arial" w:hAnsi="Arial"/>
          <w:color w:val="000000"/>
          <w:sz w:val="20"/>
        </w:rPr>
      </w:pPr>
      <w:r>
        <w:rPr>
          <w:rFonts w:ascii="Arial" w:hAnsi="Arial"/>
          <w:color w:val="000000"/>
          <w:sz w:val="20"/>
        </w:rPr>
        <w:t>Our sales and marketing capabilities represent a core competency that is essential to the success of the Wish platform. We are focused on continuing to acquire and retain users and build brand awareness efficiently. Our advertising costs to acquire users constituted 73% of our sales and marketing expenses, and sales and marketing expenses constituted 37% of our operating expenses, in 2023. We have extensive experience in cost-effective, data-driven digital marketing and user acquisition. We also design innovative marketing programs that help increase brand awareness by targeting people who we believe have a higher propensity to engage with our platform and buy from our merchants. We continue to partner with various social-media platforms to ensure we gain exposure with broader audiences.</w:t>
      </w:r>
    </w:p>
    <w:p>
      <w:pPr>
        <w:pStyle w:val="TextBody"/>
        <w:bidi w:val="0"/>
        <w:spacing w:before="180" w:after="283"/>
        <w:jc w:val="both"/>
        <w:rPr>
          <w:rFonts w:ascii="Times New Roman" w:hAnsi="Times New Roman"/>
          <w:sz w:val="20"/>
        </w:rPr>
      </w:pPr>
      <w:r>
        <w:rPr>
          <w:rFonts w:ascii="Arial" w:hAnsi="Arial"/>
          <w:color w:val="000000"/>
          <w:sz w:val="20"/>
        </w:rPr>
        <w:t>As discussed below under Item 7, “Management’s Discussion and Analysis of Financial Condition and Results of Operations—Key Financial and Performance Metrics,” our MAUs and last-twelve-months active buyers were negatively impacted by our decision to significantly reduce our digital advertising expenditures to focus our resources on other strategic initiatives that we believe will improve the user experience and increase retention, including (i) investing in our search experience on the platform, (ii) exploring experiences to make it easier for users to continue exploring products and adding to shopping carts, including through the use of video, (iii) optimizing the incentives, deals, and coupons available to our users to boost conversion, and (iv) introducing new growth channels and improving existing unpaid channels like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notifications and emails. We believe our continued strategy to improve users’ experience in our marketplace and provide a more differentiated and engaging user experience will position us for long-term sustainable growth.</w:t>
      </w:r>
    </w:p>
    <w:p>
      <w:pPr>
        <w:pStyle w:val="TextBody"/>
        <w:bidi w:val="0"/>
        <w:spacing w:before="180" w:after="283"/>
        <w:jc w:val="both"/>
        <w:rPr>
          <w:rFonts w:ascii="Arial" w:hAnsi="Arial"/>
          <w:color w:val="000000"/>
          <w:sz w:val="20"/>
        </w:rPr>
      </w:pPr>
      <w:r>
        <w:rPr>
          <w:rFonts w:ascii="Arial" w:hAnsi="Arial"/>
          <w:color w:val="000000"/>
          <w:sz w:val="20"/>
        </w:rPr>
        <w:t>We currently acquire new users through a variety of marketing channels including social media, search engine optimization, affiliate marketing, and brand-oriented marketing campaigns. We rely on our data to understand consumer behavior and long term value of the consumer which guide our acquisition strategy. We also utilize data in determining how best to engage our users and seek to optimize the mode, timing and frequency of interactions across our mobile app, push notifications, and emails.</w:t>
      </w:r>
    </w:p>
    <w:p>
      <w:pPr>
        <w:pStyle w:val="TextBody"/>
        <w:bidi w:val="0"/>
        <w:spacing w:before="180" w:after="283"/>
        <w:jc w:val="both"/>
        <w:rPr>
          <w:rFonts w:ascii="Times New Roman" w:hAnsi="Times New Roman"/>
          <w:sz w:val="20"/>
        </w:rPr>
      </w:pPr>
      <w:r>
        <w:rPr>
          <w:rFonts w:ascii="Arial" w:hAnsi="Arial"/>
          <w:color w:val="000000"/>
          <w:sz w:val="20"/>
        </w:rPr>
        <w:t>We have invested heavily in building a talented in-house marketing team, while also developing proprietary technologies that enable us to build data-driven and highly-personalized campaigns that can scale globally on digital platforms including Facebook, Instagram, and various Google properties. Our marketing efforts also focus on re-targeting of existing users, building our brand, generating awareness, and cultivating the Wish community.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Additionally, our user base has created additional opportunities for us to reach existing and new customers organically, a venue of demand generation that supplements our paid market efforts.</w:t>
      </w:r>
    </w:p>
    <w:p>
      <w:pPr>
        <w:pStyle w:val="TextBody"/>
        <w:bidi w:val="0"/>
        <w:spacing w:before="180" w:after="283"/>
        <w:jc w:val="both"/>
        <w:rPr>
          <w:rFonts w:ascii="Arial" w:hAnsi="Arial"/>
          <w:color w:val="000000"/>
          <w:sz w:val="20"/>
        </w:rPr>
      </w:pPr>
      <w:r>
        <w:rPr>
          <w:rFonts w:ascii="Arial" w:hAnsi="Arial"/>
          <w:color w:val="000000"/>
          <w:sz w:val="20"/>
        </w:rPr>
        <w:t>Finally, we also invest in efficient sales and marketing activities to identify and onboard high potential merchants around the world both for our online marketplace as well as Wish Local. Similar to our user acquisition strategies, we deploy digital performance marketing campaigns on social media and other channels to acquire new merchants. We supplement this effort with offline marketing activities that include attending trade shows and conducting seminars. We also leverage partnerships with third-party platforms for merchant referrals.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spacing w:before="180" w:after="283"/>
        <w:jc w:val="both"/>
        <w:rPr>
          <w:rFonts w:ascii="Arial" w:hAnsi="Arial"/>
          <w:color w:val="000000"/>
          <w:sz w:val="20"/>
        </w:rPr>
      </w:pPr>
      <w:r>
        <w:rPr>
          <w:rFonts w:ascii="Arial" w:hAnsi="Arial"/>
          <w:color w:val="000000"/>
          <w:sz w:val="20"/>
        </w:rPr>
        <w:t>We have a technology and data-driven research and development culture that allows us to deliver a high-quality experience for our users and merchants. Our research and development talent is responsible for the design, development, testing, and delivery of our platform and user experience. The vast majority of our research and development talent is located in San Francisco and Toronto. We strive to create an environment that utilizes our employees’ talents and satisfies their intellectual curiosities while promoting the development of impactful and transformative technologies.</w:t>
      </w:r>
    </w:p>
    <w:p>
      <w:pPr>
        <w:pStyle w:val="TextBody"/>
        <w:bidi w:val="0"/>
        <w:spacing w:before="180" w:after="283"/>
        <w:jc w:val="both"/>
        <w:rPr>
          <w:rFonts w:ascii="Arial" w:hAnsi="Arial"/>
          <w:color w:val="000000"/>
          <w:sz w:val="20"/>
        </w:rPr>
      </w:pPr>
      <w:r>
        <w:rPr>
          <w:rFonts w:ascii="Arial" w:hAnsi="Arial"/>
          <w:color w:val="000000"/>
          <w:sz w:val="20"/>
        </w:rPr>
        <w:t>As a company, we invest substantial resources in research and development to drive core technology innovation and bring new products to market. As of December 31, 2023, approximately 60% of our total headcount was involved in research and development and related activities.</w:t>
      </w:r>
    </w:p>
    <w:p>
      <w:pPr>
        <w:pStyle w:val="TextBody"/>
        <w:bidi w:val="0"/>
        <w:spacing w:before="180" w:after="283"/>
        <w:jc w:val="both"/>
        <w:rPr>
          <w:rFonts w:ascii="Arial" w:hAnsi="Arial"/>
          <w:b/>
          <w:color w:val="000000"/>
          <w:sz w:val="20"/>
        </w:rPr>
      </w:pPr>
      <w:r>
        <w:rPr>
          <w:rFonts w:ascii="Arial" w:hAnsi="Arial"/>
          <w:b/>
          <w:color w:val="000000"/>
          <w:sz w:val="20"/>
        </w:rPr>
        <w:t>Our Competition</w:t>
      </w:r>
    </w:p>
    <w:p>
      <w:pPr>
        <w:pStyle w:val="TextBody"/>
        <w:bidi w:val="0"/>
        <w:spacing w:before="180" w:after="283"/>
        <w:jc w:val="both"/>
        <w:rPr>
          <w:rFonts w:ascii="Arial" w:hAnsi="Arial"/>
          <w:color w:val="000000"/>
          <w:sz w:val="20"/>
        </w:rPr>
      </w:pPr>
      <w:r>
        <w:rPr>
          <w:rFonts w:ascii="Arial" w:hAnsi="Arial"/>
          <w:color w:val="000000"/>
          <w:sz w:val="20"/>
        </w:rPr>
        <w:t>We compete for both users and merchants. For users, we compete on the basis of affordability and user experience. For merchants, we compete on the basis of providing profitable distribution, an end to end platform and global reach.</w:t>
      </w:r>
    </w:p>
    <w:p>
      <w:pPr>
        <w:pStyle w:val="TextBody"/>
        <w:bidi w:val="0"/>
        <w:spacing w:before="180" w:after="283"/>
        <w:jc w:val="both"/>
        <w:rPr>
          <w:rFonts w:ascii="Arial" w:hAnsi="Arial"/>
          <w:color w:val="000000"/>
          <w:sz w:val="20"/>
        </w:rPr>
      </w:pPr>
      <w:r>
        <w:rPr>
          <w:rFonts w:ascii="Arial" w:hAnsi="Arial"/>
          <w:color w:val="000000"/>
          <w:sz w:val="20"/>
        </w:rPr>
        <w:t>Our online competitors include large, global ecommerce platforms such as Amazon, Alibaba, Pinduoduo, Shein, and Shopify as well as more traditional discount retailers such as Walmart and Target. Our offline competitors also include scaled discount retailers that offer heavily discounted and off-season products, such as Dollar General and TJ Maxx. We are able to compete for users based on our massive product selection, low prices and daily discounts, deeply-personalized and differentiated shopping experience powered by our data science and optimized for the mobile device, and entertainment derived from various engaging and interactive features of our platform.</w:t>
      </w:r>
    </w:p>
    <w:p>
      <w:pPr>
        <w:pStyle w:val="TextBody"/>
        <w:bidi w:val="0"/>
        <w:spacing w:before="180" w:after="283"/>
        <w:jc w:val="both"/>
        <w:rPr>
          <w:rFonts w:ascii="Arial" w:hAnsi="Arial"/>
          <w:b/>
          <w:color w:val="000000"/>
          <w:sz w:val="20"/>
        </w:rPr>
      </w:pPr>
      <w:r>
        <w:rPr>
          <w:rFonts w:ascii="Arial" w:hAnsi="Arial"/>
          <w:b/>
          <w:color w:val="000000"/>
          <w:sz w:val="20"/>
        </w:rPr>
        <w:t>Intellectual Property</w:t>
      </w:r>
    </w:p>
    <w:p>
      <w:pPr>
        <w:pStyle w:val="TextBody"/>
        <w:bidi w:val="0"/>
        <w:spacing w:before="180" w:after="283"/>
        <w:jc w:val="both"/>
        <w:rPr>
          <w:rFonts w:ascii="Times New Roman" w:hAnsi="Times New Roman"/>
          <w:sz w:val="20"/>
        </w:rPr>
      </w:pPr>
      <w:r>
        <w:rPr>
          <w:rFonts w:ascii="Arial" w:hAnsi="Arial"/>
          <w:color w:val="000000"/>
          <w:sz w:val="20"/>
        </w:rPr>
        <w:t>We rely on federal, state, common law, and international rights, as well as contractual restrictions, to protect our intellectual property. We control access to our proprietary technology through a combination of trademarks, domain names, copyrights, trade secrets, patents, and confidentiality agreements with employees and third parties. We pursue the registration of our copyrights, trademarks, service marks, and domain names in the U.S. and in certain locations outside the U.S. Our success depends in part upon our ability to protect and use our core technology and intellectual property. We rely on a combination of trade secret, copyright, trademark and, to a lesser extent, patent laws, as well as confidentiality protection procedures to protect our intellectual property rights.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See Item 1A, "Risk Factors," for further discussion of risks related to protecting our intellectual property.</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Government Regulations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with any company operating on the Internet, we are subject to a growing number of local, national and international laws and regulations. These laws are often complex, sometimes contradict other laws, and are frequently still evolving. Laws may be interpreted and enforced in different ways in various locations around the world, posing a significant challenge to our global business. For example, U.S. federal and state laws, European Union Directives and Regulations, and other national laws govern the processing of payments, consumer protection and the privacy of consumer information; other laws define and regulate unfair and deceptive trade practices. Still other laws dictate when and how sales or other taxes must be collected. The growing regulation of ecommerce worldwide could impose additional compliance burdens and costs on us or on Wish merchants, and could subject us to significant liability for any failure to comply. Additionally, because we operate internationally, we need to comply with various laws associated with doing business outside of the U.S., including anti-money laundering, anti-corruption and export control laws. Recent trends globally toward increased protectionism and trade barriers can result in actions by governments around the world that may be disruptive to our businesses.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See Item 1A, "Risk Factors," for further discussion of risks related to government regulations and other legal obligations related to privacy, data protection, information security, and consumer protection.</w:t>
      </w:r>
    </w:p>
    <w:p>
      <w:pPr>
        <w:pStyle w:val="TextBody"/>
        <w:bidi w:val="0"/>
        <w:spacing w:before="180" w:after="283"/>
        <w:jc w:val="both"/>
        <w:rPr>
          <w:rFonts w:ascii="Arial" w:hAnsi="Arial"/>
          <w:b/>
          <w:color w:val="000000"/>
          <w:sz w:val="20"/>
        </w:rPr>
      </w:pPr>
      <w:r>
        <w:rPr>
          <w:rFonts w:ascii="Arial" w:hAnsi="Arial"/>
          <w:b/>
          <w:color w:val="000000"/>
          <w:sz w:val="20"/>
        </w:rPr>
        <w:t>Legal Proceedings</w:t>
      </w:r>
    </w:p>
    <w:p>
      <w:pPr>
        <w:pStyle w:val="TextBody"/>
        <w:bidi w:val="0"/>
        <w:spacing w:before="180" w:after="283"/>
        <w:jc w:val="both"/>
        <w:rPr>
          <w:rFonts w:ascii="Arial" w:hAnsi="Arial"/>
          <w:color w:val="000000"/>
          <w:sz w:val="20"/>
        </w:rPr>
      </w:pPr>
      <w:r>
        <w:rPr>
          <w:rFonts w:ascii="Arial" w:hAnsi="Arial"/>
          <w:color w:val="000000"/>
          <w:sz w:val="20"/>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 We are also regularly subject to proceedings, claims, investigations and government inquiries seeking to hold us liable for the actions of merchants on our platform.</w:t>
      </w:r>
    </w:p>
    <w:p>
      <w:pPr>
        <w:pStyle w:val="TextBody"/>
        <w:bidi w:val="0"/>
        <w:spacing w:before="180" w:after="283"/>
        <w:jc w:val="both"/>
        <w:rPr>
          <w:rFonts w:ascii="Arial" w:hAnsi="Arial"/>
          <w:color w:val="000000"/>
          <w:sz w:val="20"/>
        </w:rPr>
      </w:pPr>
      <w:r>
        <w:rPr>
          <w:rFonts w:ascii="Arial" w:hAnsi="Arial"/>
          <w:color w:val="000000"/>
          <w:sz w:val="20"/>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pStyle w:val="TextBody"/>
        <w:bidi w:val="0"/>
        <w:spacing w:before="180" w:after="283"/>
        <w:jc w:val="both"/>
        <w:rPr>
          <w:rFonts w:ascii="Times New Roman" w:hAnsi="Times New Roman"/>
          <w:sz w:val="20"/>
        </w:rPr>
      </w:pPr>
      <w:r>
        <w:rPr>
          <w:rFonts w:ascii="Arial" w:hAnsi="Arial"/>
          <w:color w:val="000000"/>
          <w:sz w:val="20"/>
        </w:rPr>
        <w:t>See Item 1A, “Risk Factors,” for further discussion of risks related to legal proceedings. See also, Item 8, Financial Statements and Supplementary Data, Note 7. Commitments and Contingencies, “Legal Contingencies and Proceedings,” for further discussion of current litigation.</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Human Capital</w:t>
      </w:r>
    </w:p>
    <w:p>
      <w:pPr>
        <w:pStyle w:val="TextBody"/>
        <w:bidi w:val="0"/>
        <w:spacing w:before="180" w:after="283"/>
        <w:jc w:val="both"/>
        <w:rPr>
          <w:rFonts w:ascii="Times New Roman" w:hAnsi="Times New Roman"/>
          <w:sz w:val="20"/>
        </w:rPr>
      </w:pPr>
      <w:r>
        <w:rPr>
          <w:rFonts w:ascii="Arial" w:hAnsi="Arial"/>
          <w:color w:val="000000"/>
          <w:sz w:val="20"/>
        </w:rPr>
        <w:t>We are continually investing in the engagement and retention of our global workforce by creating a diverse and inclusive workplace, providing market-competitive benefits to support our employees’ health and well-being, and fostering an environment of learning and growth in support of employee development.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of December 31, 2023, we had a total of 452 full-time employees worldwide, of which 195 are located in the U.S. Our team includes employees in 10 countries, spread across 4 continents, reflecting various cultures, backgrounds and ethnicities. We also engage temporary employees and consultants as needed to support our operations.</w:t>
      </w:r>
    </w:p>
    <w:p>
      <w:pPr>
        <w:pStyle w:val="TextBody"/>
        <w:bidi w:val="0"/>
        <w:spacing w:before="180" w:after="283"/>
        <w:jc w:val="both"/>
        <w:rPr>
          <w:rFonts w:ascii="Arial" w:hAnsi="Arial"/>
          <w:color w:val="000000"/>
          <w:sz w:val="20"/>
        </w:rPr>
      </w:pPr>
      <w:r>
        <w:rPr>
          <w:rFonts w:ascii="Arial" w:hAnsi="Arial"/>
          <w:color w:val="000000"/>
          <w:sz w:val="20"/>
        </w:rPr>
        <w:t>In 2023, we reduced our workforce by approximately 400 employees. The reductions in workforce were intended to refocus our operations to support our ongoing business prioritization efforts, better align resources, and improve operational efficiencies. See the sections titled Item 7, “Management’s Discussion and Analysis of Financial Condition and Results of Operations—Reductions in Workforce” and Item 8, “Financial Statements and Supplementary Data, Note 12. Reductions in Workforce”, for further discussion of our reductions in workforce.</w:t>
      </w:r>
    </w:p>
    <w:p>
      <w:pPr>
        <w:pStyle w:val="TextBody"/>
        <w:bidi w:val="0"/>
        <w:spacing w:before="180" w:after="283"/>
        <w:jc w:val="both"/>
        <w:rPr>
          <w:rFonts w:ascii="Arial" w:hAnsi="Arial"/>
          <w:color w:val="000000"/>
          <w:sz w:val="20"/>
        </w:rPr>
      </w:pPr>
      <w:r>
        <w:rPr>
          <w:rFonts w:ascii="Arial" w:hAnsi="Arial"/>
          <w:color w:val="000000"/>
          <w:sz w:val="20"/>
        </w:rPr>
        <w:t>None of our employees in the U.S. is represented by a labor union or subject to a collective bargaining agreement. In certain countries in which we operate, we may be subject to, and need to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pStyle w:val="TextBody"/>
        <w:bidi w:val="0"/>
        <w:spacing w:before="180" w:after="283"/>
        <w:jc w:val="both"/>
        <w:rPr>
          <w:rFonts w:ascii="Arial" w:hAnsi="Arial"/>
          <w:i/>
          <w:color w:val="000000"/>
          <w:sz w:val="20"/>
        </w:rPr>
      </w:pPr>
      <w:r>
        <w:rPr>
          <w:rFonts w:ascii="Arial" w:hAnsi="Arial"/>
          <w:i/>
          <w:color w:val="000000"/>
          <w:sz w:val="20"/>
        </w:rPr>
        <w:t>Fostering Organizational Diversity</w:t>
      </w:r>
    </w:p>
    <w:p>
      <w:pPr>
        <w:pStyle w:val="TextBody"/>
        <w:bidi w:val="0"/>
        <w:spacing w:before="180" w:after="283"/>
        <w:jc w:val="both"/>
        <w:rPr>
          <w:rFonts w:ascii="Times New Roman" w:hAnsi="Times New Roman"/>
          <w:sz w:val="20"/>
        </w:rPr>
      </w:pPr>
      <w:r>
        <w:rPr>
          <w:rFonts w:ascii="Arial" w:hAnsi="Arial"/>
          <w:color w:val="000000"/>
          <w:sz w:val="20"/>
        </w:rPr>
        <w:t>As a global business with users and merchants in more than 60 countries, we understand that our ability to harness the power of diverse perspectives within our organization is crucial to our success in serving those customers effectively.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Wish is committed to organizational diversity in all areas of our workforce and will continue to pursue meaningful diversity, equity, and inclusion initiatives. As of December 31, 2023, our employee base was 59% male and 41% female, and our Board of Directors was 70% male and 30% female.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Promoting an Inclusive Workplace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to fostering diversity in all categories and across all levels of our organization, we are committed to creating and maintaining an inclusive workplace free from discrimination or harassment on the basis of race, color, citizenship, religion, creed, national origin, ancestry, gender, sexual orientation, age, marital status, veteran status, disability, medical condition, or any other status protected by applicable law.</w:t>
      </w:r>
    </w:p>
    <w:p>
      <w:pPr>
        <w:pStyle w:val="TextBody"/>
        <w:bidi w:val="0"/>
        <w:spacing w:before="180" w:after="283"/>
        <w:jc w:val="both"/>
        <w:rPr>
          <w:rFonts w:ascii="Arial" w:hAnsi="Arial"/>
          <w:color w:val="000000"/>
          <w:sz w:val="20"/>
        </w:rPr>
      </w:pPr>
      <w:r>
        <w:rPr>
          <w:rFonts w:ascii="Arial" w:hAnsi="Arial"/>
          <w:color w:val="000000"/>
          <w:sz w:val="20"/>
        </w:rPr>
        <w:t>As a part of this effort, we deploy a variety of different tools to ensure a welcoming workplace for employees and business partners of all backgrounds,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Robust policies and a Company code of conduct prohibiting discrimination and harassment in the workplace;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clearly communicated and routinely reinforced policy that management and employees alike are expected to exhibit and promote honest, ethical, and respectful conduct in the workplace;.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establishment of Employee Resource Groups (“ERGs”) targeted at building community and fostering communication across cultural, ethnic, and religious lines, including those focused on people of color, LGBTQ+, and gender communities;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Recognition and celebration of various ethnic, religious, and cultural awareness holidays and other observances.</w:t>
      </w:r>
    </w:p>
    <w:p>
      <w:pPr>
        <w:pStyle w:val="TextBody"/>
        <w:bidi w:val="0"/>
        <w:spacing w:before="120" w:after="283"/>
        <w:jc w:val="both"/>
        <w:rPr>
          <w:rFonts w:ascii="Arial" w:hAnsi="Arial"/>
          <w:color w:val="000000"/>
          <w:sz w:val="20"/>
        </w:rPr>
      </w:pPr>
      <w:r>
        <w:rPr>
          <w:rFonts w:ascii="Arial" w:hAnsi="Arial"/>
          <w:color w:val="000000"/>
          <w:sz w:val="20"/>
        </w:rPr>
        <w:t>We have also established various training programs to promote a welcoming workplace,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Annual training for employees and managers relating to topics of diversity, equity, and inclusion, as well as training to counteract bias in the workplace;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 2022, we incorporated elements of bias identification and approaches to reject biases in our performance evaluations such as writing feedback using the Situation-Behavior-Impact (“SBI”) framework. </w:t>
      </w:r>
    </w:p>
    <w:p>
      <w:pPr>
        <w:pStyle w:val="TextBody"/>
        <w:bidi w:val="0"/>
        <w:spacing w:before="180" w:after="283"/>
        <w:jc w:val="left"/>
        <w:rPr>
          <w:rFonts w:ascii="Arial" w:hAnsi="Arial"/>
          <w:i/>
          <w:color w:val="000000"/>
          <w:sz w:val="20"/>
        </w:rPr>
      </w:pPr>
      <w:r>
        <w:rPr>
          <w:rFonts w:ascii="Arial" w:hAnsi="Arial"/>
          <w:i/>
          <w:color w:val="000000"/>
          <w:sz w:val="20"/>
        </w:rPr>
        <w:t>Employee Development and Training</w:t>
      </w:r>
    </w:p>
    <w:p>
      <w:pPr>
        <w:pStyle w:val="TextBody"/>
        <w:bidi w:val="0"/>
        <w:spacing w:before="180" w:after="283"/>
        <w:jc w:val="both"/>
        <w:rPr>
          <w:rFonts w:ascii="Arial" w:hAnsi="Arial"/>
          <w:color w:val="000000"/>
          <w:sz w:val="20"/>
        </w:rPr>
      </w:pPr>
      <w:r>
        <w:rPr>
          <w:rFonts w:ascii="Arial" w:hAnsi="Arial"/>
          <w:color w:val="000000"/>
          <w:sz w:val="20"/>
        </w:rPr>
        <w:t>Our employees are critical to the success of our company and we strive to create a supportive environment where all can contribute, learn, and grow in their careers. We prioritize employee development and training, and seek to foster both formal and informal learning opportunities inside and outside of the Company.</w:t>
      </w:r>
    </w:p>
    <w:p>
      <w:pPr>
        <w:pStyle w:val="TextBody"/>
        <w:bidi w:val="0"/>
        <w:spacing w:before="180" w:after="283"/>
        <w:jc w:val="both"/>
        <w:rPr>
          <w:rFonts w:ascii="Arial" w:hAnsi="Arial"/>
          <w:color w:val="000000"/>
          <w:sz w:val="20"/>
        </w:rPr>
      </w:pPr>
      <w:r>
        <w:rPr>
          <w:rFonts w:ascii="Arial" w:hAnsi="Arial"/>
          <w:color w:val="000000"/>
          <w:sz w:val="20"/>
        </w:rPr>
        <w:t>We provide an annual professional development stipend, which employees and managers can use for reimbursement of professional development expenses including seminars, courses, books, and training programs. We believe our investment in employee development has a direct impact on employee growth, engagement, and retention and is critical to our Company’s success.</w:t>
      </w:r>
    </w:p>
    <w:p>
      <w:pPr>
        <w:pStyle w:val="TextBody"/>
        <w:bidi w:val="0"/>
        <w:spacing w:before="180" w:after="283"/>
        <w:jc w:val="both"/>
        <w:rPr>
          <w:rFonts w:ascii="Arial" w:hAnsi="Arial"/>
          <w:color w:val="000000"/>
          <w:sz w:val="20"/>
        </w:rPr>
      </w:pPr>
      <w:r>
        <w:rPr>
          <w:rFonts w:ascii="Arial" w:hAnsi="Arial"/>
          <w:color w:val="000000"/>
          <w:sz w:val="20"/>
        </w:rPr>
        <w:t>To further support managers and individual contributors at Wish, most of whom work remotely due to the on-going COVID-19 pandemic, we also provide virtual training and development opportunities,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Writing Effective Feedback Review (offered to all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Performance Management Training (offered to all managers);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Amazon Web Service Training for Engineering Teams;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Manager Handbook for Managers in Technology Organization.</w:t>
      </w:r>
    </w:p>
    <w:p>
      <w:pPr>
        <w:pStyle w:val="TextBody"/>
        <w:bidi w:val="0"/>
        <w:spacing w:before="180" w:after="283"/>
        <w:jc w:val="both"/>
        <w:rPr>
          <w:rFonts w:ascii="Arial" w:hAnsi="Arial"/>
          <w:i/>
          <w:color w:val="000000"/>
          <w:sz w:val="20"/>
        </w:rPr>
      </w:pPr>
      <w:r>
        <w:rPr>
          <w:rFonts w:ascii="Arial" w:hAnsi="Arial"/>
          <w:i/>
          <w:color w:val="000000"/>
          <w:sz w:val="20"/>
        </w:rPr>
        <w:t>Employee Benefits and Retention Strategies</w:t>
      </w:r>
    </w:p>
    <w:p>
      <w:pPr>
        <w:pStyle w:val="TextBody"/>
        <w:bidi w:val="0"/>
        <w:spacing w:before="180" w:after="283"/>
        <w:jc w:val="both"/>
        <w:rPr>
          <w:rFonts w:ascii="Arial" w:hAnsi="Arial"/>
          <w:color w:val="000000"/>
          <w:sz w:val="20"/>
        </w:rPr>
      </w:pPr>
      <w:r>
        <w:rPr>
          <w:rFonts w:ascii="Arial" w:hAnsi="Arial"/>
          <w:color w:val="000000"/>
          <w:sz w:val="20"/>
        </w:rPr>
        <w:t>We provide employees competitive benefits and additional perks to support the health and well-being of all,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Comprehensive Health, Dental, and Vision Care -</w:t>
      </w:r>
      <w:r>
        <w:rPr>
          <w:color w:val="000000"/>
        </w:rPr>
        <w:t xml:space="preserve"> </w:t>
      </w:r>
      <w:r>
        <w:rPr>
          <w:rFonts w:ascii="Arial" w:hAnsi="Arial"/>
          <w:color w:val="000000"/>
          <w:sz w:val="20"/>
        </w:rPr>
        <w:t>We offer an array of healthcare, financial, and Wellness Benefits, to employees and their dependents at no cost to employees. Employees can choose from a variety of two different healthcare providers (three medical plan offerings total), including supplemental health voluntary coverage that fits the needs of our employees and their families.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Mental Health and Well-Being Support - </w:t>
      </w:r>
      <w:r>
        <w:rPr>
          <w:rFonts w:ascii="Arial" w:hAnsi="Arial"/>
          <w:color w:val="000000"/>
          <w:sz w:val="20"/>
        </w:rPr>
        <w:t>Our Wellness services include access to services from various providers. We provide an annual allotment to employees to access these services and annual education reimbursements for career development.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Competitive Parental Leave Policies - </w:t>
      </w:r>
      <w:r>
        <w:rPr>
          <w:rFonts w:ascii="Arial" w:hAnsi="Arial"/>
          <w:color w:val="000000"/>
          <w:sz w:val="20"/>
        </w:rPr>
        <w:t>16 weeks of parental leave for birthing parents and 10 weeks for non-birthing parents.</w:t>
      </w:r>
    </w:p>
    <w:p>
      <w:pPr>
        <w:pStyle w:val="TextBody"/>
        <w:bidi w:val="0"/>
        <w:spacing w:before="180" w:after="283"/>
        <w:jc w:val="both"/>
        <w:rPr>
          <w:rFonts w:ascii="Arial" w:hAnsi="Arial"/>
          <w:i/>
          <w:color w:val="000000"/>
          <w:sz w:val="20"/>
        </w:rPr>
      </w:pPr>
      <w:r>
        <w:rPr>
          <w:rFonts w:ascii="Arial" w:hAnsi="Arial"/>
          <w:i/>
          <w:color w:val="000000"/>
          <w:sz w:val="20"/>
        </w:rPr>
        <w:t>Flexibility and Decentralization</w:t>
      </w:r>
    </w:p>
    <w:p>
      <w:pPr>
        <w:pStyle w:val="TextBody"/>
        <w:bidi w:val="0"/>
        <w:spacing w:before="180" w:after="283"/>
        <w:jc w:val="both"/>
        <w:rPr>
          <w:rFonts w:ascii="Arial" w:hAnsi="Arial"/>
          <w:color w:val="000000"/>
          <w:sz w:val="20"/>
        </w:rPr>
      </w:pPr>
      <w:r>
        <w:rPr>
          <w:rFonts w:ascii="Arial" w:hAnsi="Arial"/>
          <w:color w:val="000000"/>
          <w:sz w:val="20"/>
        </w:rPr>
        <w:t>In 2022, we made a decision to shift towards a primarily remote working environment in which most employees had the option to work from home even after we reopened our offices.</w:t>
      </w:r>
    </w:p>
    <w:p>
      <w:pPr>
        <w:pStyle w:val="TextBody"/>
        <w:bidi w:val="0"/>
        <w:spacing w:before="180" w:after="283"/>
        <w:jc w:val="both"/>
        <w:rPr>
          <w:rFonts w:ascii="Arial" w:hAnsi="Arial"/>
          <w:color w:val="000000"/>
          <w:sz w:val="20"/>
        </w:rPr>
      </w:pPr>
      <w:r>
        <w:rPr>
          <w:rFonts w:ascii="Arial" w:hAnsi="Arial"/>
          <w:color w:val="000000"/>
          <w:sz w:val="20"/>
        </w:rPr>
        <w:t>In 2023, we rolled out a more formalized 'return to office protocol' for our workforce located in China, San Francisco and San Jose Metropolitan areas, and Canada that provided hybrid work processes for many of our employees, while providing remote work in other parts of the United States and the rest of the world.</w:t>
      </w:r>
    </w:p>
    <w:p>
      <w:pPr>
        <w:pStyle w:val="TextBody"/>
        <w:bidi w:val="0"/>
        <w:spacing w:before="180" w:after="283"/>
        <w:jc w:val="both"/>
        <w:rPr>
          <w:rFonts w:ascii="Arial" w:hAnsi="Arial"/>
          <w:color w:val="000000"/>
          <w:sz w:val="20"/>
        </w:rPr>
      </w:pPr>
      <w:r>
        <w:rPr>
          <w:rFonts w:ascii="Arial" w:hAnsi="Arial"/>
          <w:color w:val="000000"/>
          <w:sz w:val="20"/>
        </w:rPr>
        <w:t>In 2024, we expect to continue to closely analyze internal hybrid work processes and the external best practices for return to office processes that will help us to design a flexible work environment while creating efficient in-person interactions.</w:t>
      </w:r>
    </w:p>
    <w:p>
      <w:pPr>
        <w:pStyle w:val="TextBody"/>
        <w:bidi w:val="0"/>
        <w:spacing w:before="180" w:after="283"/>
        <w:jc w:val="both"/>
        <w:rPr>
          <w:rFonts w:ascii="Arial" w:hAnsi="Arial"/>
          <w:color w:val="000000"/>
          <w:sz w:val="20"/>
        </w:rPr>
      </w:pPr>
      <w:r>
        <w:rPr>
          <w:rFonts w:ascii="Arial" w:hAnsi="Arial"/>
          <w:color w:val="000000"/>
          <w:sz w:val="20"/>
        </w:rPr>
        <w:t>We believe the above working policy will unlock further opportunities to source, connect, hire, and retain talent in more locations while also enabling us to cultivate a vibrant, collaborative office environment at our China, Bay Area, and Canada locations.</w:t>
      </w:r>
    </w:p>
    <w:p>
      <w:pPr>
        <w:pStyle w:val="TextBody"/>
        <w:bidi w:val="0"/>
        <w:spacing w:before="180" w:after="283"/>
        <w:jc w:val="left"/>
        <w:rPr>
          <w:rFonts w:ascii="Arial" w:hAnsi="Arial"/>
          <w:b/>
          <w:color w:val="000000"/>
          <w:sz w:val="20"/>
        </w:rPr>
      </w:pPr>
      <w:r>
        <w:rPr>
          <w:rFonts w:ascii="Arial" w:hAnsi="Arial"/>
          <w:b/>
          <w:color w:val="000000"/>
          <w:sz w:val="20"/>
        </w:rPr>
        <w:t>Information about Segment and Geographic Areas</w:t>
      </w:r>
    </w:p>
    <w:p>
      <w:pPr>
        <w:pStyle w:val="TextBody"/>
        <w:bidi w:val="0"/>
        <w:spacing w:before="180" w:after="283"/>
        <w:jc w:val="both"/>
        <w:rPr>
          <w:rFonts w:ascii="Arial" w:hAnsi="Arial"/>
          <w:color w:val="000000"/>
          <w:sz w:val="20"/>
        </w:rPr>
      </w:pPr>
      <w:r>
        <w:rPr>
          <w:rFonts w:ascii="Arial" w:hAnsi="Arial"/>
          <w:color w:val="000000"/>
          <w:sz w:val="20"/>
        </w:rPr>
        <w:t>The segment and geographic information required herein is contained in Note 11 of Notes to Consolidated Financial Statements included in Part II, Item 8 of this Annual Report on Form 10-K.</w:t>
      </w:r>
    </w:p>
    <w:p>
      <w:pPr>
        <w:pStyle w:val="TextBody"/>
        <w:bidi w:val="0"/>
        <w:spacing w:before="180" w:after="283"/>
        <w:jc w:val="both"/>
        <w:rPr>
          <w:rFonts w:ascii="Arial" w:hAnsi="Arial"/>
          <w:b/>
          <w:color w:val="000000"/>
          <w:sz w:val="20"/>
        </w:rPr>
      </w:pPr>
      <w:r>
        <w:rPr>
          <w:rFonts w:ascii="Arial" w:hAnsi="Arial"/>
          <w:b/>
          <w:color w:val="000000"/>
          <w:sz w:val="20"/>
        </w:rPr>
        <w:t>Corporate Information</w:t>
      </w:r>
    </w:p>
    <w:p>
      <w:pPr>
        <w:pStyle w:val="TextBody"/>
        <w:bidi w:val="0"/>
        <w:spacing w:before="180" w:after="283"/>
        <w:jc w:val="both"/>
        <w:rPr>
          <w:rFonts w:ascii="Times New Roman" w:hAnsi="Times New Roman"/>
          <w:sz w:val="20"/>
        </w:rPr>
      </w:pPr>
      <w:r>
        <w:rPr>
          <w:rFonts w:ascii="Arial" w:hAnsi="Arial"/>
          <w:color w:val="000000"/>
          <w:sz w:val="20"/>
        </w:rPr>
        <w:t>We were incorporated in the state of Delaware in June 2010 as ContextLogic Inc., d/b/a “Wish.” Our principal executive offices are located at One Sansome Street 33rd Floor, San Francisco, California 94104. Our telephone number is (415) 432-7323. Our website address is www.wish.com.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use various trademarks, trade names, and design marks in our business, including Wish</w:t>
      </w:r>
      <w:r>
        <w:rPr>
          <w:rFonts w:ascii="Arial" w:hAnsi="Arial"/>
          <w:color w:val="000000"/>
          <w:sz w:val="13"/>
        </w:rPr>
        <w:t></w:t>
      </w:r>
      <w:r>
        <w:rPr>
          <w:rFonts w:ascii="Arial" w:hAnsi="Arial"/>
          <w:color w:val="000000"/>
          <w:sz w:val="20"/>
        </w:rPr>
        <w:t>, Wish Shopping Made Fun</w:t>
      </w:r>
      <w:r>
        <w:rPr>
          <w:rFonts w:ascii="Arial" w:hAnsi="Arial"/>
          <w:color w:val="000000"/>
          <w:sz w:val="13"/>
        </w:rPr>
        <w:t></w:t>
      </w:r>
      <w:r>
        <w:rPr>
          <w:rFonts w:ascii="Arial" w:hAnsi="Arial"/>
          <w:color w:val="000000"/>
          <w:sz w:val="20"/>
        </w:rPr>
        <w:t>, W</w:t>
      </w:r>
      <w:r>
        <w:rPr>
          <w:rFonts w:ascii="Arial" w:hAnsi="Arial"/>
          <w:color w:val="000000"/>
          <w:sz w:val="13"/>
        </w:rPr>
        <w:t></w:t>
      </w:r>
      <w:r>
        <w:rPr>
          <w:rFonts w:ascii="Arial" w:hAnsi="Arial"/>
          <w:color w:val="000000"/>
          <w:sz w:val="20"/>
        </w:rPr>
        <w:t>, WishPost</w:t>
      </w:r>
      <w:r>
        <w:rPr>
          <w:rFonts w:ascii="Arial" w:hAnsi="Arial"/>
          <w:color w:val="000000"/>
          <w:sz w:val="13"/>
        </w:rPr>
        <w:t></w:t>
      </w:r>
      <w:r>
        <w:rPr>
          <w:rFonts w:ascii="Arial" w:hAnsi="Arial"/>
          <w:color w:val="000000"/>
          <w:sz w:val="20"/>
        </w:rPr>
        <w:t>, Wish Pickup</w:t>
      </w:r>
      <w:r>
        <w:rPr>
          <w:rFonts w:ascii="Arial" w:hAnsi="Arial"/>
          <w:color w:val="000000"/>
          <w:sz w:val="13"/>
        </w:rPr>
        <w:t></w:t>
      </w:r>
      <w:r>
        <w:rPr>
          <w:rFonts w:ascii="Arial" w:hAnsi="Arial"/>
          <w:color w:val="000000"/>
          <w:sz w:val="20"/>
        </w:rPr>
        <w:t>, Wish Local</w:t>
      </w:r>
      <w:r>
        <w:rPr>
          <w:rFonts w:ascii="Arial" w:hAnsi="Arial"/>
          <w:color w:val="000000"/>
          <w:sz w:val="13"/>
        </w:rPr>
        <w:t></w:t>
      </w:r>
      <w:r>
        <w:rPr>
          <w:rFonts w:ascii="Arial" w:hAnsi="Arial"/>
          <w:color w:val="000000"/>
          <w:sz w:val="20"/>
        </w:rPr>
        <w:t>, ProductBoost</w:t>
      </w:r>
      <w:r>
        <w:rPr>
          <w:rFonts w:ascii="Arial" w:hAnsi="Arial"/>
          <w:color w:val="000000"/>
          <w:sz w:val="13"/>
        </w:rPr>
        <w:t></w:t>
      </w:r>
      <w:r>
        <w:rPr>
          <w:rFonts w:ascii="Arial" w:hAnsi="Arial"/>
          <w:color w:val="000000"/>
          <w:sz w:val="20"/>
        </w:rPr>
        <w:t>, and ContextLogic</w:t>
      </w:r>
      <w:r>
        <w:rPr>
          <w:rFonts w:ascii="Arial" w:hAnsi="Arial"/>
          <w:color w:val="000000"/>
          <w:sz w:val="13"/>
        </w:rPr>
        <w:t></w:t>
      </w:r>
      <w:r>
        <w:rPr>
          <w:rFonts w:ascii="Arial" w:hAnsi="Arial"/>
          <w:color w:val="000000"/>
          <w:sz w:val="20"/>
        </w:rPr>
        <w:t>.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pStyle w:val="TextBody"/>
        <w:bidi w:val="0"/>
        <w:spacing w:before="180" w:after="283"/>
        <w:jc w:val="both"/>
        <w:rPr>
          <w:rFonts w:ascii="Arial" w:hAnsi="Arial"/>
          <w:b/>
          <w:color w:val="000000"/>
          <w:sz w:val="20"/>
        </w:rPr>
      </w:pPr>
      <w:r>
        <w:rPr>
          <w:rFonts w:ascii="Arial" w:hAnsi="Arial"/>
          <w:b/>
          <w:color w:val="000000"/>
          <w:sz w:val="20"/>
        </w:rPr>
        <w:t>Available Information</w:t>
      </w:r>
    </w:p>
    <w:p>
      <w:pPr>
        <w:pStyle w:val="TextBody"/>
        <w:bidi w:val="0"/>
        <w:spacing w:before="180" w:after="283"/>
        <w:jc w:val="both"/>
        <w:rPr>
          <w:rFonts w:ascii="Arial" w:hAnsi="Arial"/>
          <w:color w:val="000000"/>
          <w:sz w:val="20"/>
        </w:rPr>
      </w:pPr>
      <w:r>
        <w:rPr>
          <w:rFonts w:ascii="Arial" w:hAnsi="Arial"/>
          <w:color w:val="000000"/>
          <w:sz w:val="20"/>
        </w:rPr>
        <w:t>We file our annual reports on Form 10-K, quarterly reports on Form 10-Q, and current reports on Form 8-K with the Securities and Exchange Commission ("SEC") electronically. The SEC maintains a website that contains reports, proxy and information statements, and other information regarding issuers, including ContextLogic Inc. that file electronically with the SEC. The address of that website is https://www.sec.gov.</w:t>
      </w:r>
    </w:p>
    <w:p>
      <w:pPr>
        <w:pStyle w:val="TextBody"/>
        <w:bidi w:val="0"/>
        <w:spacing w:before="180" w:after="283"/>
        <w:jc w:val="both"/>
        <w:rPr>
          <w:rFonts w:ascii="Arial" w:hAnsi="Arial"/>
          <w:color w:val="000000"/>
          <w:sz w:val="20"/>
        </w:rPr>
      </w:pPr>
      <w:r>
        <w:rPr>
          <w:rFonts w:ascii="Arial" w:hAnsi="Arial"/>
          <w:color w:val="000000"/>
          <w:sz w:val="20"/>
        </w:rPr>
        <w:t>You may obtain a free copy of our annual reports on Form 10-K, quarterly reports on Form 10-Q, current reports on Form 8-K, and amendments to those reports on our website at http://www.wish.com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pStyle w:val="TextBody"/>
        <w:bidi w:val="0"/>
        <w:spacing w:before="180" w:after="283"/>
        <w:jc w:val="both"/>
        <w:rPr>
          <w:rFonts w:ascii="Times New Roman" w:hAnsi="Times New Roman"/>
          <w:sz w:val="20"/>
        </w:rPr>
      </w:pPr>
      <w:r>
        <w:rPr>
          <w:rFonts w:ascii="Arial" w:hAnsi="Arial"/>
          <w:color w:val="000000"/>
          <w:sz w:val="20"/>
        </w:rPr>
        <w:t>Investors and others should note that we announce material financial and operational information to our investors using our Investor Relations website (</w:t>
      </w:r>
      <w:r>
        <w:rPr>
          <w:rFonts w:ascii="Arial" w:hAnsi="Arial"/>
          <w:sz w:val="20"/>
        </w:rPr>
        <w:t>https://ir.wish.com</w:t>
      </w:r>
      <w:r>
        <w:rPr>
          <w:rFonts w:ascii="Arial" w:hAnsi="Arial"/>
          <w:color w:val="000000"/>
          <w:sz w:val="20"/>
        </w:rPr>
        <w:t>), press releases, SEC filings and public conference calls and webcasts. We also use the following channels to provide updates to the public about our business, activities, and other related matters, which could be deemed to be material information:</w:t>
      </w:r>
      <w:r>
        <w:rPr>
          <w:rFonts w:ascii="Times New Roman" w:hAnsi="Times New Roman"/>
          <w:sz w:val="20"/>
        </w:rPr>
        <w:t xml:space="preserve"> </w:t>
      </w:r>
      <w:r>
        <w:rPr>
          <w:rFonts w:ascii="Arial" w:hAnsi="Arial"/>
          <w:sz w:val="20"/>
        </w:rPr>
        <w:t>www.twitter.com/WishShopping</w:t>
      </w:r>
      <w:r>
        <w:rPr>
          <w:rFonts w:ascii="Times New Roman" w:hAnsi="Times New Roman"/>
          <w:color w:val="000000"/>
          <w:sz w:val="20"/>
        </w:rPr>
        <w:t xml:space="preserve"> </w:t>
      </w:r>
      <w:r>
        <w:rPr>
          <w:rFonts w:ascii="Arial" w:hAnsi="Arial"/>
          <w:color w:val="000000"/>
          <w:sz w:val="20"/>
        </w:rPr>
        <w:t>and</w:t>
      </w:r>
      <w:r>
        <w:rPr>
          <w:rFonts w:ascii="Times New Roman" w:hAnsi="Times New Roman"/>
          <w:sz w:val="20"/>
        </w:rPr>
        <w:t xml:space="preserve"> </w:t>
      </w:r>
      <w:r>
        <w:rPr>
          <w:rFonts w:ascii="Arial" w:hAnsi="Arial"/>
          <w:sz w:val="20"/>
        </w:rPr>
        <w:t>www.linkedin.com/company/wishshopping</w:t>
      </w:r>
      <w:r>
        <w:rPr>
          <w:rFonts w:ascii="Arial" w:hAnsi="Arial"/>
          <w:color w:val="000000"/>
          <w:sz w:val="20"/>
        </w:rPr>
        <w:t>. Information contained on or accessible through our websites are neither a part of nor incorporated by reference into this Annual Report on Form 10-K or any other report or document we file with or furnish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to the SEC, and any references to our websites and the inclusion of our website addresses in this Annual Report on Form 10-K are intended to be inactive textual references only.</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5" w:name="item_1a_risk_factors"/>
      <w:bookmarkEnd w:id="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RISK FACTORS</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Investing in our Class A common stock involves a high degree of risk. Before deciding whether to purchase shares of our Class A common stock, you should consider carefully the risks and uncertainties described below, our consolidated financial statements and related notes, and all of the other information in this Annual Report on Form 10-K.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pStyle w:val="TextBody"/>
        <w:bidi w:val="0"/>
        <w:spacing w:before="180" w:after="283"/>
        <w:jc w:val="both"/>
        <w:rPr>
          <w:rFonts w:ascii="Arial" w:hAnsi="Arial"/>
          <w:b/>
          <w:color w:val="000000"/>
          <w:sz w:val="20"/>
        </w:rPr>
      </w:pPr>
      <w:r>
        <w:rPr>
          <w:rFonts w:ascii="Arial" w:hAnsi="Arial"/>
          <w:b/>
          <w:color w:val="000000"/>
          <w:sz w:val="20"/>
        </w:rPr>
        <w:t>Risks Related to Our Business and Industry</w:t>
      </w:r>
    </w:p>
    <w:p>
      <w:pPr>
        <w:pStyle w:val="TextBody"/>
        <w:bidi w:val="0"/>
        <w:spacing w:before="180" w:after="283"/>
        <w:jc w:val="both"/>
        <w:rPr>
          <w:rFonts w:ascii="Arial" w:hAnsi="Arial"/>
          <w:b/>
          <w:i/>
          <w:color w:val="000000"/>
          <w:sz w:val="20"/>
        </w:rPr>
      </w:pPr>
      <w:r>
        <w:rPr>
          <w:rFonts w:ascii="Arial" w:hAnsi="Arial"/>
          <w:b/>
          <w:i/>
          <w:color w:val="000000"/>
          <w:sz w:val="20"/>
        </w:rPr>
        <w:t>Our efforts to acquire new users and engage existing users may not be successful or may be more costly than we expect, which could prevent us from maintaining or increasing our revenue.</w:t>
      </w:r>
    </w:p>
    <w:p>
      <w:pPr>
        <w:pStyle w:val="TextBody"/>
        <w:bidi w:val="0"/>
        <w:spacing w:before="180" w:after="283"/>
        <w:jc w:val="both"/>
        <w:rPr>
          <w:rFonts w:ascii="Times New Roman" w:hAnsi="Times New Roman"/>
          <w:sz w:val="20"/>
        </w:rPr>
      </w:pPr>
      <w:r>
        <w:rPr>
          <w:rFonts w:ascii="Arial" w:hAnsi="Arial"/>
          <w:color w:val="000000"/>
          <w:sz w:val="20"/>
        </w:rPr>
        <w:t>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social influencers, and mobile “push” notifications, text messaging, and email. For the years ended December 31, 2023 and 2022, we spent $143 million and $254 million on sales and marketing, representing 50% and 45%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Meta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during the first half of 2022 we continued to face headwinds from the rise in digital advertising costs which has among other things impacted new customer acquisition and conversion. In response to rising digital advertising costs, which contributed to lower marketing efficiency, we decided to significantly reduce our digital advertising expenditures as we focused our resources on other strategic initiatives. As discussed under Item 7, “Management’s Discussion and Analysis of Financial Condition and Results of Operations—Key Financial and Performance Metrics,” our monthly active users and last-twelve-months Active Buyers were negatively impacted by our decision to significantly reduce our digital advertising expenditures. In response to these headwinds, we commenced a number of initiatives that we believe will improve the user experience and increase retention, including (i) investing in our search experience on the platform, (ii) exploring experiences to make it easier for users to continue exploring products and adding to shopping carts, including through the use of video, (iii) optimizing the incentives, deals, and coupons available to our users to boost conversion, and (iv) introducing new growth channels and improving existing unpaid channels like notifications and emails. We believe our continued strategy to improve users’ experience in our marketplace and provide a more differentiated and engaging user experience will position us for long-term sustainable growth, but there can be no assurance that our initiatives will be successful.</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Many other factors, some of which are beyond our control, may reduce our ability to acquire, maintain and further engage with users, including those described in this “Risk Factors” section and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system updates to app stores and advertising platforms such as Meta and Google, including adjustments to algorithms that may decrease user engagement or negatively affect our ability to target a broad audience;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ongoing changes in advertising platforms’ pricing, which could continue to result in higher advertising costs;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digital advertising platforms’ policies, such as those of Meta and Google, that may delay or prevent us from advertising through these channels, which could result in reduced traffic to and sales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search algorithms by search engines;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inability of our email marketing messages to reach the intended recipients’ inbox;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ineffectiveness of our marketing efforts and other spend to continue to acquire new users and maintain and increase engagement with existing users;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decline in popularity of, or governmental restrictions on, social media platforms where we advertise;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development of new search engines or social media sites that reduce traffic on existing search engines and social media sites;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consumer behavior changes as a result of COVID-19;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products listed by merchants on our platform that are the subject of adverse media reports, regulatory investigations, or other negative publicity. </w:t>
      </w:r>
    </w:p>
    <w:p>
      <w:pPr>
        <w:pStyle w:val="TextBody"/>
        <w:bidi w:val="0"/>
        <w:spacing w:before="180" w:after="283"/>
        <w:jc w:val="both"/>
        <w:rPr>
          <w:rFonts w:ascii="Times New Roman" w:hAnsi="Times New Roman"/>
          <w:sz w:val="20"/>
        </w:rPr>
      </w:pPr>
      <w:r>
        <w:rPr>
          <w:rFonts w:ascii="Arial" w:hAnsi="Arial"/>
          <w:color w:val="000000"/>
          <w:sz w:val="20"/>
        </w:rPr>
        <w:t>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If we are unable to promote, maintain, and protect our brand and reputation, and offer a compelling user experience, our ability to attract new users and engage with our existing base of users will be impaired.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believe that maintaining our brand and reputation will be critical to attracting new users and encouraging users to transact on our platform. In addition to targeted online marketing, we spend a considerable amount of resources on promoting our brand and reputation. For example, starting in 2020, we began to invest in additional off-line marketing activities. Our brand promotion activities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If we lose the services of members of our senior management team or key employees, we may not be able to execute our business strategy.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have been and may continue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in February 2022 and a reductions in workforce announced in January 2023 and August 2023, we may find it even more difficult to recruit and retain highly skilled personnel, which could harm our business. See the sections titled Item 7, “Management’s Discussion and Analysis of Financial Condition and Results of Operations—Reductions in Workforce” and Item 8, “Financial Statements and Supplementary Data, Note 12. Reductions in Workforce and Note 13. Subsequent Events”, for further discussion of our restructuring and turnaround initiatives.</w:t>
      </w:r>
    </w:p>
    <w:p>
      <w:pPr>
        <w:pStyle w:val="TextBody"/>
        <w:bidi w:val="0"/>
        <w:spacing w:before="180" w:after="283"/>
        <w:jc w:val="both"/>
        <w:rPr>
          <w:rFonts w:ascii="Times New Roman" w:hAnsi="Times New Roman"/>
          <w:sz w:val="20"/>
        </w:rPr>
      </w:pPr>
      <w:r>
        <w:rPr>
          <w:rFonts w:ascii="Arial" w:hAnsi="Arial"/>
          <w:b/>
          <w:i/>
          <w:color w:val="000000"/>
          <w:sz w:val="20"/>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significant portion of our users download our mobile app through the Apple App Store and the Google Play Store, and over 90% of our user activity and purchases occur on our mobile app.</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w:t>
      </w:r>
    </w:p>
    <w:p>
      <w:pPr>
        <w:pStyle w:val="TextBody"/>
        <w:bidi w:val="0"/>
        <w:spacing w:before="180" w:after="283"/>
        <w:jc w:val="both"/>
        <w:rPr>
          <w:rFonts w:ascii="Arial" w:hAnsi="Arial"/>
          <w:color w:val="000000"/>
          <w:sz w:val="20"/>
        </w:rPr>
      </w:pPr>
      <w:r>
        <w:rPr>
          <w:rFonts w:ascii="Arial" w:hAnsi="Arial"/>
          <w:color w:val="000000"/>
          <w:sz w:val="20"/>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w:t>
      </w:r>
    </w:p>
    <w:p>
      <w:pPr>
        <w:pStyle w:val="TextBody"/>
        <w:bidi w:val="0"/>
        <w:spacing w:before="180" w:after="283"/>
        <w:jc w:val="both"/>
        <w:rPr>
          <w:rFonts w:ascii="Times New Roman" w:hAnsi="Times New Roman"/>
          <w:sz w:val="20"/>
        </w:rPr>
      </w:pPr>
      <w:r>
        <w:rPr>
          <w:rFonts w:ascii="Arial" w:hAnsi="Arial"/>
          <w:b/>
          <w:i/>
          <w:color w:val="000000"/>
          <w:sz w:val="20"/>
        </w:rPr>
        <w:t>If we are unable to offer features and attract merchants to list products that keep pace with changing consumer preferences, our business, financial condition, and results of operations may be materially and adversely affected.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rely on our merchants to provide a positive experience to our users.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Disruptions in the operations of a substantial number of merchants on our platform, to the extent they are caused by events that are beyond their control, such as interruptions in order or payment processing, transportation disruptions, natural disasters, pandemics, inclement weather, geo-political conflicts, including the current conflict between Russia and Ukraine arising from the invasion of Ukraine by Russia, terrorism, public health crises, or political unrest, could result in negative experiences for a substantial number of our users, which could harm our reputation and adversely affect our business. For example, if there are additional COVID-19 outbreaks in China or elsewhere, merchants on our platform may experience additional disruptions to their supply and restrictions on their ability to deliver products to our users in a timely manner, which could harm our business.</w:t>
      </w:r>
    </w:p>
    <w:p>
      <w:pPr>
        <w:pStyle w:val="TextBody"/>
        <w:bidi w:val="0"/>
        <w:spacing w:before="180" w:after="283"/>
        <w:jc w:val="both"/>
        <w:rPr>
          <w:rFonts w:ascii="Arial" w:hAnsi="Arial"/>
          <w:b/>
          <w:i/>
          <w:color w:val="000000"/>
          <w:sz w:val="20"/>
        </w:rPr>
      </w:pPr>
      <w:r>
        <w:rPr>
          <w:rFonts w:ascii="Arial" w:hAnsi="Arial"/>
          <w:b/>
          <w:i/>
          <w:color w:val="000000"/>
          <w:sz w:val="20"/>
        </w:rPr>
        <w:t>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w:t>
      </w:r>
    </w:p>
    <w:p>
      <w:pPr>
        <w:pStyle w:val="TextBody"/>
        <w:bidi w:val="0"/>
        <w:spacing w:before="180" w:after="283"/>
        <w:jc w:val="both"/>
        <w:rPr>
          <w:rFonts w:ascii="Times New Roman" w:hAnsi="Times New Roman"/>
          <w:sz w:val="20"/>
        </w:rPr>
      </w:pPr>
      <w:r>
        <w:rPr>
          <w:rFonts w:ascii="Arial" w:hAnsi="Arial"/>
          <w:color w:val="000000"/>
          <w:sz w:val="20"/>
        </w:rPr>
        <w:t>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seller or product information, the listing or sale of counterfeit or otherwise infringing goods, and the listing or sale of hazardous, fraudulent, or illegal products. For example, our merchant terms explicitly prohibit any illegal activity by merchants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If merchants on our platform engage in illegal or unethical business practices or are perceived to do so, we may receive negative publicity and our brand and reputation may be harmed.</w:t>
      </w:r>
    </w:p>
    <w:p>
      <w:pPr>
        <w:pStyle w:val="TextBody"/>
        <w:bidi w:val="0"/>
        <w:spacing w:before="180" w:after="283"/>
        <w:jc w:val="both"/>
        <w:rPr>
          <w:rFonts w:ascii="Times New Roman" w:hAnsi="Times New Roman"/>
          <w:sz w:val="20"/>
        </w:rPr>
      </w:pPr>
      <w:r>
        <w:rPr>
          <w:rFonts w:ascii="Arial" w:hAnsi="Arial"/>
          <w:color w:val="000000"/>
          <w:sz w:val="20"/>
        </w:rPr>
        <w:t>Additionally, while we do not control merchants and cannot ensure their compliance with applicable law, we nevertheless frequently receive and respond to inquiries and demands from regulators and law-enforcement agencies around the globe, and we expect to continue to receive more inquiries and demands in the future. If our policies are violated by merchants, or if our policies and practices or responses to such conduct are perceived as or found to be inadequate by regulators or law-enforcement agencies, it could subject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This has been the case in France, where regulators are attempting to hold Wish accountable and responsible for the purportedly illegal or hazardous listings created by merchants; we are currently responding to and challenging these claims in French courts. Separately,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merchants are subject to regulation by the U.S. Consumer Product Safety Commission and similar state and international regulatory authorities in the United States (“U.S.”) and abroad,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products sold on our platform. Recall and government or user concerns about product safety could harm our reputation and reduce sales, either of which could have a material adverse effect on our business, results of operations, financial condition, and prospects.</w:t>
      </w:r>
    </w:p>
    <w:p>
      <w:pPr>
        <w:pStyle w:val="TextBody"/>
        <w:bidi w:val="0"/>
        <w:spacing w:before="180" w:after="283"/>
        <w:jc w:val="both"/>
        <w:rPr>
          <w:rFonts w:ascii="Arial" w:hAnsi="Arial"/>
          <w:color w:val="000000"/>
          <w:sz w:val="20"/>
        </w:rPr>
      </w:pPr>
      <w:r>
        <w:rPr>
          <w:rFonts w:ascii="Arial" w:hAnsi="Arial"/>
          <w:color w:val="000000"/>
          <w:sz w:val="20"/>
        </w:rPr>
        <w:t>Proposed laws in Europe, the U.S., and other jurisdictions and/or novel interpretations or enforcement of existing law may change the scope of platform liability, and ongoing case law developments may unpredictably increase our liability as a platform for merchant activity or for activities adjacent to the marketplace, such as logistics, or otherwise constrain or impede our ability to do business in a given jurisdiction.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Moreover, we may be subject to product liability claims where merchants lack sufficient assets or are not reachable, which could be costly to defend in the aggregate. Regardless of the validity of any claims made against us, we may incur significant costs and efforts to defend against or settle them. We expect to continue to receive inquiries or demands from regulators and law enforcement regarding intellectual property, product compliance, and product safety. This could lead to government investigations, inquiries, and/or the imposition of penalties, fines and/or criminal liability in certain jurisdictions and, consequently, would be costly, time consuming, and would adversely impact our business.</w:t>
      </w:r>
    </w:p>
    <w:p>
      <w:pPr>
        <w:pStyle w:val="TextBody"/>
        <w:bidi w:val="0"/>
        <w:spacing w:before="180" w:after="283"/>
        <w:jc w:val="both"/>
        <w:rPr>
          <w:rFonts w:ascii="Times New Roman" w:hAnsi="Times New Roman"/>
          <w:sz w:val="20"/>
        </w:rPr>
      </w:pPr>
      <w:r>
        <w:rPr>
          <w:rFonts w:ascii="Arial" w:hAnsi="Arial"/>
          <w:color w:val="000000"/>
          <w:sz w:val="20"/>
        </w:rPr>
        <w:t>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may harm users by misleading them to believe that a merchant is more reliable or trustworthy than the merchant actually is, and may impact key performance metrics.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merchants rely on third-party carriers and transportation providers as part of the fulfillment process, and these third parties may fail to adequately serve our users and comply with shipping and related regulations, which could adversely affect our service offerings and results of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rely on merchants to properly and promptly prepare products ordered by our users for shipment and our logistics program relies on third-party carriers and logistics providers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due to abrupt new value added tax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outbreak of COVID-19 and have continued to experience such interruptions and delays, which may continue to have an adverse effect on our users’ experience on our platform.</w:t>
      </w:r>
    </w:p>
    <w:p>
      <w:pPr>
        <w:pStyle w:val="TextBody"/>
        <w:bidi w:val="0"/>
        <w:spacing w:before="180" w:after="283"/>
        <w:jc w:val="both"/>
        <w:rPr>
          <w:rFonts w:ascii="Times New Roman" w:hAnsi="Times New Roman"/>
          <w:sz w:val="20"/>
        </w:rPr>
      </w:pPr>
      <w:r>
        <w:rPr>
          <w:rFonts w:ascii="Arial" w:hAnsi="Arial"/>
          <w:color w:val="000000"/>
          <w:sz w:val="20"/>
        </w:rPr>
        <w:t>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Further, the European Commission is considering a legislative proposal from trade industry associations to eliminate de minimis thresholds for customs entry, which if later enacted, would limit packages from several countries from qualifying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for tariff-free entry into the EU-27 under existing de minimis laws, thus making importing goods from any country to the European Union (“EU”) more complicated and expensive. The actions we have taken in our logistics program to mitigate these increased costs may not be successful over the long term. If there are increases in shipping costs, including rising oil and gas prices, the sales price of products on our platform could increase, which could reduce the volume of transaction activity on our platform to decrease and may consequently have a negative impact on our results of operations.</w:t>
      </w:r>
    </w:p>
    <w:p>
      <w:pPr>
        <w:pStyle w:val="TextBody"/>
        <w:bidi w:val="0"/>
        <w:spacing w:before="180" w:after="283"/>
        <w:jc w:val="both"/>
        <w:rPr>
          <w:rFonts w:ascii="Times New Roman" w:hAnsi="Times New Roman"/>
          <w:sz w:val="20"/>
        </w:rPr>
      </w:pPr>
      <w:r>
        <w:rPr>
          <w:rFonts w:ascii="Arial" w:hAnsi="Arial"/>
          <w:b/>
          <w:i/>
          <w:color w:val="000000"/>
          <w:sz w:val="20"/>
        </w:rPr>
        <w:t>We generate a portion of our revenue from merchant advertising on our platform. A reduction in advertising spend by merchants could harm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offer various features on our platform, such as ProductBoost and the Merchant Promotions Platform, which allow merchants to promote their listings to our users. In addition to generating revenue from merchants, these features may also result in increased purchases by users. However, not all merchants on our platform may agree with us on the value of these new features and may not use ProductBoost or the Merchant Promotions Platform, and some of our merchants could react negatively to these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continued efforts to improve our logistics programs and enable faster and more reliable delivery in order to help grow our business and generate revenue may not be effective.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long-term agreements with such carriers both in the U.S. and worldwide. If we are not able to negotiate acceptable pricing, service level requirements, and other terms with these carriers, or these carriers experience capacity or performance problems or other issues, it could negatively impact our results of operations and our users’ experience. For example, due to COVID-19 and related supply chain issues, global logistics has experienced longer delivery times.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also developed and experimented with different logistics offerings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shortage of low-cost carriers, and fluctuation of oil and gas prices result in higher logistics costs, it could have a material impact on our business, financial condition,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The market in which we operate is rapidly evolving and we face intense competition; if we do not compete effectively, our results of operations and financial condition could be harmed.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compete with ecommerce platforms and other retailers for merchants on our platform and merchants can list their goods on a number of ecommerce platforms, such as Amazon.com, Alibaba, Pinduoduo, Shein, and Shopify.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There are various factors that affect how merchants engage with our platform,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engagement of users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fees;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brand awareness;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quality of our services;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functionality of our platform.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also compete with retailers for the attention of users. A user has the choice of shopping with any online or offline retailer, whether large marketplaces, such as Amazon.com, Alibaba, Pinduoduo, Shein,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There are various factors that affect how users engage with our platform,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brand awareness and recognition;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prices of goods sold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functionality of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ease of payment;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shipping terms;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breadth of the products sold on our platform. </w:t>
      </w:r>
    </w:p>
    <w:p>
      <w:pPr>
        <w:pStyle w:val="TextBody"/>
        <w:bidi w:val="0"/>
        <w:spacing w:before="180" w:after="283"/>
        <w:jc w:val="both"/>
        <w:rPr>
          <w:rFonts w:ascii="Times New Roman" w:hAnsi="Times New Roman"/>
          <w:sz w:val="20"/>
        </w:rPr>
      </w:pPr>
      <w:r>
        <w:rPr>
          <w:rFonts w:ascii="Arial" w:hAnsi="Arial"/>
          <w:color w:val="000000"/>
          <w:sz w:val="20"/>
        </w:rPr>
        <w:t>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Meta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We have a history of operating losses and we may not achieve or maintain profitability in the future.</w:t>
      </w:r>
    </w:p>
    <w:p>
      <w:pPr>
        <w:pStyle w:val="TextBody"/>
        <w:bidi w:val="0"/>
        <w:spacing w:before="180" w:after="283"/>
        <w:jc w:val="both"/>
        <w:rPr>
          <w:rFonts w:ascii="Times New Roman" w:hAnsi="Times New Roman"/>
          <w:sz w:val="20"/>
        </w:rPr>
      </w:pPr>
      <w:r>
        <w:rPr>
          <w:rFonts w:ascii="Arial" w:hAnsi="Arial"/>
          <w:color w:val="000000"/>
          <w:sz w:val="20"/>
        </w:rPr>
        <w:t>Since our inception in 2010, we have incurred net losses each year. We incurred net losses of $317 million and $384 million for the years ended December 31, 2023 and 2022, respectively. As of December 31, 2023, we had an accumulated deficit of approximately $3.2 billion. We may not achieve or maintain profitability in the future. Our operating expenses may continue to increase in the future as we increase our efforts to expand our user base, continue to invest in the research and development of our technologies and service offerings and continue to operate as a public company. These efforts may be more costly than we expect and we may not be able to increase our revenue to offset our operating expenses. Our revenue growth slowed for the year ended December 31, 2023 and may slow again, or our revenue may decline for a number of other possible reasons, including increased competition, a decrease in the growth or reduction in size of our overall market, or if we fail for any reason to capitalize on growth opportunities.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company is evolving, and we are in the process of executing on new business strategies and restructuring efforts; if we fail to successfully execute on these strategies, our business, financial condition, and operating results could be harmed.</w:t>
      </w:r>
    </w:p>
    <w:p>
      <w:pPr>
        <w:pStyle w:val="TextBody"/>
        <w:bidi w:val="0"/>
        <w:spacing w:before="180" w:after="283"/>
        <w:jc w:val="both"/>
        <w:rPr>
          <w:rFonts w:ascii="Arial" w:hAnsi="Arial"/>
          <w:color w:val="000000"/>
          <w:sz w:val="20"/>
        </w:rPr>
      </w:pPr>
      <w:r>
        <w:rPr>
          <w:rFonts w:ascii="Arial" w:hAnsi="Arial"/>
          <w:color w:val="000000"/>
          <w:sz w:val="20"/>
        </w:rPr>
        <w:t>Our business is undergoing significant changes and our business strategy is constantly evolving. Our success depends on our ability to adapt our business model to changing market conditions and consumer spending habits. For example, we made a number of strategic decisions in an effort to improve our business operations and our marketplace offerings in response to the headwinds of reduced retention and new buyer conversion and a rise in digital advertising costs and have effected reductions in force to align our work force with strategic decisions we have made. Nevertheless, certain elements of this shift in strategy, or any future changes to our strategy that we may make could be disruptive to our business and our employees if we do not manage the changes properly. Furthermore, continuing changes in macroeconomic trends and shifting consumer priorities may hamper and delay our efforts by, for example, making our assumptions regarding our strategies incorrect or subject to change or causing our strategies to not have the effect and outcomes that we anticipate. The slowing of consumer discretionary spending due to macroeconomic factors could also impede our turnaround efforts.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may not successfully execute or achieve the expected benefits of our restructuring and turnaround initiatives, which could adversely affect our business.</w:t>
      </w:r>
    </w:p>
    <w:p>
      <w:pPr>
        <w:pStyle w:val="TextBody"/>
        <w:bidi w:val="0"/>
        <w:spacing w:before="180" w:after="283"/>
        <w:jc w:val="both"/>
        <w:rPr>
          <w:rFonts w:ascii="Arial" w:hAnsi="Arial"/>
          <w:color w:val="000000"/>
          <w:sz w:val="20"/>
        </w:rPr>
      </w:pPr>
      <w:r>
        <w:rPr>
          <w:rFonts w:ascii="Arial" w:hAnsi="Arial"/>
          <w:color w:val="000000"/>
          <w:sz w:val="20"/>
        </w:rPr>
        <w:t>We recently commenced executing on a turnaround and restructuring strategy which focuses on narrowing our business focus, reducing our headcount and outside spend, reviewing our real estate footprint, and a number of other cost saving measures. These restructuring initiatives were intended to focus the business on operational efficiency and right-sizing our expenses. Although we believe these initiatives address the needs of our business and its long-term objectives, our strategy is based on certain assumptions and forecasts, which are subject to change and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including our RIFs conducted in 2023 may negatively affect employee morale, which has resulted and could continue to result in personnel losses beyond our workforce reductions,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sections titled Item 7, “Management’s Discussion and Analysis of Financial Condition and Results of Operations—Reductions in Workforce” and Item 8, “Financial Statements and Supplementary Data, Note 12. Reductions in Workforce and Note 13. Subsequent Events”, for further discussion of our restructuring and turnaround initiatives. Additionally, there can be no assurance that our restructuring and turnaround initiatives will be successful or that our business will generate sufficient cash flow from operations as a result of such initiatives or that we will be able to draw funds from other sources of financing in an amount sufficient to fund our liquidity needs. If cash flows and capital resources are insufficient to operate our business, we would face substantial liquidity problems and may be forced to sell assets, seek additional capital or seek bankruptcy protection. If the Asset Sale is not completed within the intended timeframe or at all, these liquidity risks may be enhanced and, even if the Asset Sale is completed, we will no longer have an operating business and our liquidity will depend, in part, on our ability to acquire suitable revenue-generating assets using the net proceeds from the Asset Sale. If we are not able to identify and acquire additional revenue-generating assets or businesses to effectively utilize our NOLs after the Asset Sale, we may voluntarily dissolve. In that case, there is no assurance that we will have sufficient cash on hand to distribute to stockholders or any additional assets to sell or liquidate and you may be at risk for a loss of all or substantially all of your investment.</w:t>
      </w:r>
    </w:p>
    <w:p>
      <w:pPr>
        <w:pStyle w:val="TextBody"/>
        <w:bidi w:val="0"/>
        <w:spacing w:before="180" w:after="283"/>
        <w:jc w:val="both"/>
        <w:rPr>
          <w:rFonts w:ascii="Arial" w:hAnsi="Arial"/>
          <w:b/>
          <w:i/>
          <w:color w:val="000000"/>
          <w:sz w:val="20"/>
        </w:rPr>
      </w:pPr>
      <w:r>
        <w:rPr>
          <w:rFonts w:ascii="Arial" w:hAnsi="Arial"/>
          <w:b/>
          <w:i/>
          <w:color w:val="000000"/>
          <w:sz w:val="20"/>
        </w:rPr>
        <w:t>Our recent reductions in force may not achieve the anticipated cost savings, and any savings may be offset by increased costs in other areas due to the disruption of our business.</w:t>
      </w:r>
    </w:p>
    <w:p>
      <w:pPr>
        <w:pStyle w:val="TextBody"/>
        <w:bidi w:val="0"/>
        <w:spacing w:before="180" w:after="283"/>
        <w:jc w:val="both"/>
        <w:rPr>
          <w:rFonts w:ascii="Arial" w:hAnsi="Arial"/>
          <w:color w:val="000000"/>
          <w:sz w:val="20"/>
        </w:rPr>
      </w:pPr>
      <w:r>
        <w:rPr>
          <w:rFonts w:ascii="Arial" w:hAnsi="Arial"/>
          <w:color w:val="000000"/>
          <w:sz w:val="20"/>
        </w:rPr>
        <w:t>In 2023, we conducted reductions in force affecting approximately one half of our then global workforce in order to reduce operating costs and consolidate functions. These reductions in force reflect ongoing efforts focused on realigning our organizational structure, eliminating redundancies, and reducing operating costs. However, we may not realize, in full or in part, the anticipated savings due to unanticipated events and/or unexpected costs.</w:t>
      </w:r>
    </w:p>
    <w:p>
      <w:pPr>
        <w:pStyle w:val="TextBody"/>
        <w:bidi w:val="0"/>
        <w:spacing w:before="180" w:after="283"/>
        <w:jc w:val="both"/>
        <w:rPr>
          <w:rFonts w:ascii="Arial" w:hAnsi="Arial"/>
          <w:color w:val="000000"/>
          <w:sz w:val="20"/>
        </w:rPr>
      </w:pPr>
      <w:r>
        <w:rPr>
          <w:rFonts w:ascii="Arial" w:hAnsi="Arial"/>
          <w:color w:val="000000"/>
          <w:sz w:val="20"/>
        </w:rPr>
        <w:t>These reductions in force have resulted in and may continue to result in unintended consequences and costs, such as the loss of institutional knowledge and expertise, attrition beyond the intended number of employees, decreased morale and productivity among our remaining employees, inability to maintain an effective system of internal controls, and the risk that we may not achieve the anticipated benefits. In addition, while positions have been eliminated, certain functions necessary to our operations remain, and we may be unsuccessful in distributing the duties and obligations of departed employees among our remaining employees. Moreover, reductions in force may also result in increased costs due to associated legal risks, and could distract management and remaining employees.</w:t>
      </w:r>
    </w:p>
    <w:p>
      <w:pPr>
        <w:pStyle w:val="TextBody"/>
        <w:bidi w:val="0"/>
        <w:spacing w:before="180" w:after="283"/>
        <w:jc w:val="both"/>
        <w:rPr>
          <w:rFonts w:ascii="Arial" w:hAnsi="Arial"/>
          <w:color w:val="000000"/>
          <w:sz w:val="20"/>
        </w:rPr>
      </w:pPr>
      <w:r>
        <w:rPr>
          <w:rFonts w:ascii="Arial" w:hAnsi="Arial"/>
          <w:color w:val="000000"/>
          <w:sz w:val="20"/>
        </w:rPr>
        <w:t>If we are unable to realize the anticipated benefits from the reductions in force, or if we experience significant adverse consequences from the reductions in force, our business, financial condition, and results of operations may be materially adversely affected.</w:t>
      </w:r>
    </w:p>
    <w:p>
      <w:pPr>
        <w:pStyle w:val="TextBody"/>
        <w:bidi w:val="0"/>
        <w:spacing w:before="180" w:after="283"/>
        <w:jc w:val="both"/>
        <w:rPr>
          <w:rFonts w:ascii="Times New Roman" w:hAnsi="Times New Roman"/>
          <w:sz w:val="20"/>
        </w:rPr>
      </w:pPr>
      <w:r>
        <w:rPr>
          <w:rFonts w:ascii="Arial" w:hAnsi="Arial"/>
          <w:b/>
          <w:i/>
          <w:color w:val="000000"/>
          <w:sz w:val="20"/>
        </w:rPr>
        <w:t>Adverse impacts on our ability to effectively use social media, emails, and text messages may subject us to fines or penalties or impact our reputation or ability to generate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w:t>
      </w:r>
    </w:p>
    <w:p>
      <w:pPr>
        <w:pStyle w:val="TextBody"/>
        <w:bidi w:val="0"/>
        <w:spacing w:before="180" w:after="283"/>
        <w:jc w:val="both"/>
        <w:rPr>
          <w:rFonts w:ascii="Arial" w:hAnsi="Arial"/>
          <w:color w:val="000000"/>
          <w:sz w:val="20"/>
        </w:rPr>
      </w:pPr>
      <w:r>
        <w:rPr>
          <w:rFonts w:ascii="Arial" w:hAnsi="Arial"/>
          <w:color w:val="000000"/>
          <w:sz w:val="20"/>
        </w:rPr>
        <w:t>Moreover, changes in advertising and tracking policies of mobile device operating systems and platforms (e.g., Apple and Android) may limit or prevent the collection and use of certain data elements for certain purposes, such as ad targeting, and the use of such data elements may subject us to fines or other penalties.</w:t>
      </w:r>
    </w:p>
    <w:p>
      <w:pPr>
        <w:pStyle w:val="TextBody"/>
        <w:bidi w:val="0"/>
        <w:spacing w:before="180" w:after="283"/>
        <w:jc w:val="both"/>
        <w:rPr>
          <w:rFonts w:ascii="Arial" w:hAnsi="Arial"/>
          <w:color w:val="000000"/>
          <w:sz w:val="20"/>
        </w:rPr>
      </w:pPr>
      <w:r>
        <w:rPr>
          <w:rFonts w:ascii="Arial" w:hAnsi="Arial"/>
          <w:color w:val="000000"/>
          <w:sz w:val="20"/>
        </w:rPr>
        <w:t>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 Additionally, changes to the terms of these social networking services to limit promotional communications, any restrictions that would limit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 Further, if certain social media platforms change their business strategy to one that does not align with our values we may choose to limit or discontinue use of such platform, which could lead to a decline in customer acquisition and engagement and result in a reduction to the reach of our advertisements.</w:t>
      </w:r>
    </w:p>
    <w:p>
      <w:pPr>
        <w:pStyle w:val="TextBody"/>
        <w:bidi w:val="0"/>
        <w:spacing w:before="180" w:after="283"/>
        <w:jc w:val="both"/>
        <w:rPr>
          <w:rFonts w:ascii="Times New Roman" w:hAnsi="Times New Roman"/>
          <w:sz w:val="20"/>
        </w:rPr>
      </w:pPr>
      <w:r>
        <w:rPr>
          <w:rFonts w:ascii="Arial" w:hAnsi="Arial"/>
          <w:color w:val="000000"/>
          <w:sz w:val="20"/>
        </w:rPr>
        <w:t>Further, we believe that social media, emails, and text messages are an important part of our customer outreach and user experience. If we are unable to successfully deliver emails or other messages to our subscribers, or if subscribers decline to open or read our messages, our net revenue and profitability would be materially adversely affected. Changes in how web and mail services block, organize and prioritize email may reduce the number of subscribers who receive or open our emails. For example, Google’s Gmail service has a feature that organizes incoming emails into categories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emails service providers or other third parties may block bulk email transmissions or otherwise experience technical difficulties that could result in our inability to successfully deliver emails or other messages to customers.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are subject to payment-related risks.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users can pay for purchases using a variety of methods, including through credit cards or Buy Now, Pay Later solutions through various third-party payment providers, and we pay our merchants through a variety of methods. If these service providers do not perform adequately or if our relationships with these service providers were to terminate, our users’ ability to place orders, and our merchants’ ability to receive orders or payments could be adversely affected and our business could be harmed. For example, in 2014, PayPal temporarily suspended processing payments on our platform as a result of concerns related to products listed on our platform. If a third-party payment provider suspends service or has significant outages in the future and we do not have alternative payment providers in place or are unable to provide our own solution, our business could be harmed. Likewise, if our third-party payment providers experience a security breach or fraud attack, our merchants and users could be adversely impacted. In addition, if our third-party providers increase the fees they charge us, our margins could decrease. If we respond by increasing the fees we charge to our merchants, some merchants may increase the price of their products, stop listing new items for sale or even close their accounts altogether.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w:t>
      </w:r>
    </w:p>
    <w:p>
      <w:pPr>
        <w:pStyle w:val="TextBody"/>
        <w:bidi w:val="0"/>
        <w:spacing w:before="180" w:after="283"/>
        <w:jc w:val="both"/>
        <w:rPr>
          <w:rFonts w:ascii="Times New Roman" w:hAnsi="Times New Roman"/>
          <w:sz w:val="20"/>
        </w:rPr>
      </w:pPr>
      <w:r>
        <w:rPr>
          <w:rFonts w:ascii="Arial" w:hAnsi="Arial"/>
          <w:color w:val="000000"/>
          <w:sz w:val="20"/>
        </w:rPr>
        <w:t>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must develop new offerings to respond to our users’ and merchants’ changing needs.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industry is characterized by rapidly changing technology, new service and product introductions, and changing user and merchant demands.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If we fail to maintain, expand, and diversify our relationships with merchants, our revenue and results of operations will be harmed.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our or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and our merchants based in China continue to be adversely impacted. In addition, our agreements with merchants also typically do not restrict them from establishing or maintaining business relationships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with our competitors. Furthermore, the European Commission is considering a legislative proposal from trade industry associations to eliminate de minimis thresholds for customs entry. If the European Commission were to adopt these recommendations, it would bar or limit packages from numerous countries from qualifying for tariff-free entry into the EU-27 under existing de minimis laws, and make importing goods from any country to the EU more complicated and expensive, which could adversely affect our business.</w:t>
      </w:r>
    </w:p>
    <w:p>
      <w:pPr>
        <w:pStyle w:val="TextBody"/>
        <w:bidi w:val="0"/>
        <w:spacing w:before="180" w:after="283"/>
        <w:jc w:val="both"/>
        <w:rPr>
          <w:rFonts w:ascii="Times New Roman" w:hAnsi="Times New Roman"/>
          <w:sz w:val="20"/>
        </w:rPr>
      </w:pPr>
      <w:r>
        <w:rPr>
          <w:rFonts w:ascii="Arial" w:hAnsi="Arial"/>
          <w:b/>
          <w:i/>
          <w:color w:val="000000"/>
          <w:sz w:val="20"/>
        </w:rPr>
        <w:t>Failure to deal effectively with fraudulent activities on our platform would increase our loss rate and harm our business, and could severely diminish merchant and user confidence in and use of our services.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 security and other laws as outlined above, and there may be an adverse impact on our business, results of operations, financial condition,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refund policies may adversely affect our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ability to recruit and retain employees is important to our success.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future performance depends on our employees, including key engineering and product development personnel. Due to competition for key personnel within our industry, we may be unable to successfully attract, integrate, or retain sufficiently qualified key personnel. In making employment decisions, particularly in the internet and high-technology industries, job candidates and current employees often consider the value of the equity awards they would receive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connection with their employment or continued employment and fluctuations in and negative pressure on our stock price may make it more difficult to attract, retain, and motivate employees. Our recent reductions in workforce and the proposed Asset Sale may make it more difficult for us to recruit and retain employees.</w:t>
      </w:r>
    </w:p>
    <w:p>
      <w:pPr>
        <w:pStyle w:val="TextBody"/>
        <w:bidi w:val="0"/>
        <w:spacing w:before="180" w:after="283"/>
        <w:jc w:val="both"/>
        <w:rPr>
          <w:rFonts w:ascii="Times New Roman" w:hAnsi="Times New Roman"/>
          <w:sz w:val="20"/>
        </w:rPr>
      </w:pPr>
      <w:r>
        <w:rPr>
          <w:rFonts w:ascii="Arial" w:hAnsi="Arial"/>
          <w:b/>
          <w:i/>
          <w:color w:val="000000"/>
          <w:sz w:val="20"/>
        </w:rPr>
        <w:t>Our forecasts of market opportunity and market growth may prove to be inaccurate, and, even if these forecasts materialize, we cannot assure you our business will grow at similar rates, if at all.</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Estimates of market opportunity and forecasts of market growth are subject to significant uncertainty and are based on assumptions and estimates that may not prove to be accurate.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w:t>
      </w:r>
    </w:p>
    <w:p>
      <w:pPr>
        <w:pStyle w:val="TextBody"/>
        <w:bidi w:val="0"/>
        <w:spacing w:before="180" w:after="283"/>
        <w:jc w:val="both"/>
        <w:rPr>
          <w:rFonts w:ascii="Arial" w:hAnsi="Arial"/>
          <w:b/>
          <w:i/>
          <w:color w:val="000000"/>
          <w:sz w:val="20"/>
        </w:rPr>
      </w:pPr>
      <w:r>
        <w:rPr>
          <w:rFonts w:ascii="Arial" w:hAnsi="Arial"/>
          <w:b/>
          <w:i/>
          <w:color w:val="000000"/>
          <w:sz w:val="20"/>
        </w:rPr>
        <w:t>We rely on consumer discretionary spending and may be adversely affected by economic downturns and other macroeconomic conditions or trends.</w:t>
      </w:r>
    </w:p>
    <w:p>
      <w:pPr>
        <w:pStyle w:val="TextBody"/>
        <w:bidi w:val="0"/>
        <w:spacing w:before="180" w:after="283"/>
        <w:jc w:val="both"/>
        <w:rPr>
          <w:rFonts w:ascii="Arial" w:hAnsi="Arial"/>
          <w:color w:val="000000"/>
          <w:sz w:val="20"/>
        </w:rPr>
      </w:pPr>
      <w:r>
        <w:rPr>
          <w:rFonts w:ascii="Arial" w:hAnsi="Arial"/>
          <w:color w:val="000000"/>
          <w:sz w:val="20"/>
        </w:rPr>
        <w:t>Macroeconomic conditions may adversely affect our business. If general economic conditions deteriorate globally or in specific markets where we operate, consumer discretionary spending may decline and demand for products available in our platform may be reduced. Recently, there have been some indications of deteriorating economic conditions both globally and in the markets we operate. A decrease in consumer discretionary spending would cause sales in our platform to decline and adversely impact our business. If the Company’s costs were to become subject to significant inflationary pressures, including recent inflationary pressures, the Company may not be able to fully offset such higher costs through increases in revenue as increases in core inflation rates are affecting consumers’ willingness to make discretionary purchases on our platforms. The Company’s inability or failure to do so could harm the Company’s business, financial condition, and results of operations. As the world moves into new phases of the pandemic, with new variants emerging, and inflation on the rise, macroeconomic conditions may continue to trend downward for a more prolonged period than expected.</w:t>
      </w:r>
    </w:p>
    <w:p>
      <w:pPr>
        <w:pStyle w:val="TextBody"/>
        <w:bidi w:val="0"/>
        <w:spacing w:before="180" w:after="283"/>
        <w:jc w:val="both"/>
        <w:rPr>
          <w:rFonts w:ascii="Times New Roman" w:hAnsi="Times New Roman"/>
          <w:sz w:val="20"/>
        </w:rPr>
      </w:pPr>
      <w:r>
        <w:rPr>
          <w:rFonts w:ascii="Arial" w:hAnsi="Arial"/>
          <w:b/>
          <w:i/>
          <w:color w:val="000000"/>
          <w:sz w:val="20"/>
        </w:rPr>
        <w:t>Unfavorable changes or failure by us to comply with new and/or evolving internet and ecommerce regulations could substantially harm our business and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and new regulations and laws will be forthcoming. Any failure, or perceived failure, by us to comply with any of these laws or regulations could result in damage to our reputation, a loss in business and proceedings, or actions against us by governmental entities or others, which could impact our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business could suffer if we are unsuccessful in making, integrating, and maintaining any future acquisitions and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may acquire businesses or technologies in the future. Integrating an acquired business or technology is difficult and can be risky. These potential and completed transactions create risks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disruption of our ongoing business, including loss of management focus on existing businesses;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difficulty of integrating new businesses and technologies into our infrastructure;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risks associated with assuming liabilities related to the activities of the acquired business before and after the acquisition, including liabilities for violations of laws and regulations, commercial disputes, cyberattacks, taxes, and other matters.</w:t>
      </w:r>
    </w:p>
    <w:p>
      <w:pPr>
        <w:pStyle w:val="TextBody"/>
        <w:bidi w:val="0"/>
        <w:spacing w:before="180" w:after="283"/>
        <w:jc w:val="both"/>
        <w:rPr>
          <w:rFonts w:ascii="Arial" w:hAnsi="Arial"/>
          <w:color w:val="000000"/>
          <w:sz w:val="20"/>
        </w:rPr>
      </w:pPr>
      <w:r>
        <w:rPr>
          <w:rFonts w:ascii="Arial" w:hAnsi="Arial"/>
          <w:color w:val="000000"/>
          <w:sz w:val="20"/>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w:t>
      </w:r>
    </w:p>
    <w:p>
      <w:pPr>
        <w:pStyle w:val="TextBody"/>
        <w:bidi w:val="0"/>
        <w:spacing w:before="180" w:after="283"/>
        <w:jc w:val="both"/>
        <w:rPr>
          <w:rFonts w:ascii="Arial" w:hAnsi="Arial"/>
          <w:b/>
          <w:i/>
          <w:color w:val="000000"/>
          <w:sz w:val="20"/>
        </w:rPr>
      </w:pPr>
      <w:r>
        <w:rPr>
          <w:rFonts w:ascii="Arial" w:hAnsi="Arial"/>
          <w:b/>
          <w:i/>
          <w:color w:val="000000"/>
          <w:sz w:val="20"/>
        </w:rPr>
        <w:t>We may be involved in litigation matters or other legal proceedings that are expensive and time consuming.</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may become involved in litigation matters, including class action lawsuits, relating to intellectual property, product liability, and consumer practices, whether for our own services or products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pStyle w:val="TextBody"/>
        <w:bidi w:val="0"/>
        <w:spacing w:before="180" w:after="283"/>
        <w:jc w:val="both"/>
        <w:rPr>
          <w:rFonts w:ascii="Arial" w:hAnsi="Arial"/>
          <w:color w:val="000000"/>
          <w:sz w:val="20"/>
        </w:rPr>
      </w:pPr>
      <w:r>
        <w:rPr>
          <w:rFonts w:ascii="Arial" w:hAnsi="Arial"/>
          <w:color w:val="000000"/>
          <w:sz w:val="20"/>
        </w:rPr>
        <w:t>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(the “IPO Case”). In May 2022, the Court appointed lead plaintiffs, who subsequently filed an amended consolidated class action complaint pursuant to Sections 11 and 15 of the Securities Act and Sections 10(b) and 20(a) of the Exchange Act.</w:t>
      </w:r>
    </w:p>
    <w:p>
      <w:pPr>
        <w:pStyle w:val="TextBody"/>
        <w:bidi w:val="0"/>
        <w:spacing w:before="180" w:after="283"/>
        <w:jc w:val="both"/>
        <w:rPr>
          <w:rFonts w:ascii="Arial" w:hAnsi="Arial"/>
          <w:color w:val="000000"/>
          <w:sz w:val="20"/>
        </w:rPr>
      </w:pPr>
      <w:r>
        <w:rPr>
          <w:rFonts w:ascii="Arial" w:hAnsi="Arial"/>
          <w:color w:val="000000"/>
          <w:sz w:val="20"/>
        </w:rPr>
        <w:t>In April 2023, the plaintiffs filed an amended complaint and assert only claims made under Sections 11 and 15 of the Securities Act. The Court dismissed this complaint in December 2023 with leave to amend. The plaintiffs have until February 2024 to do so.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pStyle w:val="TextBody"/>
        <w:bidi w:val="0"/>
        <w:spacing w:before="180" w:after="283"/>
        <w:jc w:val="both"/>
        <w:rPr>
          <w:rFonts w:ascii="Arial" w:hAnsi="Arial"/>
          <w:color w:val="000000"/>
          <w:sz w:val="20"/>
        </w:rPr>
      </w:pPr>
      <w:r>
        <w:rPr>
          <w:rFonts w:ascii="Arial" w:hAnsi="Arial"/>
          <w:color w:val="000000"/>
          <w:sz w:val="20"/>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and in one case in 2023 in France resulted, in civil and/or criminal penalties, large fines, other penalties, and/or remediation efforts and/or injunctive relief that could limit or restrict our ability to do business either in a given jurisdiction within a product class.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pStyle w:val="TextBody"/>
        <w:bidi w:val="0"/>
        <w:spacing w:before="180" w:after="283"/>
        <w:jc w:val="both"/>
        <w:rPr>
          <w:rFonts w:ascii="Arial" w:hAnsi="Arial"/>
          <w:b/>
          <w:i/>
          <w:color w:val="000000"/>
          <w:sz w:val="20"/>
        </w:rPr>
      </w:pPr>
      <w:r>
        <w:rPr>
          <w:rFonts w:ascii="Arial" w:hAnsi="Arial"/>
          <w:b/>
          <w:i/>
          <w:color w:val="000000"/>
          <w:sz w:val="20"/>
        </w:rPr>
        <w:t>Bank failures or other events affecting financial institutions could materially adversely affect our operations, liquidity and financial performance.</w:t>
      </w:r>
    </w:p>
    <w:p>
      <w:pPr>
        <w:pStyle w:val="TextBody"/>
        <w:bidi w:val="0"/>
        <w:spacing w:before="180" w:after="283"/>
        <w:jc w:val="both"/>
        <w:rPr>
          <w:rFonts w:ascii="Arial" w:hAnsi="Arial"/>
          <w:color w:val="000000"/>
          <w:sz w:val="20"/>
        </w:rPr>
      </w:pPr>
      <w:r>
        <w:rPr>
          <w:rFonts w:ascii="Arial" w:hAnsi="Arial"/>
          <w:color w:val="000000"/>
          <w:sz w:val="20"/>
        </w:rPr>
        <w:t>We maintain domestic cash deposits in Federal Deposit Insurance Corporation (“FDIC”) insured banks, which exceed the FDIC insurance limits, and any deposits beyond these limits could be lost. We also maintain cash deposits in foreign banks where we operate, some of which are not insured or are only partially insured by the FDIC or other similar agencies. The failure of a bank, or events involving limited liquidity, defaults, non-performance or other adverse conditions in the financial or credit markets impacting financial institutions at which we maintain balances, or concerns or rumors about such events, may lead to disruptions in access to our bank deposits or otherwise adversely impact our liquidity and financial performance. While we maintain our cash and short-term investments with a diverse group of large national financial institutions and our limited deposits at Silicon Valley Bank were backstopped by the U.S. government, there can be no assurance that any of our other deposits in excess of the FDIC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80" w:after="283"/>
        <w:jc w:val="both"/>
        <w:rPr>
          <w:rFonts w:ascii="Arial" w:hAnsi="Arial"/>
          <w:color w:val="000000"/>
          <w:sz w:val="20"/>
        </w:rPr>
      </w:pPr>
      <w:r>
        <w:rPr>
          <w:rFonts w:ascii="Arial" w:hAnsi="Arial"/>
          <w:color w:val="000000"/>
          <w:sz w:val="20"/>
        </w:rPr>
        <w:t>In addition, instability, liquidity constraints or other distress in the financial markets, including the effects of bank failures, defaults, non-performance or other adverse developments that affect financial institutions, could impair the ability of one or more of the banks participating in our credit agreement or any future credit agreement from honoring their commitments. This could have a material adverse effect on our business if we were not able to replace those commitments or to locate other sources of liquidity on acceptable terms.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180" w:after="283"/>
        <w:jc w:val="both"/>
        <w:rPr>
          <w:rFonts w:ascii="Times New Roman" w:hAnsi="Times New Roman"/>
          <w:sz w:val="20"/>
        </w:rPr>
      </w:pPr>
      <w:r>
        <w:rPr>
          <w:rFonts w:ascii="Arial" w:hAnsi="Arial"/>
          <w:color w:val="000000"/>
          <w:sz w:val="20"/>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pStyle w:val="TextBody"/>
        <w:bidi w:val="0"/>
        <w:spacing w:before="180" w:after="283"/>
        <w:jc w:val="both"/>
        <w:rPr>
          <w:rFonts w:ascii="Arial" w:hAnsi="Arial"/>
          <w:color w:val="000000"/>
          <w:sz w:val="20"/>
        </w:rPr>
      </w:pPr>
      <w:r>
        <w:rPr>
          <w:rFonts w:ascii="Arial" w:hAnsi="Arial"/>
          <w:color w:val="000000"/>
          <w:sz w:val="20"/>
        </w:rPr>
        <w:t>As described in Item 9A, "Controls and Procedures", we will continue our initiatives to implement measures designed to ensure that remaining control deficiencies contributing to the material weaknesses are remediated, such that these controls are designed, implemented, and operating effectively.</w:t>
      </w:r>
    </w:p>
    <w:p>
      <w:pPr>
        <w:pStyle w:val="TextBody"/>
        <w:bidi w:val="0"/>
        <w:spacing w:before="180" w:after="283"/>
        <w:jc w:val="both"/>
        <w:rPr>
          <w:rFonts w:ascii="Arial" w:hAnsi="Arial"/>
          <w:color w:val="000000"/>
          <w:sz w:val="20"/>
        </w:rPr>
      </w:pPr>
      <w:r>
        <w:rPr>
          <w:rFonts w:ascii="Arial" w:hAnsi="Arial"/>
          <w:color w:val="000000"/>
          <w:sz w:val="20"/>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Class A common stock. See Item 9A, “Controls and Procedures” for further discussions of the identified material weaknesses.</w:t>
      </w:r>
    </w:p>
    <w:p>
      <w:pPr>
        <w:pStyle w:val="TextBody"/>
        <w:bidi w:val="0"/>
        <w:spacing w:before="180" w:after="283"/>
        <w:jc w:val="both"/>
        <w:rPr>
          <w:rFonts w:ascii="Arial" w:hAnsi="Arial"/>
          <w:b/>
          <w:i/>
          <w:color w:val="000000"/>
          <w:sz w:val="20"/>
        </w:rPr>
      </w:pPr>
      <w:r>
        <w:rPr>
          <w:rFonts w:ascii="Arial" w:hAnsi="Arial"/>
          <w:b/>
          <w:i/>
          <w:color w:val="000000"/>
          <w:sz w:val="20"/>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pStyle w:val="TextBody"/>
        <w:bidi w:val="0"/>
        <w:spacing w:before="180" w:after="283"/>
        <w:jc w:val="both"/>
        <w:rPr>
          <w:rFonts w:ascii="Arial" w:hAnsi="Arial"/>
          <w:color w:val="000000"/>
          <w:sz w:val="20"/>
        </w:rPr>
      </w:pPr>
      <w:r>
        <w:rPr>
          <w:rFonts w:ascii="Arial" w:hAnsi="Arial"/>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pStyle w:val="TextBody"/>
        <w:bidi w:val="0"/>
        <w:spacing w:before="180" w:after="283"/>
        <w:jc w:val="both"/>
        <w:rPr>
          <w:rFonts w:ascii="Times New Roman" w:hAnsi="Times New Roman"/>
          <w:sz w:val="20"/>
        </w:rPr>
      </w:pPr>
      <w:r>
        <w:rPr>
          <w:rFonts w:ascii="Arial" w:hAnsi="Arial"/>
          <w:color w:val="000000"/>
          <w:sz w:val="20"/>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through remediation measures described in Item 9A,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pStyle w:val="TextBody"/>
        <w:bidi w:val="0"/>
        <w:spacing w:before="180" w:after="283"/>
        <w:jc w:val="both"/>
        <w:rPr>
          <w:rFonts w:ascii="Times New Roman" w:hAnsi="Times New Roman"/>
          <w:sz w:val="20"/>
        </w:rPr>
      </w:pPr>
      <w:r>
        <w:rPr>
          <w:rFonts w:ascii="Arial" w:hAnsi="Arial"/>
          <w:color w:val="000000"/>
          <w:sz w:val="20"/>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public accounting firm’s attestation reports required by the SEC. Ineffective disclosure controls and procedures and internal control over financial reporting could diminish investor confidence, negatively affect the price of our Class A common stock, and could result in our delisting on Nasdaq. As noted previously, see Item 9A, “Controls and Procedures” for further discussions of the identified material weaknesses.</w:t>
      </w:r>
    </w:p>
    <w:p>
      <w:pPr>
        <w:pStyle w:val="TextBody"/>
        <w:bidi w:val="0"/>
        <w:spacing w:before="180" w:after="270"/>
        <w:jc w:val="both"/>
        <w:rPr>
          <w:rFonts w:ascii="Times New Roman" w:hAnsi="Times New Roman"/>
          <w:sz w:val="20"/>
        </w:rPr>
      </w:pPr>
      <w:r>
        <w:rPr>
          <w:rFonts w:ascii="Arial" w:hAnsi="Arial"/>
          <w:b/>
          <w:color w:val="000000"/>
          <w:sz w:val="20"/>
          <w:u w:val="single"/>
        </w:rPr>
        <w:t>Risks Related to our International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Economic tension between the United States and China, or between other countries, may intensify and the United States, China, or other countries may adopt drastic measures in the future that impact our business.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merchants source a large percentage of the products we list on our platform from China and other countries outside the U.S. and Europe. Additionally, most of our merchants, and some of our operations, are located in China, making the price and availability of products on our platform susceptible to international trade risks and other international economic conditions.</w:t>
      </w:r>
    </w:p>
    <w:p>
      <w:pPr>
        <w:pStyle w:val="TextBody"/>
        <w:bidi w:val="0"/>
        <w:spacing w:before="180" w:after="283"/>
        <w:jc w:val="both"/>
        <w:rPr>
          <w:rFonts w:ascii="Times New Roman" w:hAnsi="Times New Roman"/>
          <w:sz w:val="20"/>
        </w:rPr>
      </w:pPr>
      <w:r>
        <w:rPr>
          <w:rFonts w:ascii="Arial" w:hAnsi="Arial"/>
          <w:color w:val="000000"/>
          <w:sz w:val="20"/>
        </w:rPr>
        <w:t>If the U.S. government or other governments impose tariffs or other economic measures that directly or indirectly increase the price of products it imports and that we list on our platform, the increased prices could have a material adverse effect on our financial results and business. The effects of the imposed and proposed tariffs are uncertain because of the dynamic nature of governmental action, relations and responses. Further escalation of trade, economic and geo-political tensions between the United States and its trading partners, especially China, could result in long-term changes to global trade, including retaliatory trade restrictions that restrict the international flow of products. We also cannot predict what actions may ultimately be taken with respect to tariffs or trade relations between the U.S.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Additionally, certain jurisdictions may attempt to restrict the operation and access of certain China-based companies, such as TikTok, WeChat and Alipay in the U.S.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are not able to predict future economic policy of the U.S.,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Certain aspects of our business relating to the provision of financial services are subject to government regulation and oversight.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or lender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One of our subsidiaries, ContextLogic Collections B.V., received a payments institution license in 2021 from its regulatory authority, De Nederlandsche Bank. This license permits ContextLogic Collections B.V. to operate as a payment service provider (including acquiring and executing payment transactions, as referred to in the Revised Payment Services Directive (“2015/2366/EU”) in the Netherlands. In addition, ContextLogic Collections B.V. can offer its payment services in all other countries of the European Economic Area (“EEA”) on the basis of a European passport. As a regulated financial institution, ContextLogic Collections B.V. is in compliance and will continue to comply with financial services regulations within the EU, including those relating to anti-money laundering, combating the financing of terrorism, bribery, forced labor, human trafficking, slavery, and sanctioned or prohibited persons or regions.</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continue to evaluate our options for seeking additional licenses and/or subsidiaries in several other jurisdictions to optimize our payment solutions, interchange fees, and to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laws related to money transmission and online payments are evolving, and changes in such laws could affect our ability to provide payment processing on our platform in the same form and on the same terms as we have historically, or at all.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combating the financing of terrorism, banking, systematic integrity risk assessments, cybersecurity of payment processes, sanctions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Further, our payment system is susceptible to illegal and improper uses, including money laundering, terrorist financing, fraud and payments to sanctioned parties. We have invested and will need to continue to invest substantial resources to comply with applicable financial services legislation, including anti-money laundering, combating the financing of terrorism, and sanctions laws. Government authorities may seek to bring legal action against us if we fail to prevent or detect that our payment system is used for improper or illegal purposes or if our enterprise risk management or controls are not adequately assessed, updated, or implemented, and any such action could result in financial or reputational harm to our business.</w:t>
      </w:r>
    </w:p>
    <w:p>
      <w:pPr>
        <w:pStyle w:val="TextBody"/>
        <w:bidi w:val="0"/>
        <w:spacing w:before="180" w:after="283"/>
        <w:jc w:val="both"/>
        <w:rPr>
          <w:rFonts w:ascii="Times New Roman" w:hAnsi="Times New Roman"/>
          <w:sz w:val="20"/>
        </w:rPr>
      </w:pPr>
      <w:r>
        <w:rPr>
          <w:rFonts w:ascii="Arial" w:hAnsi="Arial"/>
          <w:color w:val="000000"/>
          <w:sz w:val="20"/>
        </w:rPr>
        <w:t>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Certain aspects of our business are subject to global trade customs regulations and government oversight.</w:t>
      </w:r>
    </w:p>
    <w:p>
      <w:pPr>
        <w:pStyle w:val="TextBody"/>
        <w:bidi w:val="0"/>
        <w:spacing w:before="180" w:after="283"/>
        <w:jc w:val="both"/>
        <w:rPr>
          <w:rFonts w:ascii="Times New Roman" w:hAnsi="Times New Roman"/>
          <w:sz w:val="20"/>
        </w:rPr>
      </w:pPr>
      <w:r>
        <w:rPr>
          <w:rFonts w:ascii="Arial" w:hAnsi="Arial"/>
          <w:color w:val="000000"/>
          <w:sz w:val="20"/>
        </w:rPr>
        <w:t>We are also within the scope of certain customs enquiries and subject to international trade law enforcement, that could require us to incur an increase in costs and/or impacting the supply and delivery-times of products from merchants to consumers, potentially causing us to experience damage in reputation and/or restricting our rate of global growth.</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For example, due to abrupt new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FTA. This caused certain parcels shipped by Wish merchants to be held up at Colombia customs, causing delays and increasing charges for consumers. Also,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w:t>
      </w:r>
    </w:p>
    <w:p>
      <w:pPr>
        <w:pStyle w:val="TextBody"/>
        <w:bidi w:val="0"/>
        <w:spacing w:before="180" w:after="283"/>
        <w:jc w:val="both"/>
        <w:rPr>
          <w:rFonts w:ascii="Times New Roman" w:hAnsi="Times New Roman"/>
          <w:sz w:val="20"/>
        </w:rPr>
      </w:pPr>
      <w:r>
        <w:rPr>
          <w:rFonts w:ascii="Arial" w:hAnsi="Arial"/>
          <w:color w:val="000000"/>
          <w:sz w:val="20"/>
        </w:rPr>
        <w:t>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Legal requirements are frequently changed and subject to interpretation, and we are unable to predict the ultimate cost of compliance with these requirements or their effects on our operations. We may be required to make significant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pStyle w:val="TextBody"/>
        <w:bidi w:val="0"/>
        <w:spacing w:before="180" w:after="283"/>
        <w:jc w:val="both"/>
        <w:rPr>
          <w:rFonts w:ascii="Arial" w:hAnsi="Arial"/>
          <w:b/>
          <w:i/>
          <w:color w:val="000000"/>
          <w:sz w:val="20"/>
        </w:rPr>
      </w:pPr>
      <w:r>
        <w:rPr>
          <w:rFonts w:ascii="Arial" w:hAnsi="Arial"/>
          <w:b/>
          <w:i/>
          <w:color w:val="000000"/>
          <w:sz w:val="20"/>
        </w:rPr>
        <w:t>Our international operations are subject to increased risks.</w:t>
      </w:r>
    </w:p>
    <w:p>
      <w:pPr>
        <w:pStyle w:val="TextBody"/>
        <w:bidi w:val="0"/>
        <w:spacing w:before="180" w:after="283"/>
        <w:jc w:val="both"/>
        <w:rPr>
          <w:rFonts w:ascii="Times New Roman" w:hAnsi="Times New Roman"/>
          <w:sz w:val="20"/>
        </w:rPr>
      </w:pPr>
      <w:r>
        <w:rPr>
          <w:rFonts w:ascii="Arial" w:hAnsi="Arial"/>
          <w:color w:val="000000"/>
          <w:sz w:val="20"/>
        </w:rPr>
        <w:t>There are inherent risks in doing business internationally,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are inherent risks in doing business internationally, including: expenses associated with localizing our products and services and user data, including offering our users and merchants the ability to transact business in the local currency and language, and adapting our platform to local preferences;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to enforceability in some foreign jurisdictions of so-called “clickwrap” contracts with our customers, merchants and Wish Local retailers;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trade barriers and changes in trade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 developing, staffing, and simultaneously managing a large number of varying foreign operations as a result of distance, language, and cultural differences;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stringent local labor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credit risk and higher levels of payment fraud;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laws or regulations related to the import or export of goods alleged to violate third-party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political or social unrest, economic instability, repression, or human rights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geopolitical events, including natural disasters, public health issues, acts of war, and terrorism;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U.S. laws such as the Foreign Corrupt Practices Act ("FCPA") and foreign laws prohibiting corruption, U.S. and foreign economic and trade sanctions laws, and U.S. and foreign laws designed to combat money laundering and the financing of terrorist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antitrust and competition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potentially adverse tax developments and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uncertainties relating to sovereign and other debt;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different, uncertain, or more stringent user protection, data protection, data collection, privacy, payments, advertising, pricing, and other 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limitations by governmental authorities on transmission of privacy information and other data between countries, whether from the U.S. or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national and regional laws, regulations and directives and norms, in the EU, EEA, and UK, regarding content moderation and intermediary liability, transparency, product safety and conformity marking, consumer deception, and forced labor;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related to other government regulation or required compliance with local 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national or regional differences in macroeconomic growth rates;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local licensing and reporting obligations.</w:t>
      </w:r>
    </w:p>
    <w:p>
      <w:pPr>
        <w:pStyle w:val="TextBody"/>
        <w:bidi w:val="0"/>
        <w:spacing w:before="180" w:after="283"/>
        <w:jc w:val="both"/>
        <w:rPr>
          <w:rFonts w:ascii="Times New Roman" w:hAnsi="Times New Roman"/>
          <w:sz w:val="20"/>
        </w:rPr>
      </w:pPr>
      <w:r>
        <w:rPr>
          <w:rFonts w:ascii="Arial" w:hAnsi="Arial"/>
          <w:color w:val="000000"/>
          <w:sz w:val="20"/>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policies. These risks inherent in our international operations and expansion increase our costs of doing business internationally and could harm our business.</w:t>
      </w:r>
    </w:p>
    <w:p>
      <w:pPr>
        <w:pStyle w:val="TextBody"/>
        <w:bidi w:val="0"/>
        <w:spacing w:before="180" w:after="283"/>
        <w:jc w:val="both"/>
        <w:rPr>
          <w:rFonts w:ascii="Times New Roman" w:hAnsi="Times New Roman"/>
          <w:sz w:val="20"/>
        </w:rPr>
      </w:pPr>
      <w:r>
        <w:rPr>
          <w:rFonts w:ascii="Arial" w:hAnsi="Arial"/>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user pricing and payments are denominated in the local currencies of the users, primarily in U.S. dollars and Euros, and we make a majority of our payments in Renminbi (“RMB”) to the merchants in China for products sold on the Wish platform,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RMB. As part of our currency hedging strategy, we use financial instruments such as forward contracts to hedge our foreign currency exposure in order to reduce the frequency that we need to adjust local currency pricing as well as reduce the short-term impact of foreign currency rate fluctuations on our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Any factors that reduce cross-border trade or make such trade more difficult could harm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including any delays or other factors caused by the current conflict between Russia and Ukraine arising from the invasion of Ukraine by Russia, would lower our revenue and profits and could harm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Changes in China’s economic, political or social conditions or government policies could have a material adverse effect on our business and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Uncertainties with respect to the People’s Republic of China’s (“PRC”) legal system and changes in laws and regulations in China could adversely affect us.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pStyle w:val="TextBody"/>
        <w:bidi w:val="0"/>
        <w:spacing w:before="180" w:after="283"/>
        <w:jc w:val="both"/>
        <w:rPr>
          <w:rFonts w:ascii="Times New Roman" w:hAnsi="Times New Roman"/>
          <w:sz w:val="20"/>
        </w:rPr>
      </w:pPr>
      <w:r>
        <w:rPr>
          <w:rFonts w:ascii="Arial" w:hAnsi="Arial"/>
          <w:b/>
          <w:i/>
          <w:color w:val="000000"/>
          <w:sz w:val="20"/>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w:t>
      </w:r>
      <w:r>
        <w:rPr>
          <w:rFonts w:ascii="Times New Roman" w:hAnsi="Times New Roman"/>
          <w:color w:val="000000"/>
          <w:sz w:val="20"/>
        </w:rPr>
        <w:t xml:space="preserve"> </w:t>
      </w:r>
    </w:p>
    <w:p>
      <w:pPr>
        <w:pStyle w:val="TextBody"/>
        <w:bidi w:val="0"/>
        <w:spacing w:before="180" w:after="270"/>
        <w:jc w:val="both"/>
        <w:rPr>
          <w:rFonts w:ascii="Times New Roman" w:hAnsi="Times New Roman"/>
          <w:sz w:val="20"/>
        </w:rPr>
      </w:pPr>
      <w:r>
        <w:rPr>
          <w:rFonts w:ascii="Arial" w:hAnsi="Arial"/>
          <w:b/>
          <w:color w:val="000000"/>
          <w:sz w:val="20"/>
          <w:u w:val="single"/>
        </w:rPr>
        <w:t>Risks Related to Network and Infrastructure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Any significant disruption in service on our platform or in our computer systems, some of which are currently hosted by third-party providers, could damage our reputation and result in a loss of users, which would harm our business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collect, maintain, transmit, and store data about our users, merchants and others, including personally identifiable information and personal data, as well as other confidential information.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w:t>
      </w:r>
    </w:p>
    <w:p>
      <w:pPr>
        <w:pStyle w:val="TextBody"/>
        <w:bidi w:val="0"/>
        <w:spacing w:before="180" w:after="283"/>
        <w:jc w:val="both"/>
        <w:rPr>
          <w:rFonts w:ascii="Times New Roman" w:hAnsi="Times New Roman"/>
          <w:sz w:val="20"/>
        </w:rPr>
      </w:pPr>
      <w:r>
        <w:rPr>
          <w:rFonts w:ascii="Arial" w:hAnsi="Arial"/>
          <w:color w:val="000000"/>
          <w:sz w:val="20"/>
        </w:rPr>
        <w:t>Cybersecurity incidents or breaches of our security measures or those of our third-party service providers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Further, due to the political uncertainty involving Russia and Ukraine, there is an increased likelihood that escalation of tensions could result in cyberattacks that could either directly or indirectly impact our operations.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w:t>
      </w:r>
    </w:p>
    <w:p>
      <w:pPr>
        <w:pStyle w:val="TextBody"/>
        <w:bidi w:val="0"/>
        <w:spacing w:before="180" w:after="283"/>
        <w:jc w:val="both"/>
        <w:rPr>
          <w:rFonts w:ascii="Times New Roman" w:hAnsi="Times New Roman"/>
          <w:sz w:val="20"/>
        </w:rPr>
      </w:pPr>
      <w:r>
        <w:rPr>
          <w:rFonts w:ascii="Arial" w:hAnsi="Arial"/>
          <w:color w:val="000000"/>
          <w:sz w:val="20"/>
        </w:rPr>
        <w:t>Additionally, many governments have enacted laws or regulations that require companies to notify individuals about certain types of security incidents or breaches, and any such disclosures may lead to negative publicity and may deter customers from shopping on our platform.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action, and the increased emphasis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pStyle w:val="TextBody"/>
        <w:bidi w:val="0"/>
        <w:spacing w:before="180" w:after="283"/>
        <w:jc w:val="both"/>
        <w:rPr>
          <w:rFonts w:ascii="Times New Roman" w:hAnsi="Times New Roman"/>
          <w:sz w:val="20"/>
        </w:rPr>
      </w:pPr>
      <w:r>
        <w:rPr>
          <w:rFonts w:ascii="Arial" w:hAnsi="Arial"/>
          <w:b/>
          <w:i/>
          <w:color w:val="000000"/>
          <w:sz w:val="20"/>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p>
    <w:p>
      <w:pPr>
        <w:pStyle w:val="TextBody"/>
        <w:bidi w:val="0"/>
        <w:spacing w:before="180" w:after="283"/>
        <w:jc w:val="both"/>
        <w:rPr>
          <w:rFonts w:ascii="Arial" w:hAnsi="Arial"/>
          <w:color w:val="000000"/>
          <w:sz w:val="20"/>
        </w:rPr>
      </w:pPr>
      <w:r>
        <w:rPr>
          <w:rFonts w:ascii="Arial" w:hAnsi="Arial"/>
          <w:color w:val="000000"/>
          <w:sz w:val="20"/>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p>
    <w:p>
      <w:pPr>
        <w:pStyle w:val="TextBody"/>
        <w:bidi w:val="0"/>
        <w:spacing w:before="180" w:after="283"/>
        <w:jc w:val="both"/>
        <w:rPr>
          <w:rFonts w:ascii="Arial" w:hAnsi="Arial"/>
          <w:color w:val="000000"/>
          <w:sz w:val="20"/>
        </w:rPr>
      </w:pPr>
      <w:r>
        <w:rPr>
          <w:rFonts w:ascii="Arial" w:hAnsi="Arial"/>
          <w:color w:val="000000"/>
          <w:sz w:val="20"/>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p>
    <w:p>
      <w:pPr>
        <w:pStyle w:val="TextBody"/>
        <w:bidi w:val="0"/>
        <w:spacing w:before="180" w:after="283"/>
        <w:jc w:val="both"/>
        <w:rPr>
          <w:rFonts w:ascii="Arial" w:hAnsi="Arial"/>
          <w:color w:val="000000"/>
          <w:sz w:val="20"/>
        </w:rPr>
      </w:pPr>
      <w:r>
        <w:rPr>
          <w:rFonts w:ascii="Arial" w:hAnsi="Arial"/>
          <w:color w:val="000000"/>
          <w:sz w:val="20"/>
        </w:rPr>
        <w:t>Although there are legal mechanisms to allow for the transfer of personal data from the United Kingdom ("U.K."), EEA and Switzerland to the U.S.,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EEA.</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Following its exit from the EU in January 2020, the U.K. implemented legislation referred to as the “U.K.-GDPR” which substantially aligns with requirements and penalties under the EU GDPR. We may face similar costs, risks, and operational impacts in complying with the U.K.-GDPR as we face in complying with the EU GDPR.</w:t>
      </w:r>
    </w:p>
    <w:p>
      <w:pPr>
        <w:pStyle w:val="TextBody"/>
        <w:bidi w:val="0"/>
        <w:spacing w:before="180" w:after="283"/>
        <w:jc w:val="both"/>
        <w:rPr>
          <w:rFonts w:ascii="Arial" w:hAnsi="Arial"/>
          <w:color w:val="000000"/>
          <w:sz w:val="20"/>
        </w:rPr>
      </w:pPr>
      <w:r>
        <w:rPr>
          <w:rFonts w:ascii="Arial" w:hAnsi="Arial"/>
          <w:color w:val="000000"/>
          <w:sz w:val="20"/>
        </w:rPr>
        <w:t>In recent years, U.S. and European lawmakers and regulators have expressed concern over the use of third-party cookies and similar technologies for online behavioral advertising, and laws in this area are also under reform. In the EU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pStyle w:val="TextBody"/>
        <w:bidi w:val="0"/>
        <w:spacing w:before="180" w:after="283"/>
        <w:jc w:val="both"/>
        <w:rPr>
          <w:rFonts w:ascii="Arial" w:hAnsi="Arial"/>
          <w:color w:val="000000"/>
          <w:sz w:val="20"/>
        </w:rPr>
      </w:pPr>
      <w:r>
        <w:rPr>
          <w:rFonts w:ascii="Arial" w:hAnsi="Arial"/>
          <w:color w:val="000000"/>
          <w:sz w:val="20"/>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p>
    <w:p>
      <w:pPr>
        <w:pStyle w:val="TextBody"/>
        <w:bidi w:val="0"/>
        <w:spacing w:before="180" w:after="283"/>
        <w:jc w:val="both"/>
        <w:rPr>
          <w:rFonts w:ascii="Arial" w:hAnsi="Arial"/>
          <w:color w:val="000000"/>
          <w:sz w:val="20"/>
        </w:rPr>
      </w:pPr>
      <w:r>
        <w:rPr>
          <w:rFonts w:ascii="Arial" w:hAnsi="Arial"/>
          <w:color w:val="000000"/>
          <w:sz w:val="20"/>
        </w:rPr>
        <w:t>In the U.S.,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Additionally, the Virginia Consumer Data Protection Act (the “VCDPA”) will become effective on January 1, 2023. The Colorado Privacy Act and the Connecticut Data Privacy Act will become effective on July 1, 2023, and the Utah Consumer Privacy Act will become effective on December 31, 2023.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pStyle w:val="TextBody"/>
        <w:bidi w:val="0"/>
        <w:spacing w:before="180" w:after="283"/>
        <w:jc w:val="both"/>
        <w:rPr>
          <w:rFonts w:ascii="Arial" w:hAnsi="Arial"/>
          <w:color w:val="000000"/>
          <w:sz w:val="20"/>
        </w:rPr>
      </w:pPr>
      <w:r>
        <w:rPr>
          <w:rFonts w:ascii="Arial" w:hAnsi="Arial"/>
          <w:color w:val="000000"/>
          <w:sz w:val="20"/>
        </w:rPr>
        <w:t>Additionally, new platform liability laws, potential amendments to existing laws, and ongoing regulatory and judicial interpretation of these laws imparting liability for conduct by users of a platform may create costs and uncertainty for our platform at its users. In the U.S., the United States Supreme Court recently agreed to review a matter in which the scope of protections available to online platforms under Section 230 of the Communications Decency Act, or CDA, is at issue. In parallel, there have also been various Executive and Congressional efforts to restrict the scope of protections available to online platforms under Section 230 of the CDA, and our current protections from liability for third-party content posted on our platform in the United States could decrease or change depending on judicial interpretation and/or content-related legislation. We could incur significant costs investigating and defending such claims and, if we are found liable, significant damages.</w:t>
      </w:r>
    </w:p>
    <w:p>
      <w:pPr>
        <w:pStyle w:val="TextBody"/>
        <w:bidi w:val="0"/>
        <w:spacing w:before="180" w:after="283"/>
        <w:jc w:val="both"/>
        <w:rPr>
          <w:rFonts w:ascii="Arial" w:hAnsi="Arial"/>
          <w:color w:val="000000"/>
          <w:sz w:val="20"/>
        </w:rPr>
      </w:pPr>
      <w:r>
        <w:rPr>
          <w:rFonts w:ascii="Arial" w:hAnsi="Arial"/>
          <w:color w:val="000000"/>
          <w:sz w:val="20"/>
        </w:rPr>
        <w:t>In September 2021 and November 2021, the PRC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pStyle w:val="TextBody"/>
        <w:bidi w:val="0"/>
        <w:spacing w:before="180" w:after="283"/>
        <w:jc w:val="both"/>
        <w:rPr>
          <w:rFonts w:ascii="Times New Roman" w:hAnsi="Times New Roman"/>
          <w:sz w:val="20"/>
        </w:rPr>
      </w:pPr>
      <w:r>
        <w:rPr>
          <w:rFonts w:ascii="Arial" w:hAnsi="Arial"/>
          <w:color w:val="000000"/>
          <w:sz w:val="20"/>
        </w:rPr>
        <w:t>Many data protection regimes apply based on where a user is located, and as we expand our platform and new laws are enacted or existing laws change, we may be subject to new laws, regulations or standards or new interpretations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p>
    <w:p>
      <w:pPr>
        <w:pStyle w:val="TextBody"/>
        <w:bidi w:val="0"/>
        <w:spacing w:before="180" w:after="283"/>
        <w:jc w:val="both"/>
        <w:rPr>
          <w:rFonts w:ascii="Arial" w:hAnsi="Arial"/>
          <w:b/>
          <w:i/>
          <w:color w:val="000000"/>
          <w:sz w:val="20"/>
        </w:rPr>
      </w:pPr>
      <w:r>
        <w:rPr>
          <w:rFonts w:ascii="Arial" w:hAnsi="Arial"/>
          <w:b/>
          <w:i/>
          <w:color w:val="000000"/>
          <w:sz w:val="20"/>
        </w:rPr>
        <w:t>A failure to comply with current laws, rules and regulations or changes to such laws, rules and regulations and other legal uncertainties may adversely affect our business, financial performance, results of operations or business growth.</w:t>
      </w:r>
    </w:p>
    <w:p>
      <w:pPr>
        <w:pStyle w:val="TextBody"/>
        <w:bidi w:val="0"/>
        <w:spacing w:before="180" w:after="283"/>
        <w:jc w:val="both"/>
        <w:rPr>
          <w:rFonts w:ascii="Times New Roman" w:hAnsi="Times New Roman"/>
          <w:sz w:val="20"/>
        </w:rPr>
      </w:pPr>
      <w:r>
        <w:rPr>
          <w:rFonts w:ascii="Arial" w:hAnsi="Arial"/>
          <w:color w:val="000000"/>
          <w:sz w:val="20"/>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Additionally, there are, and will likely continue to be, an increasing number of laws and regulations pertaining to both the internet and ecommerce as well as third-party merchant-seller consumer products,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For example, the European Digital Services Act ("DSA"), which is expected to take effect in the first half of 2024, intends to impose new legal obligations on online marketplaces operating in Europe in terms of both verifying and ensuring the accuracy and disclosure of required information, as well as the safety and authenticity of products posted by third-party merchants. The DSA also updates the responsibilities and liabilities of digital online services, such as the rules on illegal content, notice-and-takedown, and online targeted advertising, bringing new powers to fine in-scope eligible companies up to 6% of their global annual turnover. In addition, the European Union’s Market Surveillance Regulation, which took effect in July 2021, placed new obligations on online marketplaces that perform certain “fulfilment service provider” activities in Europe and was designed to reduce the availability of non-compliant products in Europe when offered by sellers outside of the region that either had or did not have an appointed authorized product compliance representative in Europe. The UK is expected to pass the Online Harms Bill that will require social media platforms to remove illegal adult content expeditiously and to also proactively prevent such listings from being uploaded, which will also impact online marketplace platforms. Denmark has also passed a law placing new obligations on marketplaces and giving its regulators the right to request fines and shutdowns where marketplaces are consistently unsuccessful in screening products that are unsafe or unlawful.</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Additionally, the U.K. is also expected to introduce its own mandatory conformity marking requirements under the proposed a new UKCA scheme from 2024 (replacing the existing EU CE marking scheme), which is anticipated to require online sellers of certain eligible consumer products to U.K. consumers to visually display evidence of such requisite marks on physical product and/or packaging and on their online product listings. Certain EU-27 Member States, such as France, Germany, Sweden, and Austria, have already updated their own versions of Extended Producer Responsibility (“EPR”) schemes under applicable EU Directives that apply to online marketplace platforms, by requiring them to collect, report, and at times publish mandatory registration or other product data from third-party sellers offering certain in-region products or packaging on their platforms. Failure of online marketplace platforms to ensure their merchant-sellers’ own primary independent product compliance obligations are satisfied can result in civil penalties to such platforms. These types of product-specific compliance regulations and laws primarily targeting merchant-sellers but secondarily holding online marketplaces responsible and/or liable, are only expected to increase in breadth and number over the coming years.</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Furthermore, the growth and development of ecommerce may prompt calls for more stringent consumer protection laws and more aggressive enforcement efforts, which may impose additional burdens on online businesses generally. For example, amendments to the EU’s Unfair Commercial Practices Directive that took effect May 2022 mandated additional obligations on online platforms and marketplaces that host user-customer reviews regarding third-party products. Such new obligations created greater disclosure, transparency, reactionary reporting, and policy enforcement requirements on online platforms and marketplaces in the area of user reviews, designed to prevent the risks of the reviews being fake, false, or misleading.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as well as certain regions. U.S. trade sanctions relate to transactions with designated foreign countries and territories, including Cuba, Iran, North Korea, Syria, the Crimea and recently annexed Luhansk and Donetsk regions of Ukraine, as well as specifically targeted individuals and entities that are identified on U.S.’s and other blacklists, and those owned by them or those acting on their behalf. Further, In February 2022, following Russia’s invasion of Ukraine, the U.S. and other countries announced sanctions against Russia. The U.S. and other countries could impose wider sanctions and take other actions should the conflict further escalate. While it is difficult to anticipate the impact the sanctions announced to date may have on the Company, any further sanctions imposed or actions taken by the U.S. or other countries, and any retaliatory measures by Russia in response, could have an adverse effect on our business. We have established a trade and screening compliance program designed to increase our compliance with these economic and trade restrictions and export and import control regimes. However, these laws and regulations are complex and subject to frequent change, including with respect to jurisdictions and the lists of sanctioned entities and other regulatory controls. For example, in June 2022, the Uyghur Forced Labor Prevention Act (UFLPA) went into effect in the U.S., which establishes a rebuttable presumption that the importation of any goods, wares, articles, and merchandise mined, produced, or manufactured wholly or in part in the Xinjiang Uyghur Autonomous Region of the PRC, or produced by certain entities, is prohibited by Section 307 of the Tariff Act of 1930 and are not entitled to entry to the United States. We may incur significant costs related to laws, regulations, sanctions, embargoes, export controls programs or other restrictions and disclosure requirements, as well as negative publicity, investigations, fines, fees or settlements, which may be difficult to predict. We also could face increased compliance costs and risks as our merchant-base and logistics offerings continue to expand.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Similarly, state and federal lawmakers have introduced more robust Know-Your-Customer/Business ("KYC/KYB") regulations to ensure greater transparency for third-party sellers of consumer products online. For example, on June 27, 2023, the INFORM Consumers Act will become effective in the U.S. This law, among other things, directs online marketplaces to collect, verify, and disclose to consumers certain high-volume third-party seller information by authenticating the seller’s government ID, tax ID, bank account information, and contact information. Under such law, online marketplaces will also be required to supply a hotline to allow customers to report to the marketplace suspicious marketplace activity, such as the posting of suspected stolen, counterfeit, or dangerous products. We may incur significant costs related to current, new or changing KYC/KYB regulations as well as increased liability risks (including civil penalties) if deemed non-compliant.</w:t>
      </w:r>
    </w:p>
    <w:p>
      <w:pPr>
        <w:pStyle w:val="TextBody"/>
        <w:bidi w:val="0"/>
        <w:spacing w:before="180" w:after="283"/>
        <w:jc w:val="both"/>
        <w:rPr>
          <w:rFonts w:ascii="Arial" w:hAnsi="Arial"/>
          <w:color w:val="000000"/>
          <w:sz w:val="20"/>
        </w:rPr>
      </w:pPr>
      <w:r>
        <w:rPr>
          <w:rFonts w:ascii="Arial" w:hAnsi="Arial"/>
          <w:color w:val="000000"/>
          <w:sz w:val="20"/>
        </w:rPr>
        <w:t>Anti-corruption laws, including the U.S. FCPA and the U.K. Bribery Act, generally prohibit direct or indirect corrupt payments to government officials and, under certain laws, to private persons to obtain or retain business or an improper business advantage. Similarly, global anti-money laundering laws and regulations generally prohibit exchanging money or assets that were obtained criminally for money or other assets that are clean, including money that is used to fund terrorism.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pStyle w:val="TextBody"/>
        <w:bidi w:val="0"/>
        <w:spacing w:before="180" w:after="283"/>
        <w:jc w:val="both"/>
        <w:rPr>
          <w:rFonts w:ascii="Times New Roman" w:hAnsi="Times New Roman"/>
          <w:sz w:val="20"/>
        </w:rPr>
      </w:pPr>
      <w:r>
        <w:rPr>
          <w:rFonts w:ascii="Arial" w:hAnsi="Arial"/>
          <w:color w:val="000000"/>
          <w:sz w:val="20"/>
        </w:rPr>
        <w:t>Additionally, the law relating to liability of online service providers is currently unsettled at both a national and global level.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including online marking and labeling requirements, akin to those traditionally reserved for either manufacturers, suppliers, importers-of-record, and/or distributors of physical consumer goods.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materially adverse to our business, damage our reputation, impede our growth, or otherwise have a material effect on our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u w:val="single"/>
        </w:rPr>
        <w:t>Risks Related to Our Intellectual Property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may be unable to protect our intellectual property adequately.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may be subject to claims that items listed on our platform are counterfeit, infringing or illegal, which may harm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procedures may not effectively reduce or eliminate our liability. In particular, we may be subject to civil or criminal liability for activities carried out by merchants on our platform, especially outside the U.S. where laws may offer less protection for intermediaries and platforms than the U.S. Under current U.S. copyright law,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w:t>
      </w:r>
    </w:p>
    <w:p>
      <w:pPr>
        <w:pStyle w:val="TextBody"/>
        <w:bidi w:val="0"/>
        <w:spacing w:before="180" w:after="283"/>
        <w:jc w:val="both"/>
        <w:rPr>
          <w:rFonts w:ascii="Times New Roman" w:hAnsi="Times New Roman"/>
          <w:sz w:val="20"/>
        </w:rPr>
      </w:pPr>
      <w:r>
        <w:rPr>
          <w:rFonts w:ascii="Arial" w:hAnsi="Arial"/>
          <w:color w:val="000000"/>
          <w:sz w:val="20"/>
        </w:rPr>
        <w:t>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Regardless of the validity of any claims made against us, we may incur significant costs and efforts to defend against or settle them.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may be subject to intellectual property claims, which are extremely costly to defend, could require us to pay significant damages and could limit our ability to use certain technologies in the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pStyle w:val="TextBody"/>
        <w:bidi w:val="0"/>
        <w:spacing w:before="180" w:after="283"/>
        <w:jc w:val="both"/>
        <w:rPr>
          <w:rFonts w:ascii="Times New Roman" w:hAnsi="Times New Roman"/>
          <w:sz w:val="20"/>
        </w:rPr>
      </w:pPr>
      <w:r>
        <w:rPr>
          <w:rFonts w:ascii="Arial" w:hAnsi="Arial"/>
          <w:b/>
          <w:i/>
          <w:color w:val="000000"/>
          <w:sz w:val="20"/>
        </w:rPr>
        <w:t>Our software is highly complex and may contain undetected errors.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use of open source software may pose particular risks to our proprietary software and systems.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could be difficult to eliminate or manage, and, if not addressed, could have a material adverse effect on our business, results of operations, financial condition, and prospects.</w:t>
      </w:r>
    </w:p>
    <w:p>
      <w:pPr>
        <w:pStyle w:val="TextBody"/>
        <w:bidi w:val="0"/>
        <w:spacing w:before="180" w:after="270"/>
        <w:jc w:val="both"/>
        <w:rPr>
          <w:rFonts w:ascii="Times New Roman" w:hAnsi="Times New Roman"/>
          <w:sz w:val="20"/>
        </w:rPr>
      </w:pPr>
      <w:r>
        <w:rPr>
          <w:rFonts w:ascii="Arial" w:hAnsi="Arial"/>
          <w:b/>
          <w:color w:val="000000"/>
          <w:sz w:val="20"/>
          <w:u w:val="single"/>
        </w:rPr>
        <w:t>Risks Related to Our Taxes and Financial Position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business and our merchants and users may be subject to sales and other taxes and these taxes may negatively impact our revenue and growth.</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application of indirect taxes, such as sales and use tax, VAT, provincial taxes, goods and services tax, business tax and gross receipt tax to our business and to our merchants and users is a complex and evolving issue. In addition, governments are increasingly looking for ways to increase revenue, which has resulted in discussions about new legislative actions to increase tax revenue, including through indirect taxes.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Significant judgment and expertise are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w:t>
      </w:r>
    </w:p>
    <w:p>
      <w:pPr>
        <w:pStyle w:val="TextBody"/>
        <w:bidi w:val="0"/>
        <w:spacing w:before="180" w:after="283"/>
        <w:jc w:val="both"/>
        <w:rPr>
          <w:rFonts w:ascii="Arial" w:hAnsi="Arial"/>
          <w:color w:val="000000"/>
          <w:sz w:val="20"/>
        </w:rPr>
      </w:pPr>
      <w:r>
        <w:rPr>
          <w:rFonts w:ascii="Arial" w:hAnsi="Arial"/>
          <w:color w:val="000000"/>
          <w:sz w:val="20"/>
        </w:rPr>
        <w:t>State and local taxing authorities in the U.S.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All U.S. states have since followed suit in enacting similar legislation.</w:t>
      </w:r>
    </w:p>
    <w:p>
      <w:pPr>
        <w:pStyle w:val="TextBody"/>
        <w:bidi w:val="0"/>
        <w:spacing w:before="180" w:after="283"/>
        <w:jc w:val="both"/>
        <w:rPr>
          <w:rFonts w:ascii="Arial" w:hAnsi="Arial"/>
          <w:color w:val="000000"/>
          <w:sz w:val="20"/>
        </w:rPr>
      </w:pPr>
      <w:r>
        <w:rPr>
          <w:rFonts w:ascii="Arial" w:hAnsi="Arial"/>
          <w:color w:val="000000"/>
          <w:sz w:val="20"/>
        </w:rPr>
        <w:t>Outside of the U.S., the application of VAT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As a result of Brexit, the U.K. began imposing VAT on ecommerce platform effective January 2021, and the EU abolished its low value goods exemption effective July 2021 and require online marketplace facilitators to collect and remit VAT. Our business could be adversely affected by additional taxes that focus on marketplace service revenue.</w:t>
      </w:r>
    </w:p>
    <w:p>
      <w:pPr>
        <w:pStyle w:val="TextBody"/>
        <w:bidi w:val="0"/>
        <w:spacing w:before="180" w:after="283"/>
        <w:jc w:val="both"/>
        <w:rPr>
          <w:rFonts w:ascii="Times New Roman" w:hAnsi="Times New Roman"/>
          <w:sz w:val="20"/>
        </w:rPr>
      </w:pPr>
      <w:r>
        <w:rPr>
          <w:rFonts w:ascii="Arial" w:hAnsi="Arial"/>
          <w:color w:val="000000"/>
          <w:sz w:val="20"/>
        </w:rPr>
        <w:t>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may be applied prospectively or retroactively. Noncompliance with existing and new laws may result in fines or penalties. It is possible we may not have sufficient notice to create and adopt processes to properly comply with new reporting or collection obligations by the effective date.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may experience fluctuations in various tax related obligations.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income taxes and various other taxes in both the U.S. and in many international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ongoing variability in our quarterly tax rates related to potential audits and exposures are re-evaluated. While we have estimated accruals that we believe are reasonable to cover potential exposures, the reserves may ultimately not be sufficient and additional cash outflows may result. Fluctuations in our tax obligations could adversely affect our business.</w:t>
      </w:r>
    </w:p>
    <w:p>
      <w:pPr>
        <w:pStyle w:val="TextBody"/>
        <w:bidi w:val="0"/>
        <w:spacing w:before="180" w:after="283"/>
        <w:jc w:val="both"/>
        <w:rPr>
          <w:rFonts w:ascii="Times New Roman" w:hAnsi="Times New Roman"/>
          <w:sz w:val="20"/>
        </w:rPr>
      </w:pPr>
      <w:r>
        <w:rPr>
          <w:rFonts w:ascii="Arial" w:hAnsi="Arial"/>
          <w:b/>
          <w:i/>
          <w:color w:val="000000"/>
          <w:sz w:val="20"/>
        </w:rPr>
        <w:t>We may not be able to utilize a significant portion of our net operating loss carryforwards, and other tax attributes, which could adversely affect the value of our Class A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As of December 31, 2023, we had federal NOLs available to reduce future taxable income, if any, of $886 million that begin to expire in 2030 and continue to expire through 2037 and $1.9 billion that have an unlimited carryover period. As of December 31, 2023, we had state NOLs available to reduce future taxable income, if any, of $7.0 billion that begin to expire in 2026 and continue to expire through 2043 and $2.0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While we believe that our NOLs are currently not subject to limitation under these rules and have entered into a Tax Benefits Preservation Plan designed to preserve and protect our NOLs, there is no guarantee that we have not undergone an ownership change in the past or that such plan will prevent us from experiencing an ownership change in the future and, therefore, having a limitation on our ability to use our NOLs. Additionally, portions of these NOLs could expire unused and be unavailable to offset future income tax liabilities. In addition, at the state level, there may be periods during which the use of NOLs is suspended or otherwise limited. For example, California recently imposed limits on the usability of California state NOLs to offset taxable income in tax years beginning after 2019 and before 2022. As a result, even if we acquire income producing assts and attain profitability in the future, we may be unable to use a material portion of our NOLs and other tax attributes, which could adversely affect our future cash flows and the value of our Class A common stock.</w:t>
      </w:r>
    </w:p>
    <w:p>
      <w:pPr>
        <w:pStyle w:val="TextBody"/>
        <w:bidi w:val="0"/>
        <w:spacing w:before="180" w:after="283"/>
        <w:jc w:val="both"/>
        <w:rPr>
          <w:rFonts w:ascii="Times New Roman" w:hAnsi="Times New Roman"/>
          <w:sz w:val="20"/>
        </w:rPr>
      </w:pPr>
      <w:r>
        <w:rPr>
          <w:rFonts w:ascii="Arial" w:hAnsi="Arial"/>
          <w:b/>
          <w:i/>
          <w:color w:val="000000"/>
          <w:sz w:val="20"/>
        </w:rPr>
        <w:t>We may need additional capital, which may not be available to us on acceptable terms or at all.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u w:val="single"/>
        </w:rPr>
      </w:pPr>
      <w:r>
        <w:rPr>
          <w:rFonts w:ascii="Arial" w:hAnsi="Arial"/>
          <w:b/>
          <w:color w:val="000000"/>
          <w:sz w:val="20"/>
          <w:u w:val="single"/>
        </w:rPr>
        <w:t>Risks Related to the Asset Sale</w:t>
      </w:r>
    </w:p>
    <w:p>
      <w:pPr>
        <w:pStyle w:val="TextBody"/>
        <w:bidi w:val="0"/>
        <w:spacing w:before="180" w:after="283"/>
        <w:jc w:val="both"/>
        <w:rPr>
          <w:rFonts w:ascii="Arial" w:hAnsi="Arial"/>
          <w:b/>
          <w:i/>
          <w:color w:val="000000"/>
          <w:sz w:val="20"/>
        </w:rPr>
      </w:pPr>
      <w:r>
        <w:rPr>
          <w:rFonts w:ascii="Arial" w:hAnsi="Arial"/>
          <w:b/>
          <w:i/>
          <w:color w:val="000000"/>
          <w:sz w:val="20"/>
        </w:rPr>
        <w:t>We will be subject to business uncertainties while the Asset Sale is pending, which could adversely affect our business.</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the Asset Purchase Agreement. See Part I, Item 1. “Business—Asset Purchase Agreement with Qoo10” for further discussion of the Asset Purchase Agreement. The Asset Purchase Agreement generally requires us to operate our business in the ordinary course in substantially the same manner as previously conducted pending consummation of the Asset Sale and restricts us, without Qoo10’s consent, from taking certain specified actions until the Asset Sale is completed, including incurring indebtedness and making capital expenditures subject to certain specified exceptions. These restrictions may affect our ability to execute our business and goals, and prevent us from pursuing attractive business opportunities.</w:t>
      </w:r>
    </w:p>
    <w:p>
      <w:pPr>
        <w:pStyle w:val="TextBody"/>
        <w:bidi w:val="0"/>
        <w:spacing w:before="180" w:after="283"/>
        <w:jc w:val="both"/>
        <w:rPr>
          <w:rFonts w:ascii="Arial" w:hAnsi="Arial"/>
          <w:color w:val="000000"/>
          <w:sz w:val="20"/>
        </w:rPr>
      </w:pPr>
      <w:r>
        <w:rPr>
          <w:rFonts w:ascii="Arial" w:hAnsi="Arial"/>
          <w:color w:val="000000"/>
          <w:sz w:val="20"/>
        </w:rPr>
        <w:t>The Asset Sale could also disrupt our business or business relationships. Parties with which we have business relationships may delay or defer certain business decisions, seek alternative relationships with third parties or seek to alter their present business relationships with us. Parties with which we otherwise may have sought to establish business relationships may seek alternative relationships with third parties.</w:t>
      </w:r>
    </w:p>
    <w:p>
      <w:pPr>
        <w:pStyle w:val="TextBody"/>
        <w:bidi w:val="0"/>
        <w:spacing w:before="180" w:after="283"/>
        <w:jc w:val="both"/>
        <w:rPr>
          <w:rFonts w:ascii="Arial" w:hAnsi="Arial"/>
          <w:color w:val="000000"/>
          <w:sz w:val="20"/>
        </w:rPr>
      </w:pPr>
      <w:r>
        <w:rPr>
          <w:rFonts w:ascii="Arial" w:hAnsi="Arial"/>
          <w:color w:val="000000"/>
          <w:sz w:val="20"/>
        </w:rPr>
        <w:t>In addition, customers who would otherwise use our platform may choose not to use our platform during the pendency of the Asset Sale.</w:t>
      </w:r>
    </w:p>
    <w:p>
      <w:pPr>
        <w:pStyle w:val="TextBody"/>
        <w:bidi w:val="0"/>
        <w:spacing w:before="180" w:after="283"/>
        <w:jc w:val="both"/>
        <w:rPr>
          <w:rFonts w:ascii="Arial" w:hAnsi="Arial"/>
          <w:color w:val="000000"/>
          <w:sz w:val="20"/>
        </w:rPr>
      </w:pPr>
      <w:r>
        <w:rPr>
          <w:rFonts w:ascii="Arial" w:hAnsi="Arial"/>
          <w:color w:val="000000"/>
          <w:sz w:val="20"/>
        </w:rPr>
        <w:t>The pursuit of the Asset Sale will also continue to place a significant burden on management and other internal resources. It may also divert management’s time and attention from the day-to-day operation of our business and the execution of our other strategic initiatives. In addition, during the pendency of the Asset Sale, we may be unable to attract and retain key personnel.</w:t>
      </w:r>
    </w:p>
    <w:p>
      <w:pPr>
        <w:pStyle w:val="TextBody"/>
        <w:bidi w:val="0"/>
        <w:spacing w:before="180" w:after="283"/>
        <w:jc w:val="both"/>
        <w:rPr>
          <w:rFonts w:ascii="Times New Roman" w:hAnsi="Times New Roman"/>
          <w:sz w:val="20"/>
        </w:rPr>
      </w:pPr>
      <w:r>
        <w:rPr>
          <w:rFonts w:ascii="Arial" w:hAnsi="Arial"/>
          <w:color w:val="000000"/>
          <w:sz w:val="20"/>
        </w:rPr>
        <w:t>In addition, we have incurred and will continue to incur significant costs for professional services and other transaction costs in connection with the Asset Sale, and many of these costs are payable regardless of whether or not the Asset Sale is consummated. We may also incur material tax costs in connection with the Asset Sale, including U.S. federal, state, local or non-U.S. income or non-income taxes. Furthermore, the Cash Consideration is subject to adjustment. See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Part I, Item 1. “Business—Asset Purchase Agreement with Qoo10” for further discussion of the Cash Consideration and its calculation. If our business performance suffers or we incur increased expenses, the amount of Post-Closing Cash we have immediately following the closing of the Asset Sale may decrease pursuant to the adjustment provisions in the Asset Purchase Agreement, and the amount of Post-Closing Cash could decrease materially as a result of these adjustments, particularly if the closing is delayed beyond May 31, 2024.</w:t>
      </w:r>
    </w:p>
    <w:p>
      <w:pPr>
        <w:pStyle w:val="TextBody"/>
        <w:bidi w:val="0"/>
        <w:spacing w:before="180" w:after="283"/>
        <w:jc w:val="both"/>
        <w:rPr>
          <w:rFonts w:ascii="Arial" w:hAnsi="Arial"/>
          <w:color w:val="000000"/>
          <w:sz w:val="20"/>
        </w:rPr>
      </w:pPr>
      <w:r>
        <w:rPr>
          <w:rFonts w:ascii="Arial" w:hAnsi="Arial"/>
          <w:color w:val="000000"/>
          <w:sz w:val="20"/>
        </w:rPr>
        <w:t>Any of the foregoing could adversely affect our business, results of operations, cash flows and financial condition, and the trading price of our Class A common stock.</w:t>
      </w:r>
    </w:p>
    <w:p>
      <w:pPr>
        <w:pStyle w:val="TextBody"/>
        <w:bidi w:val="0"/>
        <w:spacing w:before="180" w:after="283"/>
        <w:jc w:val="both"/>
        <w:rPr>
          <w:rFonts w:ascii="Arial" w:hAnsi="Arial"/>
          <w:b/>
          <w:i/>
          <w:color w:val="000000"/>
          <w:sz w:val="20"/>
        </w:rPr>
      </w:pPr>
      <w:r>
        <w:rPr>
          <w:rFonts w:ascii="Arial" w:hAnsi="Arial"/>
          <w:b/>
          <w:i/>
          <w:color w:val="000000"/>
          <w:sz w:val="20"/>
        </w:rPr>
        <w:t>The Asset Purchase Agreement limits our ability to pursue alternatives to the Asset Sale.</w:t>
      </w:r>
    </w:p>
    <w:p>
      <w:pPr>
        <w:pStyle w:val="TextBody"/>
        <w:bidi w:val="0"/>
        <w:spacing w:before="180" w:after="283"/>
        <w:jc w:val="both"/>
        <w:rPr>
          <w:rFonts w:ascii="Arial" w:hAnsi="Arial"/>
          <w:color w:val="000000"/>
          <w:sz w:val="20"/>
        </w:rPr>
      </w:pPr>
      <w:r>
        <w:rPr>
          <w:rFonts w:ascii="Arial" w:hAnsi="Arial"/>
          <w:color w:val="000000"/>
          <w:sz w:val="20"/>
        </w:rPr>
        <w:t>The Asset Purchase Agreement contains non-solicitation provisions that make it substantially more difficult for us to sell our assets or engage in another type of acquisition transaction with a party other than Qoo10. Specifically, we agreed, subject to certain exceptions with respect to unsolicited bids and the exercise of fiduciary duties by our Board of Directors, not to directly or indirectly solicit competing proposals or to enter into discussions concerning, or provide confidential information in connection with, any unsolicited competing proposals. We also agreed to cease all existing discussions with third parties regarding any competing proposals.</w:t>
      </w:r>
    </w:p>
    <w:p>
      <w:pPr>
        <w:pStyle w:val="TextBody"/>
        <w:bidi w:val="0"/>
        <w:spacing w:before="180" w:after="283"/>
        <w:jc w:val="both"/>
        <w:rPr>
          <w:rFonts w:ascii="Arial" w:hAnsi="Arial"/>
          <w:color w:val="000000"/>
          <w:sz w:val="20"/>
        </w:rPr>
      </w:pPr>
      <w:r>
        <w:rPr>
          <w:rFonts w:ascii="Arial" w:hAnsi="Arial"/>
          <w:color w:val="000000"/>
          <w:sz w:val="20"/>
        </w:rPr>
        <w:t>These non-solicitation provisions, among others contained in the Asset Purchase Agreement, could discourage a third party that might have an interest in acquiring all of or substantially all of our assets or our Class A common stock from considering or proposing such an acquisition, even if that party were prepared to pay consideration with a higher value than the consideration to be paid by Qoo10.</w:t>
      </w:r>
    </w:p>
    <w:p>
      <w:pPr>
        <w:pStyle w:val="TextBody"/>
        <w:bidi w:val="0"/>
        <w:spacing w:before="180" w:after="283"/>
        <w:jc w:val="both"/>
        <w:rPr>
          <w:rFonts w:ascii="Arial" w:hAnsi="Arial"/>
          <w:b/>
          <w:i/>
          <w:color w:val="000000"/>
          <w:sz w:val="20"/>
        </w:rPr>
      </w:pPr>
      <w:r>
        <w:rPr>
          <w:rFonts w:ascii="Arial" w:hAnsi="Arial"/>
          <w:b/>
          <w:i/>
          <w:color w:val="000000"/>
          <w:sz w:val="20"/>
        </w:rPr>
        <w:t>The Asset Sale may not be completed within the intended timeframe, or at all, and the failure to complete the Asset Sale would likely adversely affect our business, results of operations, financial condition, and the trading price of our Class A common stock.</w:t>
      </w:r>
    </w:p>
    <w:p>
      <w:pPr>
        <w:pStyle w:val="TextBody"/>
        <w:bidi w:val="0"/>
        <w:spacing w:before="180" w:after="283"/>
        <w:jc w:val="both"/>
        <w:rPr>
          <w:rFonts w:ascii="Arial" w:hAnsi="Arial"/>
          <w:color w:val="000000"/>
          <w:sz w:val="20"/>
        </w:rPr>
      </w:pPr>
      <w:r>
        <w:rPr>
          <w:rFonts w:ascii="Arial" w:hAnsi="Arial"/>
          <w:color w:val="000000"/>
          <w:sz w:val="20"/>
        </w:rPr>
        <w:t>The Asset Purchase Agreement contains a number of conditions that must be satisfied or waived prior to its completion, including the approval of the Asset Purchase Agreement, the Asset Sale and the transactions contemplated by the Asset Purchase Agreement by the holders of a majority of the outstanding shares of our Class A common stock entitled to vote thereon. The Voting Agreements with the Supporting Stockholders, which collectively beneficially owned approximately 6.78% of the voting power of the outstanding Class A common stock as of February 10, 2024, require that such Supporting Stockholders vote or cause to be voted all shares of Class A common stock owned by such Supporting Stockholders in favor of any proposal to approve the Asset Purchase Agreement and against any competing proposals. Subject to certain exceptions, the Voting Agreements also contain prohibitions applicable to the Supporting Stockholders that are consistent with the non-solicitation provisions of the Asset Purchase Agreement. Notwithstanding the Voting Agreements, there can be no assurance that we will be able to obtain stockholder approval of the Asset Sale.</w:t>
      </w:r>
    </w:p>
    <w:p>
      <w:pPr>
        <w:pStyle w:val="TextBody"/>
        <w:bidi w:val="0"/>
        <w:spacing w:before="180" w:after="283"/>
        <w:jc w:val="both"/>
        <w:rPr>
          <w:rFonts w:ascii="Times New Roman" w:hAnsi="Times New Roman"/>
          <w:sz w:val="20"/>
        </w:rPr>
      </w:pPr>
      <w:r>
        <w:rPr>
          <w:rFonts w:ascii="Arial" w:hAnsi="Arial"/>
          <w:color w:val="000000"/>
          <w:sz w:val="20"/>
        </w:rPr>
        <w:t>The closing conditions to the Asset Sale may not be satisfied (or waived, if applicable), and, even if all closing conditions are satisfied (or waived, if applicable), the Asset Sale may not be completed in a timely manner or at all.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If the Asset Sale is not completed within the intended timeframe or at all, we may be subject to a number of material risks. In such instances, the trading price of our Class A common stock would likely decline to the extent that current market prices reflect a market assumption that the Asset Sale will be completed. We may also experience negative reactions from our investors, merchants, users, business partners, vendors and employees.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Upon termination of the Asset Purchase Agreement under specified circumstances, including, among others, if our Board of Directors changes its recommendation in favor of the Asset Sale or approves or recommends a competing proposal, or we fail to obtain the required stockholder approval of the Asset Sale, we would be required to make a payment to Qoo10 of $5.2 million.</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stockholders may not receive any of the proceeds of the Asset Sale.</w:t>
      </w:r>
    </w:p>
    <w:p>
      <w:pPr>
        <w:pStyle w:val="TextBody"/>
        <w:bidi w:val="0"/>
        <w:spacing w:before="180" w:after="283"/>
        <w:jc w:val="both"/>
        <w:rPr>
          <w:rFonts w:ascii="Arial" w:hAnsi="Arial"/>
          <w:color w:val="000000"/>
          <w:sz w:val="20"/>
        </w:rPr>
      </w:pPr>
      <w:r>
        <w:rPr>
          <w:rFonts w:ascii="Arial" w:hAnsi="Arial"/>
          <w:color w:val="000000"/>
          <w:sz w:val="20"/>
        </w:rPr>
        <w:t>We, and not our stockholders, will receive the proceeds from the Asset Sale. If the Asset Sale closes, we will exit the operation of our e-commerce business and other historical operations. However, we do not intend to liquidate following the closing of the Asset Sale. Our Board of Directors will evaluate alternatives for the use of the Post-Closing Cash. Those alternatives are currently expected to include using the Post-Closing Cash to fund, at least in part, the acquisition of assets that will potentially allow us to utilize our NOLs and certain other tax attributes, which will be retained by us, as discussed elsewhere in this Annual Report on Form 10-K.</w:t>
      </w:r>
    </w:p>
    <w:p>
      <w:pPr>
        <w:pStyle w:val="TextBody"/>
        <w:bidi w:val="0"/>
        <w:spacing w:before="180" w:after="283"/>
        <w:jc w:val="both"/>
        <w:rPr>
          <w:rFonts w:ascii="Times New Roman" w:hAnsi="Times New Roman"/>
          <w:sz w:val="20"/>
        </w:rPr>
      </w:pPr>
      <w:r>
        <w:rPr>
          <w:rFonts w:ascii="Arial" w:hAnsi="Arial"/>
          <w:color w:val="000000"/>
          <w:sz w:val="20"/>
        </w:rPr>
        <w:t>Although the alternatives under evaluation by our Board of Directors for the use of the proceeds from the Asset Sale include funding, at least in part, the acquisition of assets that will potentially allow us to utilize our NOLs and certain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other tax attributes, there can be no guarantee that suitable assets will be available for us to purchase or that any assets acquired will generate the revenues anticipated or any revenue at all. If we are not able to acquire suitable assets, the value of our remaining tax attributes will be limited and may be worthless.</w:t>
      </w:r>
    </w:p>
    <w:p>
      <w:pPr>
        <w:pStyle w:val="TextBody"/>
        <w:bidi w:val="0"/>
        <w:spacing w:before="180" w:after="283"/>
        <w:jc w:val="both"/>
        <w:rPr>
          <w:rFonts w:ascii="Arial" w:hAnsi="Arial"/>
          <w:b/>
          <w:i/>
          <w:color w:val="000000"/>
          <w:sz w:val="20"/>
        </w:rPr>
      </w:pPr>
      <w:r>
        <w:rPr>
          <w:rFonts w:ascii="Arial" w:hAnsi="Arial"/>
          <w:b/>
          <w:i/>
          <w:color w:val="000000"/>
          <w:sz w:val="20"/>
        </w:rPr>
        <w:t>Stockholder litigation could prevent or delay the closing of the Asset Sale or otherwise negatively impact our business, operating results and financial condition.</w:t>
      </w:r>
    </w:p>
    <w:p>
      <w:pPr>
        <w:pStyle w:val="TextBody"/>
        <w:bidi w:val="0"/>
        <w:spacing w:before="180" w:after="283"/>
        <w:jc w:val="both"/>
        <w:rPr>
          <w:rFonts w:ascii="Arial" w:hAnsi="Arial"/>
          <w:color w:val="000000"/>
          <w:sz w:val="20"/>
        </w:rPr>
      </w:pPr>
      <w:r>
        <w:rPr>
          <w:rFonts w:ascii="Arial" w:hAnsi="Arial"/>
          <w:color w:val="000000"/>
          <w:sz w:val="20"/>
        </w:rPr>
        <w:t>We may incur additional costs in connection with the defense or settlement of any stockholder litigation relating to the Asset Sale. Such litigation may adversely affect our ability to complete the Asset Sale. We could incur significant costs in connection with any such litigation, including costs associated with our indemnification obligations to our directors.</w:t>
      </w:r>
    </w:p>
    <w:p>
      <w:pPr>
        <w:pStyle w:val="TextBody"/>
        <w:bidi w:val="0"/>
        <w:spacing w:before="180" w:after="283"/>
        <w:jc w:val="both"/>
        <w:rPr>
          <w:rFonts w:ascii="Arial" w:hAnsi="Arial"/>
          <w:b/>
          <w:color w:val="000000"/>
          <w:sz w:val="20"/>
          <w:u w:val="single"/>
        </w:rPr>
      </w:pPr>
      <w:r>
        <w:rPr>
          <w:rFonts w:ascii="Arial" w:hAnsi="Arial"/>
          <w:b/>
          <w:color w:val="000000"/>
          <w:sz w:val="20"/>
          <w:u w:val="single"/>
        </w:rPr>
        <w:t>Risks Related to Our Future Operations</w:t>
      </w:r>
    </w:p>
    <w:p>
      <w:pPr>
        <w:pStyle w:val="TextBody"/>
        <w:bidi w:val="0"/>
        <w:spacing w:before="180" w:after="283"/>
        <w:jc w:val="both"/>
        <w:rPr>
          <w:rFonts w:ascii="Arial" w:hAnsi="Arial"/>
          <w:b/>
          <w:i/>
          <w:color w:val="000000"/>
          <w:sz w:val="20"/>
        </w:rPr>
      </w:pPr>
      <w:r>
        <w:rPr>
          <w:rFonts w:ascii="Arial" w:hAnsi="Arial"/>
          <w:b/>
          <w:i/>
          <w:color w:val="000000"/>
          <w:sz w:val="20"/>
        </w:rPr>
        <w:t>We will have no material operations and no material sources of revenue following the Asset Sale, which may negatively impact the value and liquidity of our Class A common stock.</w:t>
      </w:r>
    </w:p>
    <w:p>
      <w:pPr>
        <w:pStyle w:val="TextBody"/>
        <w:bidi w:val="0"/>
        <w:spacing w:before="180" w:after="283"/>
        <w:jc w:val="both"/>
        <w:rPr>
          <w:rFonts w:ascii="Arial" w:hAnsi="Arial"/>
          <w:color w:val="000000"/>
          <w:sz w:val="20"/>
        </w:rPr>
      </w:pPr>
      <w:r>
        <w:rPr>
          <w:rFonts w:ascii="Arial" w:hAnsi="Arial"/>
          <w:color w:val="000000"/>
          <w:sz w:val="20"/>
        </w:rPr>
        <w:t>Upon the closing of the Asset Sale, we will have our NOLs and the Post-Closing Cash, and our shares of Class A common stock will still be publicly traded. However, until we deploy the Post-Closing Cash and/or otherwise monetize our NOLs, we will have no material sources of revenue. Although the alternatives under evaluation by our Board of Directors for the use of the Post-Closing Cash include funding, at least in part, the acquisition of assets that will potentially allow us to utilize our NOLs and certain other tax attributes, there can be no guarantee that suitable assets will be available for us to purchase or that any assets acquired will generate the revenues anticipated or any revenue at all. If we are not able to acquire suitable assets, the value of our remaining tax attributes will be limited and may be worthless. A failure by us to secure additional sources of revenue following the closing of the Asset Sale could negatively impact the value and liquidity of our Class A common stock.</w:t>
      </w:r>
    </w:p>
    <w:p>
      <w:pPr>
        <w:pStyle w:val="TextBody"/>
        <w:bidi w:val="0"/>
        <w:spacing w:before="180" w:after="283"/>
        <w:jc w:val="both"/>
        <w:rPr>
          <w:rFonts w:ascii="Arial" w:hAnsi="Arial"/>
          <w:b/>
          <w:i/>
          <w:color w:val="000000"/>
          <w:sz w:val="20"/>
        </w:rPr>
      </w:pPr>
      <w:r>
        <w:rPr>
          <w:rFonts w:ascii="Arial" w:hAnsi="Arial"/>
          <w:b/>
          <w:i/>
          <w:color w:val="000000"/>
          <w:sz w:val="20"/>
        </w:rPr>
        <w:t>The uncertainty regarding the use of proceeds from the Asset Sale and our future operations may negatively impact the value and liquidity of our Class A common stock.</w:t>
      </w:r>
    </w:p>
    <w:p>
      <w:pPr>
        <w:pStyle w:val="TextBody"/>
        <w:bidi w:val="0"/>
        <w:spacing w:before="180" w:after="283"/>
        <w:jc w:val="both"/>
        <w:rPr>
          <w:rFonts w:ascii="Arial" w:hAnsi="Arial"/>
          <w:color w:val="000000"/>
          <w:sz w:val="20"/>
        </w:rPr>
      </w:pPr>
      <w:r>
        <w:rPr>
          <w:rFonts w:ascii="Arial" w:hAnsi="Arial"/>
          <w:color w:val="000000"/>
          <w:sz w:val="20"/>
        </w:rPr>
        <w:t>Assuming the Asset Sale is consummated, we will have broad discretion regarding the use of proceeds from the Asset Sale. Although our Board of Directors will evaluate various alternatives regarding the use of the proceeds from the Asset Sale with a goal to maximize the value of our NOLs, it has not yet identified any particular acquisitions or investments or committed to making any such decision by a particular date. This uncertainty may negatively impact the value and liquidity of our Class A common stock.</w:t>
      </w:r>
    </w:p>
    <w:p>
      <w:pPr>
        <w:pStyle w:val="TextBody"/>
        <w:bidi w:val="0"/>
        <w:spacing w:before="180" w:after="283"/>
        <w:jc w:val="both"/>
        <w:rPr>
          <w:rFonts w:ascii="Arial" w:hAnsi="Arial"/>
          <w:b/>
          <w:i/>
          <w:color w:val="000000"/>
          <w:sz w:val="20"/>
        </w:rPr>
      </w:pPr>
      <w:r>
        <w:rPr>
          <w:rFonts w:ascii="Arial" w:hAnsi="Arial"/>
          <w:b/>
          <w:i/>
          <w:color w:val="000000"/>
          <w:sz w:val="20"/>
        </w:rPr>
        <w:t>We will continue to incur the expense of complying with public company reporting requirements following the closing of the Asset Sale.</w:t>
      </w:r>
    </w:p>
    <w:p>
      <w:pPr>
        <w:pStyle w:val="TextBody"/>
        <w:bidi w:val="0"/>
        <w:spacing w:before="180" w:after="283"/>
        <w:jc w:val="both"/>
        <w:rPr>
          <w:rFonts w:ascii="Arial" w:hAnsi="Arial"/>
          <w:color w:val="000000"/>
          <w:sz w:val="20"/>
        </w:rPr>
      </w:pPr>
      <w:r>
        <w:rPr>
          <w:rFonts w:ascii="Arial" w:hAnsi="Arial"/>
          <w:color w:val="000000"/>
          <w:sz w:val="20"/>
        </w:rPr>
        <w:t>After the Asset Sale, we will continue to be required to comply with the applicable reporting requirements of the Exchange Act, and such compliance with such reporting requirements is economically burdensome and will require our management’s time and attention.</w:t>
      </w:r>
    </w:p>
    <w:p>
      <w:pPr>
        <w:pStyle w:val="TextBody"/>
        <w:bidi w:val="0"/>
        <w:spacing w:before="180" w:after="283"/>
        <w:jc w:val="both"/>
        <w:rPr>
          <w:rFonts w:ascii="Times New Roman" w:hAnsi="Times New Roman"/>
          <w:sz w:val="20"/>
        </w:rPr>
      </w:pPr>
      <w:r>
        <w:rPr>
          <w:rFonts w:ascii="Arial" w:hAnsi="Arial"/>
          <w:b/>
          <w:color w:val="000000"/>
          <w:sz w:val="20"/>
          <w:u w:val="single"/>
        </w:rPr>
        <w:t>Risks Related to Our Class A Common Stock</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We completed a reverse stock split in order to regain compliance with the listing requirements of the Nasdaq Global Select Market, but there is no assurance that the reverse stock split will result in us remaining compliant with such listing requirements.</w:t>
      </w:r>
    </w:p>
    <w:p>
      <w:pPr>
        <w:pStyle w:val="TextBody"/>
        <w:bidi w:val="0"/>
        <w:spacing w:before="180" w:after="283"/>
        <w:jc w:val="both"/>
        <w:rPr>
          <w:rFonts w:ascii="Arial" w:hAnsi="Arial"/>
          <w:color w:val="000000"/>
          <w:sz w:val="20"/>
        </w:rPr>
      </w:pPr>
      <w:r>
        <w:rPr>
          <w:rFonts w:ascii="Arial" w:hAnsi="Arial"/>
          <w:color w:val="000000"/>
          <w:sz w:val="20"/>
        </w:rPr>
        <w:t>Our Class A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pStyle w:val="TextBody"/>
        <w:bidi w:val="0"/>
        <w:spacing w:before="180" w:after="283"/>
        <w:jc w:val="both"/>
        <w:rPr>
          <w:rFonts w:ascii="Arial" w:hAnsi="Arial"/>
          <w:color w:val="000000"/>
          <w:sz w:val="20"/>
        </w:rPr>
      </w:pPr>
      <w:r>
        <w:rPr>
          <w:rFonts w:ascii="Arial" w:hAnsi="Arial"/>
          <w:color w:val="000000"/>
          <w:sz w:val="20"/>
        </w:rPr>
        <w:t>On April 10, 2023, following stockholder approval, our Board of Directors approved a 1-for-30 reverse stock split of our issued and outstanding shares of common stock. On April 12, 2023, our common stock began trading on a split-adjusted basis on the Nasdaq Global Select Market.</w:t>
      </w:r>
    </w:p>
    <w:p>
      <w:pPr>
        <w:pStyle w:val="TextBody"/>
        <w:bidi w:val="0"/>
        <w:spacing w:before="180" w:after="283"/>
        <w:jc w:val="both"/>
        <w:rPr>
          <w:rFonts w:ascii="Arial" w:hAnsi="Arial"/>
          <w:color w:val="000000"/>
          <w:sz w:val="20"/>
        </w:rPr>
      </w:pPr>
      <w:r>
        <w:rPr>
          <w:rFonts w:ascii="Arial" w:hAnsi="Arial"/>
          <w:color w:val="000000"/>
          <w:sz w:val="20"/>
        </w:rPr>
        <w:t>Although as of April 26, 2023, we regained compliance with the Minimum Bid Price Requirement, there can be no assurance that we will remain in compliance with the Minimum Bid Price Requirement or will otherwise be in compliance with other Nasdaq listing rules.</w:t>
      </w:r>
    </w:p>
    <w:p>
      <w:pPr>
        <w:pStyle w:val="TextBody"/>
        <w:bidi w:val="0"/>
        <w:spacing w:before="180" w:after="283"/>
        <w:jc w:val="both"/>
        <w:rPr>
          <w:rFonts w:ascii="Arial" w:hAnsi="Arial"/>
          <w:b/>
          <w:i/>
          <w:color w:val="000000"/>
          <w:sz w:val="20"/>
        </w:rPr>
      </w:pPr>
      <w:r>
        <w:rPr>
          <w:rFonts w:ascii="Arial" w:hAnsi="Arial"/>
          <w:b/>
          <w:i/>
          <w:color w:val="000000"/>
          <w:sz w:val="20"/>
        </w:rPr>
        <w:t>We completed a 1-for-30 reverse stock split of our shares of common stock, which may reduce and limit the market trading liquidity of the shares due to the reduced number of shares outstanding.</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Effective April 11, 2023, we completed a reverse stock split of our common stock by a ratio of 1-for-30. As a result, the liquidity of our Class A common stock may be adversely affected by the reverse stock split due to the reduced number of shares outstanding following such reverse stock split. Absent other factors, reducing the number of outstanding shares of our common stock through the reverse stock split is intended to increase the per-share market price of our Class A common stock. However, a reduction in the liquidity of our Class A common stock as well as other factors, including our financial and operating results, strategic direction, market conditions, and market perception may adversely affect the market price of our Class A common stock. As such, there can be no assurance that the reverse stock split will result in an increase in the market price of our Class A common stock, and such market price may also decrease in the future.</w:t>
      </w:r>
    </w:p>
    <w:p>
      <w:pPr>
        <w:pStyle w:val="TextBody"/>
        <w:bidi w:val="0"/>
        <w:spacing w:before="180" w:after="283"/>
        <w:jc w:val="both"/>
        <w:rPr>
          <w:rFonts w:ascii="Arial" w:hAnsi="Arial"/>
          <w:b/>
          <w:i/>
          <w:color w:val="000000"/>
          <w:sz w:val="20"/>
        </w:rPr>
      </w:pPr>
      <w:r>
        <w:rPr>
          <w:rFonts w:ascii="Arial" w:hAnsi="Arial"/>
          <w:b/>
          <w:i/>
          <w:color w:val="000000"/>
          <w:sz w:val="20"/>
        </w:rPr>
        <w:t>Our Tax Benefits Preservation Plan may reduce the volume of trading in our Class A common stock because it limits the ability of persons or entities from acquiring a significant percentage of our outstanding Class A common stock.</w:t>
      </w:r>
    </w:p>
    <w:p>
      <w:pPr>
        <w:pStyle w:val="TextBody"/>
        <w:bidi w:val="0"/>
        <w:spacing w:before="180" w:after="283"/>
        <w:jc w:val="both"/>
        <w:rPr>
          <w:rFonts w:ascii="Times New Roman" w:hAnsi="Times New Roman"/>
          <w:sz w:val="20"/>
        </w:rPr>
      </w:pPr>
      <w:r>
        <w:rPr>
          <w:rFonts w:ascii="Arial" w:hAnsi="Arial"/>
          <w:color w:val="000000"/>
          <w:sz w:val="20"/>
        </w:rPr>
        <w:t>Our Tax Benefits Preservation Plan is designed to preserve the value of certain tax assets associated with NOL carryforwards under Section 382 of the Code. The inability of some stockholders to acquire a significant position in our Class A common stock could substantially reduce the market liquidity of our Class A common stock, making it more difficult for a stockholder to dispose of, or obtain accurate quotations for the price of, our Class A common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The price of our Class A common stock has been and continues to be volatile. Declines in the price of our Class A common stock has resulted in and could subject us to future litigation.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operating results and other financial and operational metrics, including the key financial and operating metrics disclosed in this report, as well as how those results and metrics compare to analyst and investor expectations;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speculation about our operating results in the absence of our own financial projections;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of analysts to initiate or maintain coverage of our company, changes in their estimates of our operating results or changes in recommendations by analysts that follow our Class A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announcements of new services or enhancements, strategic alliances or significant agreements or other developments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announcements by us or our competitors of mergers or acquisitions or rumors of such transactions involving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our senior management or other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disruptions in our platform due to hardware, software or network problems, security breaches or other issues;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strength of the global economy or the economy in the jurisdictions in which we operate, and market conditions in our industry and those affecting our merchants and users;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trading activity by our principal stockholders and other market participants, in whom ownership of our Class A common stock may be concentrated following our IPO;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legal or regulatory requirements relating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other claims against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or perceived impact of our 30-for-1 reverse stock split;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shares of our Class A common stock that are available for public trading;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any other factors discussed in this report. </w:t>
      </w:r>
    </w:p>
    <w:p>
      <w:pPr>
        <w:pStyle w:val="TextBody"/>
        <w:bidi w:val="0"/>
        <w:spacing w:before="180" w:after="283"/>
        <w:jc w:val="both"/>
        <w:rPr>
          <w:rFonts w:ascii="Times New Roman" w:hAnsi="Times New Roman"/>
          <w:sz w:val="20"/>
        </w:rPr>
      </w:pPr>
      <w:r>
        <w:rPr>
          <w:rFonts w:ascii="Arial" w:hAnsi="Arial"/>
          <w:color w:val="000000"/>
          <w:sz w:val="20"/>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pStyle w:val="TextBody"/>
        <w:bidi w:val="0"/>
        <w:spacing w:before="180" w:after="283"/>
        <w:jc w:val="both"/>
        <w:rPr>
          <w:rFonts w:ascii="Arial" w:hAnsi="Arial"/>
          <w:b/>
          <w:i/>
          <w:color w:val="000000"/>
          <w:sz w:val="20"/>
        </w:rPr>
      </w:pPr>
      <w:r>
        <w:rPr>
          <w:rFonts w:ascii="Arial" w:hAnsi="Arial"/>
          <w:b/>
          <w:i/>
          <w:color w:val="000000"/>
          <w:sz w:val="20"/>
        </w:rPr>
        <w:t>Our actual operating results may differ significantly from our outlook.</w:t>
      </w:r>
    </w:p>
    <w:p>
      <w:pPr>
        <w:pStyle w:val="TextBody"/>
        <w:bidi w:val="0"/>
        <w:spacing w:before="180" w:after="283"/>
        <w:jc w:val="both"/>
        <w:rPr>
          <w:rFonts w:ascii="Arial" w:hAnsi="Arial"/>
          <w:color w:val="000000"/>
          <w:sz w:val="20"/>
        </w:rPr>
      </w:pPr>
      <w:r>
        <w:rPr>
          <w:rFonts w:ascii="Arial" w:hAnsi="Arial"/>
          <w:color w:val="000000"/>
          <w:sz w:val="20"/>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pStyle w:val="TextBody"/>
        <w:bidi w:val="0"/>
        <w:spacing w:before="180" w:after="283"/>
        <w:jc w:val="both"/>
        <w:rPr>
          <w:rFonts w:ascii="Arial" w:hAnsi="Arial"/>
          <w:color w:val="000000"/>
          <w:sz w:val="20"/>
        </w:rPr>
      </w:pPr>
      <w:r>
        <w:rPr>
          <w:rFonts w:ascii="Arial" w:hAnsi="Arial"/>
          <w:color w:val="000000"/>
          <w:sz w:val="20"/>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pStyle w:val="TextBody"/>
        <w:bidi w:val="0"/>
        <w:spacing w:before="180" w:after="283"/>
        <w:jc w:val="both"/>
        <w:rPr>
          <w:rFonts w:ascii="Arial" w:hAnsi="Arial"/>
          <w:color w:val="000000"/>
          <w:sz w:val="20"/>
        </w:rPr>
      </w:pPr>
      <w:r>
        <w:rPr>
          <w:rFonts w:ascii="Arial" w:hAnsi="Arial"/>
          <w:color w:val="000000"/>
          <w:sz w:val="20"/>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pStyle w:val="TextBody"/>
        <w:bidi w:val="0"/>
        <w:spacing w:before="180" w:after="283"/>
        <w:jc w:val="both"/>
        <w:rPr>
          <w:rFonts w:ascii="Arial" w:hAnsi="Arial"/>
          <w:color w:val="000000"/>
          <w:sz w:val="20"/>
        </w:rPr>
      </w:pPr>
      <w:r>
        <w:rPr>
          <w:rFonts w:ascii="Arial" w:hAnsi="Arial"/>
          <w:color w:val="000000"/>
          <w:sz w:val="20"/>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pStyle w:val="TextBody"/>
        <w:bidi w:val="0"/>
        <w:spacing w:before="180" w:after="283"/>
        <w:jc w:val="both"/>
        <w:rPr>
          <w:rFonts w:ascii="Times New Roman" w:hAnsi="Times New Roman"/>
          <w:sz w:val="20"/>
        </w:rPr>
      </w:pPr>
      <w:r>
        <w:rPr>
          <w:rFonts w:ascii="Arial" w:hAnsi="Arial"/>
          <w:b/>
          <w:i/>
          <w:color w:val="000000"/>
          <w:sz w:val="20"/>
        </w:rPr>
        <w:t>Future sales and issuances of our Class A common stock or rights to purchase Class A common stock could result in additional dilution to our stockholders and could cause the price of our Class A common stock to decline.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may issue additional Class A common stock, convertible securities or other equity. We also expect to issue Class A common stock to our employees, directors and other service providers pursuant to our equity incentive plans. Such issuances could be dilutive to investors and could cause the price of our Class A common stock to decline. New investors in such issuances could also receive rights senior to those of holders of our Class A common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before="180" w:after="283"/>
        <w:jc w:val="both"/>
        <w:rPr>
          <w:rFonts w:ascii="Times New Roman" w:hAnsi="Times New Roman"/>
          <w:sz w:val="20"/>
        </w:rPr>
      </w:pPr>
      <w:r>
        <w:rPr>
          <w:rFonts w:ascii="Arial" w:hAnsi="Arial"/>
          <w:b/>
          <w:i/>
          <w:color w:val="000000"/>
          <w:sz w:val="20"/>
        </w:rPr>
        <w:t>Anti-takeover provisions in our charter documents and under Delaware law could make an acquisition of our company more difficult, could limit attempts to make changes in our management and could depress the price of our Class A common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Provisions in our certificate of incorporation and bylaws may have the effect of delaying or preventing a change in control of our company or limiting changes in our management. In August 2022, Piotr Szulczewski, our founder and member of our Board of Directors until his resignation in August 2022, converted all shares of Class B common stock he held into the same number of shares of Class A common stock. Immediately following such conversion, Mr. Szulczewski’s voting power decreased to approximately 8% of the voting power of our outstanding common stock (not including outstanding options that are immediately exercisable). Additionally, following such conversion the outstanding shares of our Class B common stock constituted less than 1% of our outstanding shares of our common stock. This resulted in all other shares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Class B common stock converting automatically into the same number of shares of Class A common stock. Among other things, the provisions in our certificate of incorporation and bylaws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our Board of Directors became classified into three classes of directors with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directors are now able to be removed only for cause and only by the affirmative vote of the holders of at least two-thirds of the voting power of our common stock. Vacancies on our Board of Directors will be able to be filled only by our Board of Directors and not by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certain amendments to our certificate of incorporation or bylaws will require the approval of two-thirds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authorization of the issuance of “blank check” preferred stock that our Board of Directors could use to implement a stockholder rights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conversion noted above, our stockholders are now only able to take action at a meeting of stockholders and not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stockholders may not call special meetings of the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is expressly authorized to amend or repeal any provision of our bylaws;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that the forum for certain litigation against us must be Delaware or the U.S. federal district courts;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advance notice requirements for nominations for election to our Board of Directors or for proposing matters that can be acted upon by stockholders at annual stockholder meetings. </w:t>
      </w:r>
    </w:p>
    <w:p>
      <w:pPr>
        <w:pStyle w:val="TextBody"/>
        <w:bidi w:val="0"/>
        <w:spacing w:before="180" w:after="283"/>
        <w:jc w:val="both"/>
        <w:rPr>
          <w:rFonts w:ascii="Arial" w:hAnsi="Arial"/>
          <w:color w:val="000000"/>
          <w:sz w:val="20"/>
        </w:rPr>
      </w:pPr>
      <w:r>
        <w:rPr>
          <w:rFonts w:ascii="Arial" w:hAnsi="Arial"/>
          <w:color w:val="000000"/>
          <w:sz w:val="20"/>
        </w:rPr>
        <w:t>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pStyle w:val="TextBody"/>
        <w:bidi w:val="0"/>
        <w:spacing w:before="180" w:after="283"/>
        <w:jc w:val="both"/>
        <w:rPr>
          <w:rFonts w:ascii="Times New Roman" w:hAnsi="Times New Roman"/>
          <w:sz w:val="20"/>
        </w:rPr>
      </w:pPr>
      <w:r>
        <w:rPr>
          <w:rFonts w:ascii="Arial" w:hAnsi="Arial"/>
          <w:b/>
          <w:i/>
          <w:color w:val="000000"/>
          <w:sz w:val="20"/>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These exclusive-forum provisions may limit a stockholder’s ability to bring a claim in a judicial forum that it finds favorable for disputes with us or our directors, officers, or other employees. If a court were to find either exclusive forum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provision of our certificate of incorporation to be inapplicable to or unenforceable in an action, we may incur further significant additional costs associated with resolving the dispute in other jurisdictions, all of which could seriously harm our business.</w:t>
      </w:r>
    </w:p>
    <w:p>
      <w:pPr>
        <w:pStyle w:val="TextBody"/>
        <w:bidi w:val="0"/>
        <w:spacing w:before="180" w:after="283"/>
        <w:jc w:val="both"/>
        <w:rPr>
          <w:rFonts w:ascii="Times New Roman" w:hAnsi="Times New Roman"/>
          <w:sz w:val="20"/>
        </w:rPr>
      </w:pPr>
      <w:r>
        <w:rPr>
          <w:rFonts w:ascii="Arial" w:hAnsi="Arial"/>
          <w:b/>
          <w:i/>
          <w:color w:val="000000"/>
          <w:sz w:val="20"/>
        </w:rPr>
        <w:t>We do not intend to pay dividends on our capital stock, so any returns will be limited to increases in the value of our Class A common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General Risk Factors</w:t>
      </w:r>
    </w:p>
    <w:p>
      <w:pPr>
        <w:pStyle w:val="TextBody"/>
        <w:bidi w:val="0"/>
        <w:spacing w:before="180" w:after="283"/>
        <w:jc w:val="both"/>
        <w:rPr>
          <w:rFonts w:ascii="Times New Roman" w:hAnsi="Times New Roman"/>
          <w:sz w:val="20"/>
        </w:rPr>
      </w:pPr>
      <w:r>
        <w:rPr>
          <w:rFonts w:ascii="Arial" w:hAnsi="Arial"/>
          <w:b/>
          <w:i/>
          <w:color w:val="000000"/>
          <w:sz w:val="20"/>
        </w:rPr>
        <w:t>Our quarterly and annual operating results may fluctuate, which could cause our stock price to decline.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quarterly and annual operating results may fluctuate for a variety of reasons, many of which are beyond our control. These reasons include those described in this “Risk Factors” section as well as the following: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amount and timing of our sales and marketing costs;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user acquisition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traffic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selling prices on our platform and the percentage of revenue we retain from the sale of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mix of products listed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fraud, including the sale of counterfeit goods, and refunds, including our response to these areas;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continued impact from public health crises such as COVID-19, including the effects of phasing out of governmental measures, decreased online activity, and phasing out of government stimulus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merchant advertising on our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disruptions in supply or shipment of products listed on our platform, especially from China where most of our merchants are currently located;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actions of app stores and advertising platforms such as Meta and Google;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seasonality;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fluctuations in exchange rates;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amount and timing of our other operating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expiration of expiration of contractual lock-up agreements and market standoff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impact of competitive developments and our response to those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carrier policies and pricing and resulting higher logistics costs;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perceived disruptions or defects in our platform, such as data security breaches or outages;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laws and regulations that impact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tax laws in the jurisdictions in which we operate;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political, economic, and market conditions, particularly those affecting our industry. </w:t>
      </w:r>
    </w:p>
    <w:p>
      <w:pPr>
        <w:pStyle w:val="TextBody"/>
        <w:bidi w:val="0"/>
        <w:spacing w:before="180" w:after="283"/>
        <w:jc w:val="both"/>
        <w:rPr>
          <w:rFonts w:ascii="Times New Roman" w:hAnsi="Times New Roman"/>
          <w:sz w:val="20"/>
        </w:rPr>
      </w:pPr>
      <w:r>
        <w:rPr>
          <w:rFonts w:ascii="Arial" w:hAnsi="Arial"/>
          <w:color w:val="000000"/>
          <w:sz w:val="20"/>
        </w:rPr>
        <w:t>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we believe that our quarterly and annual operating results may vary in the future and that period-to-period comparisons of our operating results may not be meaningful. For example, our historical growth may have overshadowed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seasonal effects on our historical operating results. These seasonal effects may become more pronounced over time, which could also cause our operating results to fluctuate. You should not rely on the results of one quarter or one year as an indication of future performance.</w:t>
      </w:r>
    </w:p>
    <w:p>
      <w:pPr>
        <w:pStyle w:val="TextBody"/>
        <w:bidi w:val="0"/>
        <w:spacing w:before="180" w:after="283"/>
        <w:jc w:val="both"/>
        <w:rPr>
          <w:rFonts w:ascii="Times New Roman" w:hAnsi="Times New Roman"/>
          <w:sz w:val="20"/>
        </w:rPr>
      </w:pPr>
      <w:r>
        <w:rPr>
          <w:rFonts w:ascii="Arial" w:hAnsi="Arial"/>
          <w:b/>
          <w:i/>
          <w:color w:val="000000"/>
          <w:sz w:val="20"/>
        </w:rPr>
        <w:t>Seasonality may cause fluctuations in our operating results.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historically experienced some slowdown in merchant activity in late January or early February due to our China-based merchants celebrating the Chinese New Year holiday.</w:t>
      </w:r>
    </w:p>
    <w:p>
      <w:pPr>
        <w:pStyle w:val="TextBody"/>
        <w:bidi w:val="0"/>
        <w:spacing w:before="180" w:after="283"/>
        <w:jc w:val="both"/>
        <w:rPr>
          <w:rFonts w:ascii="Times New Roman" w:hAnsi="Times New Roman"/>
          <w:sz w:val="20"/>
        </w:rPr>
      </w:pPr>
      <w:r>
        <w:rPr>
          <w:rFonts w:ascii="Arial" w:hAnsi="Arial"/>
          <w:b/>
          <w:i/>
          <w:color w:val="000000"/>
          <w:sz w:val="20"/>
        </w:rPr>
        <w:t>Catastrophic events may disrupt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Natural disasters or other catastrophic events, which may become more frequent,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may be subject to tax-related controversies.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may also be subject to tax controversies in the U.S.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as a result of our disclosure obligations as a public company, we have reduced flexibility and are under pressure to focus on short-term results, which may adversely affect our ability to achieve long-term profitability.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If our estimates or judgments relating to our critical accounting policies prove to be incorrect or financial reporting standards or interpretations change, our operating results could be adversely affected.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Item 7,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spacing w:before="180" w:after="283"/>
        <w:jc w:val="both"/>
        <w:rPr>
          <w:rFonts w:ascii="Arial" w:hAnsi="Arial"/>
          <w:color w:val="000000"/>
          <w:sz w:val="20"/>
        </w:rPr>
      </w:pPr>
      <w:r>
        <w:rPr>
          <w:rFonts w:ascii="Arial" w:hAnsi="Arial"/>
          <w:color w:val="000000"/>
          <w:sz w:val="20"/>
        </w:rPr>
        <w:t>Across all industries, companies are facing increased scrutiny related to their environmental, social and governance (“ESG”) practices and reporting. Certain investors, customers, employees and other stakeholders have focused increasingly on ESG practices and have begun placing increasing importance on the implications and social cost of their investments, purchases and other interactions with companies. With this increased focus and demand, public reporting regarding ESG practices is becoming more broadly expected. If our ESG practices and reporting do not meet investor, customer or employee expectations, which continue to rapidly evolve, our brand, reputation and customer retention may be negatively impacted.</w:t>
      </w:r>
    </w:p>
    <w:p>
      <w:pPr>
        <w:pStyle w:val="TextBody"/>
        <w:bidi w:val="0"/>
        <w:spacing w:before="180" w:after="283"/>
        <w:jc w:val="both"/>
        <w:rPr>
          <w:rFonts w:ascii="Times New Roman" w:hAnsi="Times New Roman"/>
          <w:sz w:val="20"/>
        </w:rPr>
      </w:pPr>
      <w:r>
        <w:rPr>
          <w:rFonts w:ascii="Arial" w:hAnsi="Arial"/>
          <w:color w:val="000000"/>
          <w:sz w:val="20"/>
        </w:rPr>
        <w:t>Our ability to achieve any ESG objective is subject to numerous risks, many of which are outside of our control. Examples of such risks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and cost of low- or non-carbon based energy 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evolving regulatory requirements affecting ESG standards or disclosures;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suppliers that can meet our sustainability, diversity and other ESG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merchants using our platform to meet our sustainability, diversity, and other ESG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enforce and monitor our merchants’ compliance with our sustainability, diversity, and other ESG standards;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recruit, develop and retain diverse talent in our labor markets.</w:t>
      </w:r>
    </w:p>
    <w:p>
      <w:pPr>
        <w:pStyle w:val="TextBody"/>
        <w:bidi w:val="0"/>
        <w:spacing w:before="180" w:after="283"/>
        <w:jc w:val="both"/>
        <w:rPr>
          <w:rFonts w:ascii="Arial" w:hAnsi="Arial"/>
          <w:color w:val="000000"/>
          <w:sz w:val="20"/>
        </w:rPr>
      </w:pPr>
      <w:r>
        <w:rPr>
          <w:rFonts w:ascii="Arial" w:hAnsi="Arial"/>
          <w:color w:val="000000"/>
          <w:sz w:val="20"/>
        </w:rPr>
        <w:t>If we fail, or are perceived to be failing, to meet the standards included in any sustainability disclosure or the expectations of our various stakeholders, it could negatively impact our reputation, customer acquisition and retention, access to capital and employee retention. In addition, new sustainability rules and regulations have been adopted and may continue to be introduced by the SEC as well as in various states and other jurisdictions, and our failure to comply with any applicable rules or regulations, including new SEC disclosure requirements, could lead to penalties and adversely impact our reputation, customer acquisition and retention, access to capital and employee retention.</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If analysts do not publish research about our business or if they publish inaccurate or unfavorable research, our stock price and trading volume could decline.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trading volume may decline. Similar results may occur if one or more of these analysts stop covering us in the future or fail to publish reports on us regularly.</w:t>
      </w:r>
    </w:p>
    <w:p>
      <w:pPr>
        <w:pStyle w:val="TextBody"/>
        <w:bidi w:val="0"/>
        <w:spacing w:before="180" w:after="283"/>
        <w:jc w:val="both"/>
        <w:rPr>
          <w:rFonts w:ascii="Arial" w:hAnsi="Arial"/>
          <w:b/>
          <w:i/>
          <w:color w:val="000000"/>
          <w:sz w:val="20"/>
        </w:rPr>
      </w:pPr>
      <w:r>
        <w:rPr>
          <w:rFonts w:ascii="Arial" w:hAnsi="Arial"/>
          <w:b/>
          <w:i/>
          <w:color w:val="000000"/>
          <w:sz w:val="20"/>
        </w:rPr>
        <w:t>We are a smaller reporting company, and any decision on our part to comply only with reduced reporting and disclosure requirements applicable to such companies could make our ordinary shares less attractive to investors.</w:t>
      </w:r>
    </w:p>
    <w:p>
      <w:pPr>
        <w:pStyle w:val="TextBody"/>
        <w:bidi w:val="0"/>
        <w:spacing w:before="180" w:after="283"/>
        <w:jc w:val="both"/>
        <w:rPr>
          <w:rFonts w:ascii="Arial" w:hAnsi="Arial"/>
          <w:color w:val="000000"/>
          <w:sz w:val="20"/>
        </w:rPr>
      </w:pPr>
      <w:r>
        <w:rPr>
          <w:rFonts w:ascii="Arial" w:hAnsi="Arial"/>
          <w:color w:val="000000"/>
          <w:sz w:val="20"/>
        </w:rPr>
        <w:t>As of June 30, 2023, we qualified as a “smaller reporting company,” as defined in the Exchange Act.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pStyle w:val="TextBody"/>
        <w:bidi w:val="0"/>
        <w:spacing w:before="180" w:after="283"/>
        <w:jc w:val="both"/>
        <w:rPr>
          <w:rFonts w:ascii="Arial" w:hAnsi="Arial"/>
          <w:color w:val="000000"/>
          <w:sz w:val="20"/>
        </w:rPr>
      </w:pPr>
      <w:r>
        <w:rPr>
          <w:rFonts w:ascii="Arial" w:hAnsi="Arial"/>
          <w:color w:val="000000"/>
          <w:sz w:val="20"/>
        </w:rPr>
        <w:t>We will remain a smaller reporting company so long as, as of June 30 of the preceding year, (i) the market value of our shares of common stock held by non-affiliates, or our public float, is less than $250 million; or (ii) we have annual revenues less than $100 million and either we have no public float or our public float is less than $700 million.</w:t>
      </w:r>
    </w:p>
    <w:p>
      <w:pPr>
        <w:pStyle w:val="TextBody"/>
        <w:bidi w:val="0"/>
        <w:spacing w:before="180" w:after="283"/>
        <w:jc w:val="both"/>
        <w:rPr>
          <w:rFonts w:ascii="Arial" w:hAnsi="Arial"/>
          <w:color w:val="000000"/>
          <w:sz w:val="20"/>
        </w:rPr>
      </w:pPr>
      <w:r>
        <w:rPr>
          <w:rFonts w:ascii="Arial" w:hAnsi="Arial"/>
          <w:color w:val="000000"/>
          <w:sz w:val="20"/>
        </w:rPr>
        <w:t>To the extent we take advantage of some or all of the reduced disclosure requirements available to smaller reporting companies, investors may find our ordinary shares less attractive, which may result in a less active trading market for our common stock and greater stock price volatility.</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6" w:name="item_1b_unresolved_staff_comments"/>
      <w:bookmarkEnd w:id="6"/>
      <w:r>
        <w:rPr>
          <w:rFonts w:ascii="Arial" w:hAnsi="Arial"/>
          <w:b/>
          <w:color w:val="000000"/>
          <w:sz w:val="20"/>
        </w:rPr>
        <w:t>Item 1B. Unresolved Staff Comments.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Not applicable.</w:t>
      </w:r>
    </w:p>
    <w:p>
      <w:pPr>
        <w:pStyle w:val="TextBody"/>
        <w:bidi w:val="0"/>
        <w:spacing w:before="180" w:after="283"/>
        <w:jc w:val="both"/>
        <w:rPr>
          <w:rFonts w:ascii="Arial" w:hAnsi="Arial"/>
          <w:b/>
          <w:color w:val="000000"/>
          <w:sz w:val="20"/>
        </w:rPr>
      </w:pPr>
      <w:bookmarkStart w:id="7" w:name="item_1c_cybersecurity"/>
      <w:bookmarkEnd w:id="7"/>
      <w:r>
        <w:rPr>
          <w:rFonts w:ascii="Arial" w:hAnsi="Arial"/>
          <w:b/>
          <w:color w:val="000000"/>
          <w:sz w:val="20"/>
        </w:rPr>
        <w:t>Item 1C. Cybersecurity.</w:t>
      </w:r>
    </w:p>
    <w:p>
      <w:pPr>
        <w:pStyle w:val="TextBody"/>
        <w:bidi w:val="0"/>
        <w:spacing w:before="180" w:after="283"/>
        <w:jc w:val="both"/>
        <w:rPr>
          <w:rFonts w:ascii="Times New Roman" w:hAnsi="Times New Roman"/>
          <w:sz w:val="20"/>
        </w:rPr>
      </w:pPr>
      <w:r>
        <w:rPr>
          <w:rFonts w:ascii="Arial" w:hAnsi="Arial"/>
          <w:color w:val="000000"/>
          <w:sz w:val="20"/>
        </w:rPr>
        <w:t>As a data-driven company, we may be a potential target for cyberattacks and may be exposed to a number of cybersecurity risks in the normal course of operations. Our success as a business may depend upon our ability to address these risks, and to keep our platform and internal systems secure for the benefit of our merchants, users, business partners, employees, and other stakeholders.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order to protect our customers’ data - and any other data we manage or handle - we have adopted a number of safeguards and security measures. For example, we have implemented firewalls, endpoint protection, detection and response solutions, intrusion detection systems, access controls including multi-factor authentication, vulnerability scanning, software static analysis, dynamic analysis, third- party independent penetration testing, independent third- party control audits, a public bug bounty program. In addition, we have developed and maintained a robust Incident Response Plan (“IRP”), which is designed to equip our employees and managers with the necessary tools to detect, respond to, and ultimately prevent cybersecurity incidents affecting the platform.</w:t>
      </w:r>
    </w:p>
    <w:p>
      <w:pPr>
        <w:pStyle w:val="TextBody"/>
        <w:bidi w:val="0"/>
        <w:spacing w:before="180" w:after="283"/>
        <w:jc w:val="both"/>
        <w:rPr>
          <w:rFonts w:ascii="Arial" w:hAnsi="Arial"/>
          <w:color w:val="000000"/>
          <w:sz w:val="20"/>
        </w:rPr>
      </w:pPr>
      <w:r>
        <w:rPr>
          <w:rFonts w:ascii="Arial" w:hAnsi="Arial"/>
          <w:color w:val="000000"/>
          <w:sz w:val="20"/>
        </w:rPr>
        <w:t>Our IRP contains detailed processes and procedures to assist employees in managing cybersecurity incidents when they happen, including techniques for detecting/identifying suspicious activity in our data environment, response and escalation protocols to defend against intrusions and contain any potential data leakage, data preservation measures to ensure data integrity going forward, and remediation steps to diagnose root causes and secure gaps to prevent future attacks.</w:t>
      </w:r>
    </w:p>
    <w:p>
      <w:pPr>
        <w:pStyle w:val="TextBody"/>
        <w:bidi w:val="0"/>
        <w:spacing w:before="180" w:after="283"/>
        <w:jc w:val="both"/>
        <w:rPr>
          <w:rFonts w:ascii="Arial" w:hAnsi="Arial"/>
          <w:color w:val="000000"/>
          <w:sz w:val="20"/>
        </w:rPr>
      </w:pPr>
      <w:r>
        <w:rPr>
          <w:rFonts w:ascii="Arial" w:hAnsi="Arial"/>
          <w:color w:val="000000"/>
          <w:sz w:val="20"/>
        </w:rPr>
        <w:t>Our cybersecurity risk management program and our IRP is led by our Director of Security, who is supported by a multi-tier incident response team comprised of security, technical, and legal experts across our business who are responsible for coordinating and managing data security efforts, including incident response. This cross-functional team of specialists operates under the supervision of our executive management team with oversight from the Audit Committee of our Board of Directors and holds briefings to ensure the executive group is attuned to matters of data security impacting us. Our Director of Security has 14 years of experience working in the IT, infrastructure, and security domains. Before that, he worked for 6 years at Microsoft and 4 years at Garmin in similar roles.</w:t>
      </w:r>
    </w:p>
    <w:p>
      <w:pPr>
        <w:pStyle w:val="TextBody"/>
        <w:bidi w:val="0"/>
        <w:spacing w:before="180" w:after="283"/>
        <w:jc w:val="both"/>
        <w:rPr>
          <w:rFonts w:ascii="Arial" w:hAnsi="Arial"/>
          <w:color w:val="000000"/>
          <w:sz w:val="20"/>
        </w:rPr>
      </w:pPr>
      <w:r>
        <w:rPr>
          <w:rFonts w:ascii="Arial" w:hAnsi="Arial"/>
          <w:color w:val="000000"/>
          <w:sz w:val="20"/>
        </w:rPr>
        <w:t>Finally, the IRP is also supported by a full curriculum of training for engineering and non-engineering employees that is drafted and administered under the supervision of our Director of Security. Importantly, these training sessions include several modules and quizzes for both technical and non-technical employees to assist our employees in comprehensively understanding the importance of data security to our stakeholders and our business and the various ways they can promote a security environment throughout our Company.</w:t>
      </w:r>
    </w:p>
    <w:p>
      <w:pPr>
        <w:pStyle w:val="TextBody"/>
        <w:bidi w:val="0"/>
        <w:spacing w:before="180" w:after="283"/>
        <w:jc w:val="both"/>
        <w:rPr>
          <w:rFonts w:ascii="Arial" w:hAnsi="Arial"/>
          <w:b/>
          <w:i/>
          <w:color w:val="000000"/>
          <w:sz w:val="20"/>
        </w:rPr>
      </w:pPr>
      <w:r>
        <w:rPr>
          <w:rFonts w:ascii="Arial" w:hAnsi="Arial"/>
          <w:b/>
          <w:i/>
          <w:color w:val="000000"/>
          <w:sz w:val="20"/>
        </w:rPr>
        <w:t>Risk Management and Strategy</w:t>
      </w:r>
    </w:p>
    <w:p>
      <w:pPr>
        <w:pStyle w:val="TextBody"/>
        <w:bidi w:val="0"/>
        <w:spacing w:before="180" w:after="283"/>
        <w:jc w:val="both"/>
        <w:rPr>
          <w:rFonts w:ascii="Arial" w:hAnsi="Arial"/>
          <w:i/>
          <w:color w:val="000000"/>
          <w:sz w:val="20"/>
        </w:rPr>
      </w:pPr>
      <w:r>
        <w:rPr>
          <w:rFonts w:ascii="Arial" w:hAnsi="Arial"/>
          <w:i/>
          <w:color w:val="000000"/>
          <w:sz w:val="20"/>
        </w:rPr>
        <w:t>Assessing and Responding to Cyber Threats and Cyber Incidents</w:t>
      </w:r>
    </w:p>
    <w:p>
      <w:pPr>
        <w:pStyle w:val="TextBody"/>
        <w:bidi w:val="0"/>
        <w:spacing w:before="180" w:after="283"/>
        <w:jc w:val="both"/>
        <w:rPr>
          <w:rFonts w:ascii="Times New Roman" w:hAnsi="Times New Roman"/>
          <w:sz w:val="20"/>
        </w:rPr>
      </w:pPr>
      <w:r>
        <w:rPr>
          <w:rFonts w:ascii="Arial" w:hAnsi="Arial"/>
          <w:color w:val="000000"/>
          <w:sz w:val="20"/>
        </w:rPr>
        <w:t>Our IRP sets forth the company’s process for assessing cyber threats. The IRP serves as the incident response plan for Higher-Risk Security Incidents affecting Wish Information Systems and Wish Data, and it applies to all Wish personnel, including employees, contractors, consultants, and any other individuals acting for or on behalf of the Company of its subsidiaries or affiliated entities anywhere in the world. Lower-Risk Security Incidents are managed by the IT/Engineering Teams under their internal processes. The IRP assesses and responds to cyber threats by the following, to the extent applicable, (1) review from the initial assessment team, (2) escalation to a core incident response team, (3) involvement of the extended incident response team, (4) initial containment and preservation, (5) investigation, (6) breach notification, (7) remediation and resumption, and (8) post-mortem assessment.</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Evaluation</w:t>
      </w:r>
    </w:p>
    <w:p>
      <w:pPr>
        <w:pStyle w:val="TextBody"/>
        <w:bidi w:val="0"/>
        <w:spacing w:before="180" w:after="283"/>
        <w:jc w:val="both"/>
        <w:rPr>
          <w:rFonts w:ascii="Arial" w:hAnsi="Arial"/>
          <w:color w:val="000000"/>
          <w:sz w:val="20"/>
        </w:rPr>
      </w:pPr>
      <w:r>
        <w:rPr>
          <w:rFonts w:ascii="Arial" w:hAnsi="Arial"/>
          <w:color w:val="000000"/>
          <w:sz w:val="20"/>
        </w:rPr>
        <w:t>As part of our IRP, we conduct regular testing to ensure that the IRP is functional and effective. Tests may include tabletop exercises, full simulations, verbal walkthroughs with relevant stakeholders, or responses to actual Security Incidents.</w:t>
      </w:r>
    </w:p>
    <w:p>
      <w:pPr>
        <w:pStyle w:val="TextBody"/>
        <w:bidi w:val="0"/>
        <w:spacing w:before="180" w:after="283"/>
        <w:jc w:val="both"/>
        <w:rPr>
          <w:rFonts w:ascii="Times New Roman" w:hAnsi="Times New Roman"/>
          <w:sz w:val="20"/>
        </w:rPr>
      </w:pPr>
      <w:r>
        <w:rPr>
          <w:rFonts w:ascii="Arial" w:hAnsi="Arial"/>
          <w:color w:val="000000"/>
          <w:sz w:val="20"/>
        </w:rPr>
        <w:t>We also engage third-party services to conduct evaluations of our security controls, including the IRP, whether through penetration testing, independent cybersecurity audits or consulting on best practices to address new challenges and risks. These evaluations include testing both the design and operational effectiveness of security controls.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i/>
          <w:color w:val="000000"/>
          <w:sz w:val="20"/>
        </w:rPr>
      </w:pPr>
      <w:r>
        <w:rPr>
          <w:rFonts w:ascii="Arial" w:hAnsi="Arial"/>
          <w:i/>
          <w:color w:val="000000"/>
          <w:sz w:val="20"/>
        </w:rPr>
        <w:t>Proactively Managing Privacy Risks</w:t>
      </w:r>
    </w:p>
    <w:p>
      <w:pPr>
        <w:pStyle w:val="TextBody"/>
        <w:bidi w:val="0"/>
        <w:spacing w:before="180" w:after="283"/>
        <w:jc w:val="both"/>
        <w:rPr>
          <w:rFonts w:ascii="Times New Roman" w:hAnsi="Times New Roman"/>
          <w:sz w:val="20"/>
        </w:rPr>
      </w:pPr>
      <w:r>
        <w:rPr>
          <w:rFonts w:ascii="Arial" w:hAnsi="Arial"/>
          <w:color w:val="000000"/>
          <w:sz w:val="20"/>
        </w:rPr>
        <w:t>We also take several measures to proactively manage privacy risks. As part of our commercial contract review process, we require every third-party vendor (“vendor”) engaged by the company to go through a separate privacy review. The privacy review includes, evaluating the personal data processed by the company and/or vendor, assessing the potential risks to such personal and applicable data subjects and identifying the specific measures that must be implemented to mitigate against such risks. One of these measures is to require vendors to agree to our standard Data Security and Privacy Addendum (“DPSA”), which was prepared with the assistance of outside consultants or revising the vendor’s proposed Data Protection Agreement (“DPA”) to provide the same protections as our DSPA. Wish’s DSPA contains privacy preserving language and security controls to protect the Company in the event of a Security Incident.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Additionally, we’ve also appointed a Data Protection Officer (“DPO”) who advises and monitors data protection functions at the Company. Our DPO has 15 years of experience working in cybersecurity, IT, governance, risk management, regulatory compliance, and data protection and privacy program design and implementation. Our DPO previously served as the DPO for several large companies, including ecommerce, life sciences, ESG, and legal services businesses. Our DPO is also a Certified Information Systems Security Professional.</w:t>
      </w:r>
    </w:p>
    <w:p>
      <w:pPr>
        <w:pStyle w:val="TextBody"/>
        <w:bidi w:val="0"/>
        <w:spacing w:before="180" w:after="283"/>
        <w:jc w:val="both"/>
        <w:rPr>
          <w:rFonts w:ascii="Arial" w:hAnsi="Arial"/>
          <w:i/>
          <w:color w:val="000000"/>
          <w:sz w:val="20"/>
        </w:rPr>
      </w:pPr>
      <w:r>
        <w:rPr>
          <w:rFonts w:ascii="Arial" w:hAnsi="Arial"/>
          <w:i/>
          <w:color w:val="000000"/>
          <w:sz w:val="20"/>
        </w:rPr>
        <w:t>Board and Management Oversight</w:t>
      </w:r>
    </w:p>
    <w:p>
      <w:pPr>
        <w:pStyle w:val="TextBody"/>
        <w:bidi w:val="0"/>
        <w:spacing w:before="180" w:after="283"/>
        <w:jc w:val="both"/>
        <w:rPr>
          <w:rFonts w:ascii="Arial" w:hAnsi="Arial"/>
          <w:color w:val="000000"/>
          <w:sz w:val="20"/>
        </w:rPr>
      </w:pPr>
      <w:r>
        <w:rPr>
          <w:rFonts w:ascii="Arial" w:hAnsi="Arial"/>
          <w:color w:val="000000"/>
          <w:sz w:val="20"/>
        </w:rPr>
        <w:t>The Company’s management is involved in assessing Security Incidents to the extent discussed in the IRP above. The Board and Audit Committee are notified and updated on any Security Incidents on a regular basis. The Board actively oversees our enterprise risk management, including cybersecurity risks. Our cybersecurity policies and procedures are integrated into our overall risk assessment program. Additionally, the Audit Committee is responsible for overseeing our cybersecurity risk management and strategy and regularly meets with the CTO about the Company’s ongoing compliance and risk management and reports to the Board regularly.</w:t>
      </w:r>
    </w:p>
    <w:p>
      <w:pPr>
        <w:pStyle w:val="TextBody"/>
        <w:bidi w:val="0"/>
        <w:spacing w:before="180" w:after="283"/>
        <w:jc w:val="both"/>
        <w:rPr>
          <w:rFonts w:ascii="Arial" w:hAnsi="Arial"/>
          <w:i/>
          <w:color w:val="000000"/>
          <w:sz w:val="20"/>
        </w:rPr>
      </w:pPr>
      <w:r>
        <w:rPr>
          <w:rFonts w:ascii="Arial" w:hAnsi="Arial"/>
          <w:i/>
          <w:color w:val="000000"/>
          <w:sz w:val="20"/>
        </w:rPr>
        <w:t>Cybersecurity Threat Disclosure</w:t>
      </w:r>
    </w:p>
    <w:p>
      <w:pPr>
        <w:pStyle w:val="TextBody"/>
        <w:bidi w:val="0"/>
        <w:spacing w:before="180" w:after="283"/>
        <w:jc w:val="both"/>
        <w:rPr>
          <w:rFonts w:ascii="Arial" w:hAnsi="Arial"/>
          <w:color w:val="000000"/>
          <w:sz w:val="20"/>
        </w:rPr>
      </w:pPr>
      <w:r>
        <w:rPr>
          <w:rFonts w:ascii="Arial" w:hAnsi="Arial"/>
          <w:color w:val="000000"/>
          <w:sz w:val="20"/>
        </w:rPr>
        <w:t>To date, we are not aware of any cybersecurity threats that have materially affected or are reasonably likely to materially affect us.</w:t>
      </w:r>
    </w:p>
    <w:p>
      <w:pPr>
        <w:pStyle w:val="TextBody"/>
        <w:bidi w:val="0"/>
        <w:spacing w:before="180" w:after="283"/>
        <w:jc w:val="both"/>
        <w:rPr>
          <w:rFonts w:ascii="Arial" w:hAnsi="Arial"/>
          <w:color w:val="000000"/>
          <w:sz w:val="20"/>
        </w:rPr>
      </w:pPr>
      <w:r>
        <w:rPr>
          <w:rFonts w:ascii="Arial" w:hAnsi="Arial"/>
          <w:color w:val="000000"/>
          <w:sz w:val="20"/>
        </w:rPr>
        <w:t>For further discussion of risks related to data protection, cybersecurity, and intellectual property, please see Item 1A, “Risk Factors”.</w:t>
      </w:r>
    </w:p>
    <w:p>
      <w:pPr>
        <w:pStyle w:val="TextBody"/>
        <w:bidi w:val="0"/>
        <w:spacing w:before="180" w:after="283"/>
        <w:jc w:val="both"/>
        <w:rPr>
          <w:rFonts w:ascii="Times New Roman" w:hAnsi="Times New Roman"/>
          <w:sz w:val="20"/>
        </w:rPr>
      </w:pPr>
      <w:bookmarkStart w:id="8" w:name="item_2_properties"/>
      <w:bookmarkEnd w:id="8"/>
      <w:r>
        <w:rPr>
          <w:rFonts w:ascii="Arial" w:hAnsi="Arial"/>
          <w:b/>
          <w:color w:val="000000"/>
          <w:sz w:val="20"/>
        </w:rPr>
        <w:t>Item 2. Properties.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corporate headquarters consists of approximately 69,000 square feet in San Francisco, California under leases that expire in 2025, with approximately 34,000 square feet being subleased to other organizations. We also lease offices in Canada and China.</w:t>
      </w:r>
    </w:p>
    <w:p>
      <w:pPr>
        <w:pStyle w:val="TextBody"/>
        <w:bidi w:val="0"/>
        <w:spacing w:before="180" w:after="283"/>
        <w:jc w:val="both"/>
        <w:rPr>
          <w:rFonts w:ascii="Arial" w:hAnsi="Arial"/>
          <w:color w:val="000000"/>
          <w:sz w:val="20"/>
        </w:rPr>
      </w:pPr>
      <w:r>
        <w:rPr>
          <w:rFonts w:ascii="Arial" w:hAnsi="Arial"/>
          <w:color w:val="000000"/>
          <w:sz w:val="20"/>
        </w:rPr>
        <w:t>As part of the restructuring plan approved in February 2022, we are continuing to evaluate options to decrease our real estate footprint, which include subleasing and/or terminating additional offices leases located in San Francisco. See the section titled Item 7, “Management’s Discussion and Analysis of Financial Condition and Results of Operations— Reductions in Workforce” and Item 8, "Financial Statements and Supplementary Data, Note 12. Reductions in Workforce" for further discussion of our reductions in workforce.</w:t>
      </w:r>
    </w:p>
    <w:p>
      <w:pPr>
        <w:pStyle w:val="TextBody"/>
        <w:bidi w:val="0"/>
        <w:spacing w:before="180" w:after="283"/>
        <w:jc w:val="both"/>
        <w:rPr>
          <w:rFonts w:ascii="Times New Roman" w:hAnsi="Times New Roman"/>
          <w:sz w:val="20"/>
        </w:rPr>
      </w:pPr>
      <w:bookmarkStart w:id="9" w:name="item_3_legal_proceedings"/>
      <w:bookmarkEnd w:id="9"/>
      <w:r>
        <w:rPr>
          <w:rFonts w:ascii="Arial" w:hAnsi="Arial"/>
          <w:b/>
          <w:color w:val="000000"/>
          <w:sz w:val="20"/>
        </w:rPr>
        <w:t>Item 3. Legal Proceedings.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set forth under the heading “Legal Contingencies and Proceedings” within Item 8, "Financial Statements and Supplementary Data, Note 7. Commitments and Contingencies", in Part II of this Report, is incorporated herein by reference.</w:t>
      </w:r>
    </w:p>
    <w:p>
      <w:pPr>
        <w:pStyle w:val="TextBody"/>
        <w:bidi w:val="0"/>
        <w:spacing w:before="180" w:after="283"/>
        <w:jc w:val="both"/>
        <w:rPr>
          <w:rFonts w:ascii="Arial" w:hAnsi="Arial"/>
          <w:b/>
          <w:color w:val="000000"/>
          <w:sz w:val="20"/>
        </w:rPr>
      </w:pPr>
      <w:bookmarkStart w:id="10" w:name="item_4_mine_safety_disclosures"/>
      <w:bookmarkEnd w:id="10"/>
      <w:r>
        <w:rPr>
          <w:rFonts w:ascii="Arial" w:hAnsi="Arial"/>
          <w:b/>
          <w:color w:val="000000"/>
          <w:sz w:val="20"/>
        </w:rPr>
        <w:t>Item 4. Mine Safety Disclosures.</w:t>
      </w:r>
    </w:p>
    <w:p>
      <w:pPr>
        <w:pStyle w:val="TextBody"/>
        <w:bidi w:val="0"/>
        <w:spacing w:before="1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Arial" w:hAnsi="Arial"/>
          <w:b/>
          <w:color w:val="000000"/>
          <w:sz w:val="20"/>
        </w:rPr>
      </w:pPr>
      <w:bookmarkStart w:id="11" w:name="part_ii"/>
      <w:bookmarkEnd w:id="11"/>
      <w:r>
        <w:rPr>
          <w:rFonts w:ascii="Arial" w:hAnsi="Arial"/>
          <w:b/>
          <w:color w:val="000000"/>
          <w:sz w:val="20"/>
        </w:rPr>
        <w:t>PART II</w:t>
      </w:r>
    </w:p>
    <w:p>
      <w:pPr>
        <w:pStyle w:val="TextBody"/>
        <w:bidi w:val="0"/>
        <w:spacing w:before="180" w:after="283"/>
        <w:jc w:val="both"/>
        <w:rPr/>
      </w:pPr>
      <w:r>
        <w:rPr/>
        <w:t> </w:t>
      </w:r>
    </w:p>
    <w:p>
      <w:pPr>
        <w:pStyle w:val="TextBody"/>
        <w:bidi w:val="0"/>
        <w:spacing w:before="180" w:after="283"/>
        <w:jc w:val="both"/>
        <w:rPr>
          <w:rFonts w:ascii="Times New Roman" w:hAnsi="Times New Roman"/>
          <w:sz w:val="20"/>
        </w:rPr>
      </w:pPr>
      <w:bookmarkStart w:id="12" w:name="item_5_market_for_registrants_common_equ"/>
      <w:bookmarkEnd w:id="12"/>
      <w:r>
        <w:rPr>
          <w:rFonts w:ascii="Arial" w:hAnsi="Arial"/>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Market Price of Our Class A Common Stock</w:t>
      </w:r>
    </w:p>
    <w:p>
      <w:pPr>
        <w:pStyle w:val="TextBody"/>
        <w:bidi w:val="0"/>
        <w:spacing w:before="180" w:after="283"/>
        <w:jc w:val="both"/>
        <w:rPr>
          <w:rFonts w:ascii="Arial" w:hAnsi="Arial"/>
          <w:color w:val="000000"/>
          <w:sz w:val="20"/>
        </w:rPr>
      </w:pPr>
      <w:r>
        <w:rPr>
          <w:rFonts w:ascii="Arial" w:hAnsi="Arial"/>
          <w:color w:val="000000"/>
          <w:sz w:val="20"/>
        </w:rPr>
        <w:t>Our Class A common stock has been listed on the Nasdaq Global Select Market under the symbol “WISH”.</w:t>
      </w:r>
    </w:p>
    <w:p>
      <w:pPr>
        <w:pStyle w:val="TextBody"/>
        <w:bidi w:val="0"/>
        <w:spacing w:before="180" w:after="283"/>
        <w:jc w:val="both"/>
        <w:rPr>
          <w:rFonts w:ascii="Arial" w:hAnsi="Arial"/>
          <w:b/>
          <w:color w:val="000000"/>
          <w:sz w:val="20"/>
        </w:rPr>
      </w:pPr>
      <w:r>
        <w:rPr>
          <w:rFonts w:ascii="Arial" w:hAnsi="Arial"/>
          <w:b/>
          <w:color w:val="000000"/>
          <w:sz w:val="20"/>
        </w:rPr>
        <w:t>Holders of Record</w:t>
      </w:r>
    </w:p>
    <w:p>
      <w:pPr>
        <w:pStyle w:val="TextBody"/>
        <w:bidi w:val="0"/>
        <w:spacing w:before="180" w:after="283"/>
        <w:jc w:val="both"/>
        <w:rPr>
          <w:rFonts w:ascii="Arial" w:hAnsi="Arial"/>
          <w:color w:val="000000"/>
          <w:sz w:val="20"/>
        </w:rPr>
      </w:pPr>
      <w:r>
        <w:rPr>
          <w:rFonts w:ascii="Arial" w:hAnsi="Arial"/>
          <w:color w:val="000000"/>
          <w:sz w:val="20"/>
        </w:rPr>
        <w:t>As of December 31, 2023, we had 43 holders of record of our Class A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bidi w:val="0"/>
        <w:spacing w:before="180" w:after="283"/>
        <w:jc w:val="both"/>
        <w:rPr>
          <w:rFonts w:ascii="Arial" w:hAnsi="Arial"/>
          <w:b/>
          <w:color w:val="000000"/>
          <w:sz w:val="20"/>
        </w:rPr>
      </w:pPr>
      <w:r>
        <w:rPr>
          <w:rFonts w:ascii="Arial" w:hAnsi="Arial"/>
          <w:b/>
          <w:color w:val="000000"/>
          <w:sz w:val="20"/>
        </w:rPr>
        <w:t>Dividend Policy</w:t>
      </w:r>
    </w:p>
    <w:p>
      <w:pPr>
        <w:pStyle w:val="TextBody"/>
        <w:bidi w:val="0"/>
        <w:spacing w:before="180" w:after="283"/>
        <w:jc w:val="both"/>
        <w:rPr>
          <w:rFonts w:ascii="Arial" w:hAnsi="Arial"/>
          <w:color w:val="000000"/>
          <w:sz w:val="20"/>
        </w:rPr>
      </w:pPr>
      <w:r>
        <w:rPr>
          <w:rFonts w:ascii="Arial" w:hAnsi="Arial"/>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before="180" w:after="283"/>
        <w:jc w:val="both"/>
        <w:rPr>
          <w:rFonts w:ascii="Arial" w:hAnsi="Arial"/>
          <w:b/>
          <w:color w:val="000000"/>
          <w:sz w:val="20"/>
        </w:rPr>
      </w:pPr>
      <w:r>
        <w:rPr>
          <w:rFonts w:ascii="Arial" w:hAnsi="Arial"/>
          <w:b/>
          <w:color w:val="000000"/>
          <w:sz w:val="20"/>
        </w:rPr>
        <w:t>Unregistered Sales of Equity Securities</w:t>
      </w:r>
    </w:p>
    <w:p>
      <w:pPr>
        <w:pStyle w:val="TextBody"/>
        <w:bidi w:val="0"/>
        <w:spacing w:before="180" w:after="283"/>
        <w:jc w:val="both"/>
        <w:rPr>
          <w:rFonts w:ascii="Arial" w:hAnsi="Arial"/>
          <w:color w:val="000000"/>
          <w:sz w:val="20"/>
        </w:rPr>
      </w:pPr>
      <w:r>
        <w:rPr>
          <w:rFonts w:ascii="Arial" w:hAnsi="Arial"/>
          <w:color w:val="000000"/>
          <w:sz w:val="20"/>
        </w:rPr>
        <w:t>None.</w:t>
      </w:r>
    </w:p>
    <w:p>
      <w:pPr>
        <w:pStyle w:val="TextBody"/>
        <w:bidi w:val="0"/>
        <w:spacing w:before="180" w:after="283"/>
        <w:jc w:val="both"/>
        <w:rPr>
          <w:rFonts w:ascii="Arial" w:hAnsi="Arial"/>
          <w:b/>
          <w:color w:val="000000"/>
          <w:sz w:val="20"/>
        </w:rPr>
      </w:pPr>
      <w:r>
        <w:rPr>
          <w:rFonts w:ascii="Arial" w:hAnsi="Arial"/>
          <w:b/>
          <w:color w:val="000000"/>
          <w:sz w:val="20"/>
        </w:rPr>
        <w:t>Issuer Purchases of Equity Securities</w:t>
      </w:r>
    </w:p>
    <w:p>
      <w:pPr>
        <w:pStyle w:val="TextBody"/>
        <w:bidi w:val="0"/>
        <w:spacing w:before="180" w:after="283"/>
        <w:jc w:val="both"/>
        <w:rPr>
          <w:rFonts w:ascii="Arial" w:hAnsi="Arial"/>
          <w:color w:val="000000"/>
          <w:sz w:val="20"/>
        </w:rPr>
      </w:pPr>
      <w:r>
        <w:rPr>
          <w:rFonts w:ascii="Arial" w:hAnsi="Arial"/>
          <w:color w:val="000000"/>
          <w:sz w:val="20"/>
        </w:rPr>
        <w:t>None.</w:t>
      </w:r>
    </w:p>
    <w:p>
      <w:pPr>
        <w:pStyle w:val="TextBody"/>
        <w:bidi w:val="0"/>
        <w:spacing w:before="180" w:after="283"/>
        <w:jc w:val="both"/>
        <w:rPr>
          <w:rFonts w:ascii="Arial" w:hAnsi="Arial"/>
          <w:b/>
          <w:color w:val="000000"/>
          <w:sz w:val="20"/>
        </w:rPr>
      </w:pPr>
      <w:r>
        <w:rPr>
          <w:rFonts w:ascii="Arial" w:hAnsi="Arial"/>
          <w:b/>
          <w:color w:val="000000"/>
          <w:sz w:val="20"/>
        </w:rPr>
        <w:t>Securities Authorized for Issuance Under Equity Compensation Plans</w:t>
      </w:r>
    </w:p>
    <w:p>
      <w:pPr>
        <w:pStyle w:val="TextBody"/>
        <w:bidi w:val="0"/>
        <w:spacing w:before="180" w:after="283"/>
        <w:jc w:val="both"/>
        <w:rPr>
          <w:rFonts w:ascii="Arial" w:hAnsi="Arial"/>
          <w:color w:val="000000"/>
          <w:sz w:val="20"/>
        </w:rPr>
      </w:pPr>
      <w:r>
        <w:rPr>
          <w:rFonts w:ascii="Arial" w:hAnsi="Arial"/>
          <w:color w:val="000000"/>
          <w:sz w:val="20"/>
        </w:rPr>
        <w:t>The information required by this item is incorporated herein by reference to our definitive proxy statement for our 2024 annual meeting of stockholders, which will be filed not later than 120 days after the end of our fiscal year ended December 31, 2023.</w:t>
      </w:r>
    </w:p>
    <w:p>
      <w:pPr>
        <w:pStyle w:val="TextBody"/>
        <w:bidi w:val="0"/>
        <w:spacing w:before="180" w:after="283"/>
        <w:jc w:val="both"/>
        <w:rPr>
          <w:rFonts w:ascii="Times New Roman" w:hAnsi="Times New Roman"/>
          <w:sz w:val="20"/>
        </w:rPr>
      </w:pPr>
      <w:bookmarkStart w:id="13" w:name="item_6_reserved"/>
      <w:bookmarkEnd w:id="13"/>
      <w:r>
        <w:rPr>
          <w:rFonts w:ascii="Arial" w:hAnsi="Arial"/>
          <w:b/>
          <w:color w:val="000000"/>
          <w:sz w:val="20"/>
        </w:rPr>
        <w:t>Item 6.</w:t>
      </w:r>
      <w:r>
        <w:rPr>
          <w:rFonts w:ascii="Times New Roman" w:hAnsi="Times New Roman"/>
          <w:color w:val="000000"/>
          <w:sz w:val="20"/>
        </w:rPr>
        <w:t xml:space="preserve"> </w:t>
      </w:r>
      <w:r>
        <w:rPr>
          <w:rFonts w:ascii="Arial" w:hAnsi="Arial"/>
          <w:b/>
          <w:color w:val="000000"/>
          <w:sz w:val="20"/>
        </w:rPr>
        <w:t>[Reserved]</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14" w:name="item_7_managements_discussion_analysis_f"/>
      <w:bookmarkEnd w:id="14"/>
      <w:r>
        <w:rPr>
          <w:rFonts w:ascii="Arial" w:hAnsi="Arial"/>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Forward-Looking Statements</w:t>
      </w:r>
    </w:p>
    <w:p>
      <w:pPr>
        <w:pStyle w:val="TextBody"/>
        <w:bidi w:val="0"/>
        <w:spacing w:before="180" w:after="283"/>
        <w:jc w:val="both"/>
        <w:rPr>
          <w:rFonts w:ascii="Arial" w:hAnsi="Arial"/>
          <w:i/>
          <w:color w:val="000000"/>
          <w:sz w:val="20"/>
        </w:rPr>
      </w:pPr>
      <w:r>
        <w:rPr>
          <w:rFonts w:ascii="Arial" w:hAnsi="Arial"/>
          <w:i/>
          <w:color w:val="000000"/>
          <w:sz w:val="20"/>
        </w:rPr>
        <w:t>This Annual Report on Form 10-K contains forward-looking statements within the meaning of Section 27A of the Securities Act of 1933 and Section 21E of the Securities Exchange Act of 1934,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Securities and Exchange Commission.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 A discussion regarding our financial condition and results of operations for the year ended December 31, 2022 compared to the year ended December 31, 2021 is included under “Management’s Discussion and Analysis of Financial Condition and Results of Operations” in our Annual Report on Form 10-K for the year ended December 31, 2022.</w:t>
      </w:r>
    </w:p>
    <w:p>
      <w:pPr>
        <w:pStyle w:val="TextBody"/>
        <w:bidi w:val="0"/>
        <w:spacing w:before="180" w:after="283"/>
        <w:jc w:val="both"/>
        <w:rPr>
          <w:rFonts w:ascii="Arial" w:hAnsi="Arial"/>
          <w:b/>
          <w:color w:val="000000"/>
          <w:sz w:val="20"/>
        </w:rPr>
      </w:pPr>
      <w:r>
        <w:rPr>
          <w:rFonts w:ascii="Arial" w:hAnsi="Arial"/>
          <w:b/>
          <w:color w:val="000000"/>
          <w:sz w:val="20"/>
        </w:rPr>
        <w:t>Financial Results for the Year Ended December 31, 2023</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Total revenue was $287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Total costs of revenue and operating expenses were $615 million, including stock-based compensation expense of $64 million.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from operations was $328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Net loss was $317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Cash and cash equivalents and marketable securities were $382 million.</w:t>
      </w:r>
    </w:p>
    <w:p>
      <w:pPr>
        <w:pStyle w:val="TextBody"/>
        <w:bidi w:val="0"/>
        <w:spacing w:before="120" w:after="283"/>
        <w:jc w:val="both"/>
        <w:rPr>
          <w:rFonts w:ascii="Arial" w:hAnsi="Arial"/>
          <w:color w:val="000000"/>
          <w:sz w:val="20"/>
        </w:rPr>
      </w:pPr>
      <w:r>
        <w:rPr>
          <w:rFonts w:ascii="Arial" w:hAnsi="Arial"/>
          <w:color w:val="000000"/>
          <w:sz w:val="20"/>
        </w:rPr>
        <w:t>As of December 31, 2023, we had an accumulated deficit of $3.2 billion. We expect losses from operations to continue for the foreseeable future as we incur costs and expenses related to brand development, expansion of market share, and continued development of our mobile shopping marketplace infrastructure.</w:t>
      </w:r>
    </w:p>
    <w:p>
      <w:pPr>
        <w:pStyle w:val="TextBody"/>
        <w:bidi w:val="0"/>
        <w:spacing w:before="180" w:after="283"/>
        <w:jc w:val="both"/>
        <w:rPr>
          <w:rFonts w:ascii="Arial" w:hAnsi="Arial"/>
          <w:b/>
          <w:color w:val="000000"/>
          <w:sz w:val="20"/>
        </w:rPr>
      </w:pPr>
      <w:r>
        <w:rPr>
          <w:rFonts w:ascii="Arial" w:hAnsi="Arial"/>
          <w:b/>
          <w:color w:val="000000"/>
          <w:sz w:val="20"/>
        </w:rPr>
        <w:t>Global Considerations</w:t>
      </w:r>
    </w:p>
    <w:p>
      <w:pPr>
        <w:pStyle w:val="TextBody"/>
        <w:bidi w:val="0"/>
        <w:spacing w:before="180" w:after="283"/>
        <w:jc w:val="both"/>
        <w:rPr>
          <w:rFonts w:ascii="Arial" w:hAnsi="Arial"/>
          <w:color w:val="000000"/>
          <w:sz w:val="20"/>
        </w:rPr>
      </w:pPr>
      <w:r>
        <w:rPr>
          <w:rFonts w:ascii="Arial" w:hAnsi="Arial"/>
          <w:color w:val="000000"/>
          <w:sz w:val="20"/>
        </w:rPr>
        <w:t>We are monitoring the recent volatility in the global financial markets, including inflation and rising interest rates. These developments could continue to negatively impact global economic activity and consumer behavior, which may adversely affect our business and our results of operations. As our customers react to these global economic conditions, we may take additional precautionary measures to limit or delay expenditures and preserve capital and liquidity.</w:t>
      </w:r>
    </w:p>
    <w:p>
      <w:pPr>
        <w:pStyle w:val="TextBody"/>
        <w:bidi w:val="0"/>
        <w:spacing w:before="180" w:after="283"/>
        <w:jc w:val="both"/>
        <w:rPr>
          <w:rFonts w:ascii="Arial" w:hAnsi="Arial"/>
          <w:b/>
          <w:color w:val="000000"/>
          <w:sz w:val="20"/>
        </w:rPr>
      </w:pPr>
      <w:r>
        <w:rPr>
          <w:rFonts w:ascii="Arial" w:hAnsi="Arial"/>
          <w:b/>
          <w:color w:val="000000"/>
          <w:sz w:val="20"/>
        </w:rPr>
        <w:t>Reductions in Workforce</w:t>
      </w:r>
    </w:p>
    <w:p>
      <w:pPr>
        <w:pStyle w:val="TextBody"/>
        <w:bidi w:val="0"/>
        <w:spacing w:before="180" w:after="283"/>
        <w:jc w:val="both"/>
        <w:rPr>
          <w:rFonts w:ascii="Arial" w:hAnsi="Arial"/>
          <w:color w:val="000000"/>
          <w:sz w:val="20"/>
        </w:rPr>
      </w:pPr>
      <w:r>
        <w:rPr>
          <w:rFonts w:ascii="Arial" w:hAnsi="Arial"/>
          <w:color w:val="000000"/>
          <w:sz w:val="20"/>
        </w:rPr>
        <w:t>In February 2022, our Board of Directors approved the February 2022 Restructuring Plan (“2022 Restructuring Plan”) to refocus our operations to support sustainable long-term growth, better align resources, and improve operational efficiencies. The 2022 Restructuring Plan included i) the reduction of our headcount by approximately 15% (or approximately 190 positions), ii) the exit from various office leases, and iii) the reduction and realignment of vendor expenditures. In connection with the 2022 Restructuring Plan, we incurred charges of approximately $3 million in severance and other personnel reduction costs for terminated employees and $11 million in impairments of leased assets and property and equipment. All related severance payments were paid as of December 31, 2022.</w:t>
      </w:r>
    </w:p>
    <w:p>
      <w:pPr>
        <w:pStyle w:val="TextBody"/>
        <w:bidi w:val="0"/>
        <w:spacing w:before="180" w:after="283"/>
        <w:jc w:val="both"/>
        <w:rPr>
          <w:rFonts w:ascii="Arial" w:hAnsi="Arial"/>
          <w:color w:val="000000"/>
          <w:sz w:val="20"/>
        </w:rPr>
      </w:pPr>
      <w:r>
        <w:rPr>
          <w:rFonts w:ascii="Arial" w:hAnsi="Arial"/>
          <w:color w:val="000000"/>
          <w:sz w:val="20"/>
        </w:rPr>
        <w:t>In January 2023 and August 2023, we conducted workforce reductions of approximately 400 employees, representing approximately one half of our then global workforce (“2023 RIFs”). In connection with the 2023 RIFs, we incurred charges of approximately $13 million in severance and other personnel reductions costs for terminated employees. The 2023 RIFs were intended to refocus our operations to support our ongoing business prioritization efforts, better align resources, and improve operational efficiencies. Substantially all related severance payments were paid as of December 31, 2023.</w:t>
      </w:r>
    </w:p>
    <w:p>
      <w:pPr>
        <w:pStyle w:val="TextBody"/>
        <w:bidi w:val="0"/>
        <w:spacing w:before="180" w:after="283"/>
        <w:jc w:val="both"/>
        <w:rPr>
          <w:rFonts w:ascii="Arial" w:hAnsi="Arial"/>
          <w:b/>
          <w:color w:val="000000"/>
          <w:sz w:val="20"/>
        </w:rPr>
      </w:pPr>
      <w:r>
        <w:rPr>
          <w:rFonts w:ascii="Arial" w:hAnsi="Arial"/>
          <w:b/>
          <w:color w:val="000000"/>
          <w:sz w:val="20"/>
        </w:rPr>
        <w:t>Asset Purchase Agreement with Qoo10</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the Asset Purchase Agreement with Qoo10 pursuant to which we have agreed to sell substantially all of our assets to Qoo10, other than (i) our NOLs and certain other tax attributes, (ii) our marketable securities held in a specified wealth management account and (iii) our cash and cash equivalents held in that wealth management account. As consideration for the Asset Sale, Qoo10 has agreed to pay to Wish the Cash Consideration and assume substantially all of our liabilities as specified in the Asset Purchase Agreement. If the Asset Sale closes, Wish will exit the operation of its e-commerce business and other historical operations. However, Wish does not intend to liquidate following the closing of the Asset Sale. Our Board of Directors will evaluate alternatives for the use of the Post-Closing Cash). Those alternatives are currently expected to include using the Post-Closing Cash to fund, at least in part, the acquisition of assets that will potentially allow the Company to utilize the NOLs and certain other tax attributes, which will be retained by Wish. Wish expects to complete the transaction in the second quarter of 2024, subject to the approval of its stockholders and other customary closing conditions.</w:t>
      </w:r>
    </w:p>
    <w:p>
      <w:pPr>
        <w:pStyle w:val="TextBody"/>
        <w:bidi w:val="0"/>
        <w:spacing w:before="180" w:after="283"/>
        <w:jc w:val="both"/>
        <w:rPr>
          <w:rFonts w:ascii="Arial" w:hAnsi="Arial"/>
          <w:color w:val="000000"/>
          <w:sz w:val="20"/>
        </w:rPr>
      </w:pPr>
      <w:r>
        <w:rPr>
          <w:rFonts w:ascii="Arial" w:hAnsi="Arial"/>
          <w:color w:val="000000"/>
          <w:sz w:val="20"/>
        </w:rPr>
        <w:t>See Part I, Item 1. “Business—Asset Purchase Agreement with Qoo10” for further discussion of the Asset Purchase Agreement.</w:t>
      </w:r>
    </w:p>
    <w:p>
      <w:pPr>
        <w:pStyle w:val="TextBody"/>
        <w:bidi w:val="0"/>
        <w:spacing w:before="180" w:after="283"/>
        <w:jc w:val="both"/>
        <w:rPr>
          <w:rFonts w:ascii="Times New Roman" w:hAnsi="Times New Roman"/>
          <w:sz w:val="20"/>
        </w:rPr>
      </w:pPr>
      <w:r>
        <w:rPr>
          <w:rFonts w:ascii="Arial" w:hAnsi="Arial"/>
          <w:b/>
          <w:color w:val="000000"/>
          <w:sz w:val="20"/>
        </w:rPr>
        <w:t>Our Financial Model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business benefits from powerful network effects, fueled by our data advantage and scale. As more users join Wish, attracted by our affordable value proposition and personalized shopping experiences, we are able to increase revenue potential for our merchants. The successes of our merchants attract more merchants and broaden the product listings on Wish’s platform, which further improves user experiences. The growth in users and merchants generates more data, which, in turn, refines our algorithm and strengthens our data advantage. By focusing on users and merchants, we align their success with our own.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Key Financial and Performance Metrics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to the measures presented in our consolidated financial statements, we monitor the following key metrics and other financial information to measure our performance, identify trends affecting our business, and make strategic decisions.</w:t>
      </w:r>
      <w:r>
        <w:rPr>
          <w:rFonts w:ascii="Times New Roman" w:hAnsi="Times New Roman"/>
          <w:color w:val="000000"/>
          <w:sz w:val="20"/>
        </w:rPr>
        <w:t xml:space="preserve"> </w:t>
      </w:r>
    </w:p>
    <w:p>
      <w:pPr>
        <w:pStyle w:val="TextBody"/>
        <w:bidi w:val="0"/>
        <w:jc w:val="both"/>
        <w:rPr/>
      </w:pPr>
      <w:r>
        <w:rPr/>
        <w:t> </w:t>
      </w:r>
    </w:p>
    <w:tbl>
      <w:tblPr>
        <w:tblW w:w="4724" w:type="dxa"/>
        <w:jc w:val="left"/>
        <w:tblInd w:w="0" w:type="dxa"/>
        <w:tblLayout w:type="fixed"/>
        <w:tblCellMar>
          <w:top w:w="28" w:type="dxa"/>
          <w:left w:w="28" w:type="dxa"/>
          <w:bottom w:w="28" w:type="dxa"/>
          <w:right w:w="28" w:type="dxa"/>
        </w:tblCellMar>
      </w:tblPr>
      <w:tblGrid>
        <w:gridCol w:w="2311"/>
        <w:gridCol w:w="146"/>
        <w:gridCol w:w="211"/>
        <w:gridCol w:w="481"/>
        <w:gridCol w:w="346"/>
        <w:gridCol w:w="146"/>
        <w:gridCol w:w="211"/>
        <w:gridCol w:w="4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MAU</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LTM Active Buyers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Monthly Active Users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p>
    <w:p>
      <w:pPr>
        <w:pStyle w:val="TextBody"/>
        <w:bidi w:val="0"/>
        <w:spacing w:before="180" w:after="283"/>
        <w:jc w:val="both"/>
        <w:rPr>
          <w:rFonts w:ascii="Arial" w:hAnsi="Arial"/>
          <w:color w:val="000000"/>
          <w:sz w:val="20"/>
        </w:rPr>
      </w:pPr>
      <w:r>
        <w:rPr>
          <w:rFonts w:ascii="Arial" w:hAnsi="Arial"/>
          <w:color w:val="000000"/>
          <w:sz w:val="20"/>
        </w:rPr>
        <w:t>MAUs decreased approximately 54% from the year ended December 31, 2023 compared to the year ended December 31, 2022. We believe this decline was primarily driven by our decision to significantly reduce our digital advertising expenditures.</w:t>
      </w:r>
    </w:p>
    <w:p>
      <w:pPr>
        <w:pStyle w:val="TextBody"/>
        <w:bidi w:val="0"/>
        <w:spacing w:before="180" w:after="283"/>
        <w:jc w:val="both"/>
        <w:rPr>
          <w:rFonts w:ascii="Times New Roman" w:hAnsi="Times New Roman"/>
          <w:sz w:val="20"/>
        </w:rPr>
      </w:pPr>
      <w:r>
        <w:rPr>
          <w:rFonts w:ascii="Arial" w:hAnsi="Arial"/>
          <w:b/>
          <w:color w:val="000000"/>
          <w:sz w:val="20"/>
        </w:rPr>
        <w:t>LTM Active Buyers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LTM active buyers decreased approximately 46% from the year ended December 31, 2023 compared to the year ended December 31, 2022. We believe this decline was primarily driven by reduced digital advertising expenditures resulting in lower MAUs and conversion.</w:t>
      </w:r>
    </w:p>
    <w:p>
      <w:pPr>
        <w:pStyle w:val="TextBody"/>
        <w:bidi w:val="0"/>
        <w:spacing w:before="180" w:after="283"/>
        <w:jc w:val="both"/>
        <w:rPr>
          <w:rFonts w:ascii="Times New Roman" w:hAnsi="Times New Roman"/>
          <w:sz w:val="20"/>
        </w:rPr>
      </w:pPr>
      <w:r>
        <w:rPr>
          <w:rFonts w:ascii="Arial" w:hAnsi="Arial"/>
          <w:b/>
          <w:color w:val="000000"/>
          <w:sz w:val="20"/>
        </w:rPr>
        <w:t>Non-GAAP Financial Measures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Adjusted EBITDA and Adjusted EBITDA Margin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provide Adjusted EBITDA, a non-GAAP financial measure that represents our loss before interest and other income, net (which includes foreign exchange gain or loss and other non-operating income and expenses), income tax expense, and depreciation and amortization, adjusted to eliminate stock-based compensation expense, lease termination and impairment related expenses, restructuring, strategic evaluation expenses and other discrete one-time charges,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pStyle w:val="TextBody"/>
        <w:bidi w:val="0"/>
        <w:spacing w:before="180" w:after="283"/>
        <w:jc w:val="both"/>
        <w:rPr>
          <w:rFonts w:ascii="Arial" w:hAnsi="Arial"/>
          <w:color w:val="000000"/>
          <w:sz w:val="20"/>
        </w:rPr>
      </w:pPr>
      <w:r>
        <w:rPr>
          <w:rFonts w:ascii="Arial" w:hAnsi="Arial"/>
          <w:color w:val="000000"/>
          <w:sz w:val="20"/>
        </w:rPr>
        <w:t>We have included Adjusted EBITDA and Adjusted EBITDA Margin in this report because they are key measures used by our management and the Board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pStyle w:val="TextBody"/>
        <w:bidi w:val="0"/>
        <w:spacing w:before="180" w:after="283"/>
        <w:jc w:val="both"/>
        <w:rPr>
          <w:rFonts w:ascii="Arial" w:hAnsi="Arial"/>
          <w:color w:val="000000"/>
          <w:sz w:val="20"/>
        </w:rPr>
      </w:pPr>
      <w:r>
        <w:rPr>
          <w:rFonts w:ascii="Arial" w:hAnsi="Arial"/>
          <w:color w:val="000000"/>
          <w:sz w:val="20"/>
        </w:rPr>
        <w:t>Adjusted EBITDA has limitations as an analytical measure, and you should not consider it in isolation or as a substitute for analysis of our results as reported under GAAP. Some of these limitations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Adjusted EBITDA does not reflect changes in, or cash requirements for, our working capital needs;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Adjusted EBITDA does not consider the impact of stock-based compensation and related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Adjusted EBITDA does not reflect tax payments that may represent a reduction in cash available to us;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 companies, including companies in our industry, may calculate Adjusted EBITDA differently, which reduces its usefulness as a comparative measure.</w:t>
      </w:r>
    </w:p>
    <w:p>
      <w:pPr>
        <w:pStyle w:val="TextBody"/>
        <w:bidi w:val="0"/>
        <w:spacing w:before="180" w:after="283"/>
        <w:jc w:val="both"/>
        <w:rPr>
          <w:rFonts w:ascii="Arial" w:hAnsi="Arial"/>
          <w:color w:val="000000"/>
          <w:sz w:val="20"/>
        </w:rPr>
      </w:pPr>
      <w:r>
        <w:rPr>
          <w:rFonts w:ascii="Arial" w:hAnsi="Arial"/>
          <w:color w:val="000000"/>
          <w:sz w:val="20"/>
        </w:rPr>
        <w:t>Because of these limitations, you should consider Adjusted EBITDA and Adjusted EBITDA Margin alongside other financial performance measures, including various cash flow metrics, net loss and our other GAAP results.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reflects the reconciliation of net loss to Adjusted EBITDA and net loss as a percentage of revenue to Adjusted EBITDA margin for each of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739"/>
        <w:gridCol w:w="566"/>
        <w:gridCol w:w="566"/>
        <w:gridCol w:w="211"/>
        <w:gridCol w:w="481"/>
        <w:gridCol w:w="752"/>
        <w:gridCol w:w="566"/>
        <w:gridCol w:w="211"/>
        <w:gridCol w:w="481"/>
        <w:gridCol w:w="632"/>
      </w:tblGrid>
      <w:tr>
        <w:trPr/>
        <w:tc>
          <w:tcPr>
            <w:tcW w:w="573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before="0" w:after="283"/>
              <w:jc w:val="center"/>
              <w:rPr/>
            </w:pPr>
            <w:r>
              <w:rPr/>
              <w:t> </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70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632" w:type="dxa"/>
            <w:tcBorders/>
            <w:shd w:fill="FFFFFF" w:val="clear"/>
            <w:vAlign w:val="center"/>
          </w:tcPr>
          <w:p>
            <w:pPr>
              <w:pStyle w:val="TableContents"/>
              <w:bidi w:val="0"/>
              <w:spacing w:before="0" w:after="283"/>
              <w:jc w:val="center"/>
              <w:rPr/>
            </w:pPr>
            <w:r>
              <w:rPr/>
              <w:t> </w:t>
            </w:r>
          </w:p>
        </w:tc>
      </w:tr>
      <w:tr>
        <w:trPr/>
        <w:tc>
          <w:tcPr>
            <w:tcW w:w="5739" w:type="dxa"/>
            <w:tcBorders/>
            <w:shd w:fill="FFFFFF" w:val="clear"/>
            <w:vAlign w:val="center"/>
          </w:tcPr>
          <w:p>
            <w:pPr>
              <w:pStyle w:val="TableContents"/>
              <w:bidi w:val="0"/>
              <w:spacing w:before="0" w:after="283"/>
              <w:jc w:val="center"/>
              <w:rPr/>
            </w:pPr>
            <w:r>
              <w:rPr/>
              <w:t> </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7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FFFFFF" w:val="clear"/>
            <w:vAlign w:val="center"/>
          </w:tcPr>
          <w:p>
            <w:pPr>
              <w:pStyle w:val="TableContents"/>
              <w:bidi w:val="0"/>
              <w:spacing w:before="0" w:after="283"/>
              <w:jc w:val="center"/>
              <w:rPr/>
            </w:pPr>
            <w:r>
              <w:rPr/>
              <w:t> </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FFFFFF" w:val="clear"/>
            <w:vAlign w:val="center"/>
          </w:tcPr>
          <w:p>
            <w:pPr>
              <w:pStyle w:val="TableContents"/>
              <w:bidi w:val="0"/>
              <w:spacing w:before="0" w:after="283"/>
              <w:jc w:val="center"/>
              <w:rPr/>
            </w:pPr>
            <w:r>
              <w:rPr/>
              <w:t> </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70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32" w:type="dxa"/>
            <w:tcBorders/>
            <w:shd w:fill="FFFFFF" w:val="clear"/>
            <w:vAlign w:val="center"/>
          </w:tcPr>
          <w:p>
            <w:pPr>
              <w:pStyle w:val="TableContents"/>
              <w:bidi w:val="0"/>
              <w:spacing w:before="0" w:after="283"/>
              <w:jc w:val="center"/>
              <w:rPr/>
            </w:pPr>
            <w:r>
              <w:rPr/>
              <w:t> </w:t>
            </w:r>
          </w:p>
        </w:tc>
      </w:tr>
      <w:tr>
        <w:trPr/>
        <w:tc>
          <w:tcPr>
            <w:tcW w:w="57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566"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752"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632" w:type="dxa"/>
            <w:tcBorders/>
            <w:shd w:fill="CFF0FC" w:val="clear"/>
            <w:vAlign w:val="center"/>
          </w:tcPr>
          <w:p>
            <w:pPr>
              <w:pStyle w:val="TableContents"/>
              <w:bidi w:val="0"/>
              <w:spacing w:before="0" w:after="283"/>
              <w:jc w:val="left"/>
              <w:rPr/>
            </w:pPr>
            <w:r>
              <w:rPr/>
              <w:t> </w:t>
            </w:r>
          </w:p>
        </w:tc>
      </w:tr>
      <w:tr>
        <w:trPr/>
        <w:tc>
          <w:tcPr>
            <w:tcW w:w="57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75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63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as a percentage of revenue</w:t>
            </w:r>
          </w:p>
        </w:tc>
        <w:tc>
          <w:tcPr>
            <w:tcW w:w="566"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75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6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Excluding:</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752" w:type="dxa"/>
            <w:tcBorders/>
            <w:shd w:fill="FFFFFF" w:val="clear"/>
            <w:vAlign w:val="center"/>
          </w:tcPr>
          <w:p>
            <w:pPr>
              <w:pStyle w:val="TableContents"/>
              <w:bidi w:val="0"/>
              <w:spacing w:before="0" w:after="283"/>
              <w:jc w:val="right"/>
              <w:rPr/>
            </w:pPr>
            <w:r>
              <w:rPr/>
              <w:t> </w:t>
            </w:r>
          </w:p>
        </w:tc>
        <w:tc>
          <w:tcPr>
            <w:tcW w:w="56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632" w:type="dxa"/>
            <w:tcBorders/>
            <w:shd w:fill="FFFFFF" w:val="clear"/>
            <w:vAlign w:val="center"/>
          </w:tcPr>
          <w:p>
            <w:pPr>
              <w:pStyle w:val="TableContents"/>
              <w:bidi w:val="0"/>
              <w:spacing w:before="0" w:after="283"/>
              <w:ind w:left="0" w:right="0" w:firstLine="280"/>
              <w:jc w:val="right"/>
              <w:rPr/>
            </w:pPr>
            <w:r>
              <w:rPr/>
              <w:t> </w:t>
            </w:r>
          </w:p>
        </w:tc>
      </w:tr>
      <w:tr>
        <w:trPr/>
        <w:tc>
          <w:tcPr>
            <w:tcW w:w="5739"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and other income, net</w:t>
            </w:r>
          </w:p>
        </w:tc>
        <w:tc>
          <w:tcPr>
            <w:tcW w:w="566"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5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32"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39"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Provision for income taxes</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2"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32" w:type="dxa"/>
            <w:tcBorders/>
            <w:shd w:fill="FFFFFF" w:val="clear"/>
            <w:vAlign w:val="center"/>
          </w:tcPr>
          <w:p>
            <w:pPr>
              <w:pStyle w:val="TableContents"/>
              <w:bidi w:val="0"/>
              <w:spacing w:before="0" w:after="283"/>
              <w:ind w:left="0" w:right="0" w:firstLine="280"/>
              <w:jc w:val="left"/>
              <w:rPr/>
            </w:pPr>
            <w:r>
              <w:rPr/>
              <w:t> </w:t>
            </w:r>
          </w:p>
        </w:tc>
      </w:tr>
      <w:tr>
        <w:trPr/>
        <w:tc>
          <w:tcPr>
            <w:tcW w:w="5739"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w:t>
            </w:r>
          </w:p>
        </w:tc>
        <w:tc>
          <w:tcPr>
            <w:tcW w:w="566"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52"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32" w:type="dxa"/>
            <w:tcBorders/>
            <w:shd w:fill="CFF0FC" w:val="clear"/>
            <w:vAlign w:val="center"/>
          </w:tcPr>
          <w:p>
            <w:pPr>
              <w:pStyle w:val="TableContents"/>
              <w:bidi w:val="0"/>
              <w:spacing w:before="0" w:after="283"/>
              <w:ind w:left="0" w:right="0" w:firstLine="280"/>
              <w:jc w:val="left"/>
              <w:rPr/>
            </w:pPr>
            <w:r>
              <w:rPr/>
              <w:t> </w:t>
            </w:r>
          </w:p>
        </w:tc>
      </w:tr>
      <w:tr>
        <w:trPr/>
        <w:tc>
          <w:tcPr>
            <w:tcW w:w="5739"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Stock-based compensation expense and related employer payroll taxes</w:t>
            </w:r>
            <w:r>
              <w:rPr>
                <w:rFonts w:ascii="Arial" w:hAnsi="Arial"/>
                <w:color w:val="000000"/>
                <w:sz w:val="13"/>
              </w:rPr>
              <w:t>(1)(2)</w:t>
            </w:r>
          </w:p>
        </w:tc>
        <w:tc>
          <w:tcPr>
            <w:tcW w:w="56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752"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632" w:type="dxa"/>
            <w:tcBorders/>
            <w:shd w:fill="FFFFFF" w:val="clear"/>
            <w:vAlign w:val="center"/>
          </w:tcPr>
          <w:p>
            <w:pPr>
              <w:pStyle w:val="TableContents"/>
              <w:bidi w:val="0"/>
              <w:spacing w:before="0" w:after="283"/>
              <w:ind w:left="0" w:right="0" w:firstLine="280"/>
              <w:jc w:val="left"/>
              <w:rPr/>
            </w:pPr>
            <w:r>
              <w:rPr/>
              <w:t> </w:t>
            </w:r>
          </w:p>
        </w:tc>
      </w:tr>
      <w:tr>
        <w:trPr/>
        <w:tc>
          <w:tcPr>
            <w:tcW w:w="5739" w:type="dxa"/>
            <w:tcBorders/>
            <w:shd w:fill="CFF0FC" w:val="cle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Restructuring and other discrete items</w:t>
            </w:r>
            <w:r>
              <w:rPr>
                <w:rFonts w:ascii="Arial" w:hAnsi="Arial"/>
                <w:color w:val="000000"/>
                <w:sz w:val="13"/>
              </w:rPr>
              <w:t>(3)</w:t>
            </w:r>
          </w:p>
        </w:tc>
        <w:tc>
          <w:tcPr>
            <w:tcW w:w="566" w:type="dxa"/>
            <w:tcBorders/>
            <w:shd w:fill="CFF0FC" w:val="clear"/>
            <w:vAlign w:val="center"/>
          </w:tcPr>
          <w:p>
            <w:pPr>
              <w:pStyle w:val="TableContents"/>
              <w:bidi w:val="0"/>
              <w:spacing w:before="0" w:after="283"/>
              <w:ind w:left="280" w:right="0" w:firstLine="280"/>
              <w:jc w:val="left"/>
              <w:rPr/>
            </w:pPr>
            <w:r>
              <w:rPr/>
              <w:t> </w:t>
            </w:r>
          </w:p>
        </w:tc>
        <w:tc>
          <w:tcPr>
            <w:tcW w:w="5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2"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32" w:type="dxa"/>
            <w:tcBorders/>
            <w:shd w:fill="CFF0FC" w:val="clear"/>
            <w:vAlign w:val="center"/>
          </w:tcPr>
          <w:p>
            <w:pPr>
              <w:pStyle w:val="TableContents"/>
              <w:bidi w:val="0"/>
              <w:spacing w:before="0" w:after="283"/>
              <w:ind w:left="0" w:right="0" w:firstLine="280"/>
              <w:jc w:val="left"/>
              <w:rPr/>
            </w:pPr>
            <w:r>
              <w:rPr/>
              <w:t> </w:t>
            </w:r>
          </w:p>
        </w:tc>
      </w:tr>
      <w:tr>
        <w:trPr/>
        <w:tc>
          <w:tcPr>
            <w:tcW w:w="5739" w:type="dxa"/>
            <w:tcBorders/>
            <w:shd w:fill="FFFFFF" w:val="cle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Impairment of lease assets and property and equipment</w:t>
            </w:r>
            <w:r>
              <w:rPr>
                <w:rFonts w:ascii="Arial" w:hAnsi="Arial"/>
                <w:color w:val="000000"/>
                <w:sz w:val="13"/>
              </w:rPr>
              <w:t>(4)</w:t>
            </w:r>
          </w:p>
        </w:tc>
        <w:tc>
          <w:tcPr>
            <w:tcW w:w="566" w:type="dxa"/>
            <w:tcBorders/>
            <w:shd w:fill="FFFFFF" w:val="clear"/>
            <w:vAlign w:val="center"/>
          </w:tcPr>
          <w:p>
            <w:pPr>
              <w:pStyle w:val="TableContents"/>
              <w:bidi w:val="0"/>
              <w:spacing w:before="0" w:after="283"/>
              <w:ind w:left="280" w:right="0" w:firstLine="280"/>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52"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632" w:type="dxa"/>
            <w:tcBorders/>
            <w:shd w:fill="FFFFFF" w:val="clear"/>
            <w:vAlign w:val="center"/>
          </w:tcPr>
          <w:p>
            <w:pPr>
              <w:pStyle w:val="TableContents"/>
              <w:bidi w:val="0"/>
              <w:spacing w:before="0" w:after="283"/>
              <w:ind w:left="0" w:right="0" w:firstLine="280"/>
              <w:jc w:val="left"/>
              <w:rPr/>
            </w:pPr>
            <w:r>
              <w:rPr/>
              <w:t> </w:t>
            </w:r>
          </w:p>
        </w:tc>
      </w:tr>
      <w:tr>
        <w:trPr/>
        <w:tc>
          <w:tcPr>
            <w:tcW w:w="5739" w:type="dxa"/>
            <w:tcBorders/>
            <w:shd w:fill="CFF0FC" w:val="cle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Strategic alternatives expenses</w:t>
            </w:r>
            <w:r>
              <w:rPr>
                <w:rFonts w:ascii="Arial" w:hAnsi="Arial"/>
                <w:color w:val="000000"/>
                <w:sz w:val="11"/>
              </w:rPr>
              <w:t>(5)</w:t>
            </w:r>
          </w:p>
        </w:tc>
        <w:tc>
          <w:tcPr>
            <w:tcW w:w="566" w:type="dxa"/>
            <w:tcBorders/>
            <w:shd w:fill="CFF0FC" w:val="clear"/>
            <w:vAlign w:val="center"/>
          </w:tcPr>
          <w:p>
            <w:pPr>
              <w:pStyle w:val="TableContents"/>
              <w:bidi w:val="0"/>
              <w:spacing w:before="0" w:after="283"/>
              <w:ind w:left="280" w:right="0" w:firstLine="280"/>
              <w:jc w:val="left"/>
              <w:rPr/>
            </w:pPr>
            <w:r>
              <w:rPr/>
              <w:t> </w:t>
            </w:r>
          </w:p>
        </w:tc>
        <w:tc>
          <w:tcPr>
            <w:tcW w:w="5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2"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632" w:type="dxa"/>
            <w:tcBorders/>
            <w:shd w:fill="CFF0FC" w:val="clear"/>
            <w:vAlign w:val="center"/>
          </w:tcPr>
          <w:p>
            <w:pPr>
              <w:pStyle w:val="TableContents"/>
              <w:bidi w:val="0"/>
              <w:spacing w:before="0" w:after="283"/>
              <w:ind w:left="0" w:right="0" w:firstLine="280"/>
              <w:jc w:val="left"/>
              <w:rPr/>
            </w:pPr>
            <w:r>
              <w:rPr/>
              <w:t> </w:t>
            </w:r>
          </w:p>
        </w:tc>
      </w:tr>
      <w:tr>
        <w:trPr/>
        <w:tc>
          <w:tcPr>
            <w:tcW w:w="5739"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Others</w:t>
            </w:r>
          </w:p>
        </w:tc>
        <w:tc>
          <w:tcPr>
            <w:tcW w:w="566" w:type="dxa"/>
            <w:tcBorders/>
            <w:shd w:fill="FFFFFF" w:val="clear"/>
            <w:vAlign w:val="center"/>
          </w:tcPr>
          <w:p>
            <w:pPr>
              <w:pStyle w:val="TableContents"/>
              <w:bidi w:val="0"/>
              <w:spacing w:before="0" w:after="283"/>
              <w:ind w:left="280" w:right="0" w:firstLine="280"/>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739"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EBITDA</w:t>
            </w:r>
          </w:p>
        </w:tc>
        <w:tc>
          <w:tcPr>
            <w:tcW w:w="566" w:type="dxa"/>
            <w:tcBorders/>
            <w:shd w:fill="CFF0FC" w:val="clear"/>
            <w:vAlign w:val="center"/>
          </w:tcPr>
          <w:p>
            <w:pPr>
              <w:pStyle w:val="TableContents"/>
              <w:bidi w:val="0"/>
              <w:spacing w:before="0" w:after="283"/>
              <w:ind w:left="280" w:right="0" w:firstLine="280"/>
              <w:jc w:val="left"/>
              <w:rPr/>
            </w:pPr>
            <w:r>
              <w:rPr/>
              <w:t> </w:t>
            </w:r>
          </w:p>
        </w:tc>
        <w:tc>
          <w:tcPr>
            <w:tcW w:w="56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5739" w:type="dxa"/>
            <w:tcBorders/>
            <w:shd w:fill="FFFFFF"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Adjusted EBITDA margin</w:t>
            </w:r>
          </w:p>
        </w:tc>
        <w:tc>
          <w:tcPr>
            <w:tcW w:w="566" w:type="dxa"/>
            <w:tcBorders/>
            <w:shd w:fill="FFFFFF" w:val="clear"/>
            <w:vAlign w:val="center"/>
          </w:tcPr>
          <w:p>
            <w:pPr>
              <w:pStyle w:val="TableContents"/>
              <w:bidi w:val="0"/>
              <w:spacing w:before="0" w:after="283"/>
              <w:ind w:left="0" w:right="0" w:firstLine="420"/>
              <w:jc w:val="left"/>
              <w:rPr/>
            </w:pPr>
            <w:r>
              <w:rPr/>
              <w:t> </w:t>
            </w:r>
          </w:p>
        </w:tc>
        <w:tc>
          <w:tcPr>
            <w:tcW w:w="566" w:type="dxa"/>
            <w:tcBorders/>
            <w:shd w:fill="FFFFFF" w:val="clear"/>
            <w:vAlign w:val="center"/>
          </w:tcPr>
          <w:p>
            <w:pPr>
              <w:pStyle w:val="TableContents"/>
              <w:bidi w:val="0"/>
              <w:spacing w:before="0" w:after="283"/>
              <w:ind w:left="420" w:right="0" w:firstLine="42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c>
          <w:tcPr>
            <w:tcW w:w="566" w:type="dxa"/>
            <w:tcBorders/>
            <w:shd w:fill="FFFFFF" w:val="clear"/>
            <w:vAlign w:val="center"/>
          </w:tcPr>
          <w:p>
            <w:pPr>
              <w:pStyle w:val="TableContents"/>
              <w:bidi w:val="0"/>
              <w:spacing w:before="0" w:after="283"/>
              <w:ind w:left="420" w:right="0" w:firstLine="42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Total amount for the year ended December 31, 2023 consisted of $64 million of stock-based compensation expense and $4 million of related employer payroll taxes. Total amount for the year ended December 31, 2022 consisted of $72 million of stock-based compensation expense and $2 million of related employer payroll taxes.</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Total stock-based compensation related employer payroll taxes for the year ended December 31, 2023 increased by $2 million compared to the year ended December 31, 2022 primarily due to a catchup payroll tax adjustment related to employees that resided in Nevada during 2021.</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Total amount for the year ended December 31, 2023 consisted of $13 million of employee severance and other personnel reduction costs. Total amount for the year ended December 31, 2022 included a $15 million one-time discretionary cash bonus paid to select employees to cover their respective tax obligations triggered by the settlement of their RSUs that vested upon the Company’s initial public offering ("IPO") as well as restructuring charges consisting of $3 million of severance and other personnel reduction costs and $11 million in impairment of lease assets and property and equipment.</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Impairment of lease assets and property and equipment unrelated to restructuring activities.</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Our Board has initiated a process to explore a range of strategic alternatives to maximize value for our stockholders as disclosed in our 8-K filed with the SEC on November 7, 2023. These are the third-party expenses incurred in the relevant period related to the evaluation of strategic alternatives.</w:t>
      </w:r>
    </w:p>
    <w:p>
      <w:pPr>
        <w:pStyle w:val="TextBody"/>
        <w:bidi w:val="0"/>
        <w:spacing w:before="180" w:after="283"/>
        <w:jc w:val="both"/>
        <w:rPr>
          <w:rFonts w:ascii="Arial" w:hAnsi="Arial"/>
          <w:color w:val="000000"/>
          <w:sz w:val="20"/>
        </w:rPr>
      </w:pPr>
      <w:r>
        <w:rPr>
          <w:rFonts w:ascii="Arial" w:hAnsi="Arial"/>
          <w:color w:val="000000"/>
          <w:sz w:val="20"/>
        </w:rPr>
        <w:t>The following table summarizes our cash flows for the periods presented:</w:t>
      </w:r>
    </w:p>
    <w:p>
      <w:pPr>
        <w:pStyle w:val="TextBody"/>
        <w:bidi w:val="0"/>
        <w:jc w:val="both"/>
        <w:rPr/>
      </w:pPr>
      <w:r>
        <w:rPr/>
        <w:t> </w:t>
      </w:r>
    </w:p>
    <w:tbl>
      <w:tblPr>
        <w:tblW w:w="5645" w:type="dxa"/>
        <w:jc w:val="left"/>
        <w:tblInd w:w="0" w:type="dxa"/>
        <w:tblLayout w:type="fixed"/>
        <w:tblCellMar>
          <w:top w:w="28" w:type="dxa"/>
          <w:left w:w="28" w:type="dxa"/>
          <w:bottom w:w="28" w:type="dxa"/>
          <w:right w:w="28" w:type="dxa"/>
        </w:tblCellMar>
      </w:tblPr>
      <w:tblGrid>
        <w:gridCol w:w="2506"/>
        <w:gridCol w:w="146"/>
        <w:gridCol w:w="311"/>
        <w:gridCol w:w="710"/>
        <w:gridCol w:w="245"/>
        <w:gridCol w:w="215"/>
        <w:gridCol w:w="311"/>
        <w:gridCol w:w="710"/>
        <w:gridCol w:w="4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1" w:type="dxa"/>
            <w:tcBorders/>
            <w:shd w:fill="FFFFFF" w:val="cle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provided by:</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25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24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Free Cash Flow</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also provide Free Cash Flow, a non-GAAP financial measure that represents net cash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pStyle w:val="TextBody"/>
        <w:bidi w:val="0"/>
        <w:spacing w:before="120" w:after="283"/>
        <w:jc w:val="both"/>
        <w:rPr>
          <w:rFonts w:ascii="Arial" w:hAnsi="Arial"/>
          <w:color w:val="000000"/>
          <w:sz w:val="20"/>
        </w:rPr>
      </w:pPr>
      <w:r>
        <w:rPr>
          <w:rFonts w:ascii="Arial" w:hAnsi="Arial"/>
          <w:color w:val="000000"/>
          <w:sz w:val="20"/>
        </w:rPr>
        <w:t>Free Cash Flow has limitations as an analytical measure, and you should not consider it in isolation or as a substitute for analysis of our results as reported under GAAP. Some of these limitations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not a substitute for net cash used in operating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 companies may calculate Free Cash Flow or similarly titled non-U.S. GAAP measures differently or may use other measures to evaluate their performance, all of which could reduce the usefulness of free cash flow as a tool for comparison;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utility of free cash flow is further limited as it does not reflect our future contractual commitments and does not represent the total increase or decrease in our cash balance for any given period.</w:t>
      </w:r>
    </w:p>
    <w:p>
      <w:pPr>
        <w:pStyle w:val="TextBody"/>
        <w:bidi w:val="0"/>
        <w:spacing w:before="180" w:after="283"/>
        <w:jc w:val="both"/>
        <w:rPr>
          <w:rFonts w:ascii="Arial" w:hAnsi="Arial"/>
          <w:color w:val="000000"/>
          <w:sz w:val="20"/>
        </w:rPr>
      </w:pPr>
      <w:r>
        <w:rPr>
          <w:rFonts w:ascii="Arial" w:hAnsi="Arial"/>
          <w:color w:val="000000"/>
          <w:sz w:val="20"/>
        </w:rPr>
        <w:t>Because of these limitations, you should consider Free Cash Flow alongside other financial performance measures, such as net cash used in operating activities, net loss and our other GAAP results.</w:t>
      </w:r>
    </w:p>
    <w:p>
      <w:pPr>
        <w:pStyle w:val="TextBody"/>
        <w:bidi w:val="0"/>
        <w:spacing w:before="180" w:after="283"/>
        <w:jc w:val="both"/>
        <w:rPr>
          <w:rFonts w:ascii="Arial" w:hAnsi="Arial"/>
          <w:color w:val="000000"/>
          <w:sz w:val="20"/>
        </w:rPr>
      </w:pPr>
      <w:r>
        <w:rPr>
          <w:rFonts w:ascii="Arial" w:hAnsi="Arial"/>
          <w:color w:val="000000"/>
          <w:sz w:val="20"/>
        </w:rPr>
        <w:t>The following table reflects the reconciliation of net cash used in operating activities to Free Cash Flow for each of the periods indicated:</w:t>
      </w:r>
    </w:p>
    <w:p>
      <w:pPr>
        <w:pStyle w:val="TextBody"/>
        <w:bidi w:val="0"/>
        <w:jc w:val="both"/>
        <w:rPr/>
      </w:pPr>
      <w:r>
        <w:rPr/>
        <w:t> </w:t>
      </w:r>
    </w:p>
    <w:tbl>
      <w:tblPr>
        <w:tblW w:w="9599" w:type="dxa"/>
        <w:jc w:val="left"/>
        <w:tblInd w:w="0" w:type="dxa"/>
        <w:tblLayout w:type="fixed"/>
        <w:tblCellMar>
          <w:top w:w="28" w:type="dxa"/>
          <w:left w:w="28" w:type="dxa"/>
          <w:bottom w:w="28" w:type="dxa"/>
          <w:right w:w="28" w:type="dxa"/>
        </w:tblCellMar>
      </w:tblPr>
      <w:tblGrid>
        <w:gridCol w:w="7286"/>
        <w:gridCol w:w="146"/>
        <w:gridCol w:w="211"/>
        <w:gridCol w:w="481"/>
        <w:gridCol w:w="166"/>
        <w:gridCol w:w="146"/>
        <w:gridCol w:w="211"/>
        <w:gridCol w:w="481"/>
        <w:gridCol w:w="471"/>
      </w:tblGrid>
      <w:tr>
        <w:trPr/>
        <w:tc>
          <w:tcPr>
            <w:tcW w:w="7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7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471" w:type="dxa"/>
            <w:tcBorders/>
            <w:shd w:fill="FFFFFF" w:val="clear"/>
            <w:vAlign w:val="center"/>
          </w:tcPr>
          <w:p>
            <w:pPr>
              <w:pStyle w:val="TableContents"/>
              <w:bidi w:val="0"/>
              <w:spacing w:before="0" w:after="283"/>
              <w:jc w:val="center"/>
              <w:rPr/>
            </w:pPr>
            <w:r>
              <w:rPr/>
              <w:t> </w:t>
            </w:r>
          </w:p>
        </w:tc>
      </w:tr>
      <w:tr>
        <w:trPr/>
        <w:tc>
          <w:tcPr>
            <w:tcW w:w="7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7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72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 and development of internal-use software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2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Free Cash Flow</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See the “Liquidity and Capital Resources” section below for further discussion on our cash position and future liquidity for the year ended December 31, 2023.</w:t>
      </w:r>
    </w:p>
    <w:p>
      <w:pPr>
        <w:pStyle w:val="TextBody"/>
        <w:bidi w:val="0"/>
        <w:spacing w:before="180" w:after="283"/>
        <w:jc w:val="left"/>
        <w:rPr>
          <w:rFonts w:ascii="Arial" w:hAnsi="Arial"/>
          <w:b/>
          <w:color w:val="000000"/>
          <w:sz w:val="20"/>
        </w:rPr>
      </w:pPr>
      <w:r>
        <w:rPr>
          <w:rFonts w:ascii="Arial" w:hAnsi="Arial"/>
          <w:b/>
          <w:color w:val="000000"/>
          <w:sz w:val="20"/>
        </w:rPr>
        <w:t>Components of Results of Operations</w:t>
      </w:r>
    </w:p>
    <w:p>
      <w:pPr>
        <w:pStyle w:val="TextBody"/>
        <w:bidi w:val="0"/>
        <w:spacing w:before="18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revenue consists of marketplace and logistics revenue.</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Marketplace revenue</w:t>
      </w:r>
    </w:p>
    <w:p>
      <w:pPr>
        <w:pStyle w:val="TextBody"/>
        <w:bidi w:val="0"/>
        <w:spacing w:before="180" w:after="283"/>
        <w:jc w:val="both"/>
        <w:rPr>
          <w:rFonts w:ascii="Times New Roman" w:hAnsi="Times New Roman"/>
          <w:sz w:val="20"/>
        </w:rPr>
      </w:pPr>
      <w:r>
        <w:rPr>
          <w:rFonts w:ascii="Arial" w:hAnsi="Arial"/>
          <w:color w:val="000000"/>
          <w:sz w:val="20"/>
        </w:rPr>
        <w:t>We provide a mix of marketplace services to our customers. We provide merchants access to our marketplace where merchants display and sell their products to users. We also provide ProductBoost services to help merchants promote their products within our marketplace.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 xml:space="preserve">Marketplace revenue includes commission fees collected in connection with user purchases of the merchants’ products. The commission fees vary depending on factors such as geography, product category, Wish Standards' tier, item value and dynamic pricing. We recognize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our marketplace. We recognize ProductBoost revenue based on the number of impressions delivered, or clicks by users. </w:t>
      </w:r>
      <w:r>
        <w:rPr>
          <w:rFonts w:ascii="Arial" w:hAnsi="Arial"/>
          <w:i/>
          <w:color w:val="000000"/>
          <w:sz w:val="20"/>
        </w:rPr>
        <w:t>Logistics revenue</w:t>
      </w:r>
    </w:p>
    <w:p>
      <w:pPr>
        <w:pStyle w:val="TextBody"/>
        <w:bidi w:val="0"/>
        <w:spacing w:before="180" w:after="283"/>
        <w:jc w:val="both"/>
        <w:rPr>
          <w:rFonts w:ascii="Times New Roman" w:hAnsi="Times New Roman"/>
          <w:sz w:val="20"/>
        </w:rPr>
      </w:pPr>
      <w:r>
        <w:rPr>
          <w:rFonts w:ascii="Arial" w:hAnsi="Arial"/>
          <w:color w:val="000000"/>
          <w:sz w:val="20"/>
        </w:rPr>
        <w:t>Our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recognize revenue over time as the merchant simultaneously receives and consumes the logistics services benefit as the logistics services are performed. We use an output method of progress based on days in transit as it best depicts the Company’s progress toward complete satisfaction of the performance obligation.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Cost of Revenue and Operating Expenses</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Cost of revenue</w:t>
      </w:r>
    </w:p>
    <w:p>
      <w:pPr>
        <w:pStyle w:val="TextBody"/>
        <w:bidi w:val="0"/>
        <w:spacing w:before="180" w:after="283"/>
        <w:jc w:val="both"/>
        <w:rPr>
          <w:rFonts w:ascii="Times New Roman" w:hAnsi="Times New Roman"/>
          <w:sz w:val="20"/>
        </w:rPr>
      </w:pPr>
      <w:r>
        <w:rPr>
          <w:rFonts w:ascii="Arial" w:hAnsi="Arial"/>
          <w:color w:val="000000"/>
          <w:sz w:val="20"/>
        </w:rPr>
        <w:t>Cost of revenue includes colocation and data center charges, interchange and other fees for credit card processing services, fraud and chargeback prevention service charges, costs of refunds and chargebacks made to our users that we are not able to collect from our merchants, depreciation and amortization of property and equipment, shipping charges, tracking and logistics costs, warehouse fees, and employee-related costs, including salaries, benefits, and stock-based compensation expense for our infrastructure, merchant support, and logistics personnel. Cost of revenue also includes an allocation of general information technology ("IT") and facilities overhead expenses.</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Sales and marketing</w:t>
      </w:r>
    </w:p>
    <w:p>
      <w:pPr>
        <w:pStyle w:val="TextBody"/>
        <w:bidi w:val="0"/>
        <w:spacing w:before="180" w:after="283"/>
        <w:jc w:val="both"/>
        <w:rPr>
          <w:rFonts w:ascii="Arial" w:hAnsi="Arial"/>
          <w:color w:val="000000"/>
          <w:sz w:val="20"/>
        </w:rPr>
      </w:pPr>
      <w:r>
        <w:rPr>
          <w:rFonts w:ascii="Arial" w:hAnsi="Arial"/>
          <w:color w:val="000000"/>
          <w:sz w:val="20"/>
        </w:rPr>
        <w:t>Our sales and marketing expenses are primarily driven by the cost of acquiring and engaging users by targeting social media and search engine digital advertisements, outsourced user support services, sponsorships and local marketing campaigns. Other drivers consist of employee-related costs, including salaries, benefits, and stock-based compensation, for our employees involved in marketing, user support, and business development functions. Sales and marketing spend also includes an allocation of general IT and facilities overhead expenses as well as business development expenses for attracting merchants and conducting ongoing merchant education.</w:t>
      </w:r>
    </w:p>
    <w:p>
      <w:pPr>
        <w:pStyle w:val="TextBody"/>
        <w:bidi w:val="0"/>
        <w:spacing w:before="180" w:after="283"/>
        <w:jc w:val="both"/>
        <w:rPr>
          <w:rFonts w:ascii="Arial" w:hAnsi="Arial"/>
          <w:i/>
          <w:color w:val="000000"/>
          <w:sz w:val="20"/>
        </w:rPr>
      </w:pPr>
      <w:r>
        <w:rPr>
          <w:rFonts w:ascii="Arial" w:hAnsi="Arial"/>
          <w:i/>
          <w:color w:val="000000"/>
          <w:sz w:val="20"/>
        </w:rPr>
        <w:t>Product development</w:t>
      </w:r>
    </w:p>
    <w:p>
      <w:pPr>
        <w:pStyle w:val="TextBody"/>
        <w:bidi w:val="0"/>
        <w:spacing w:before="180" w:after="283"/>
        <w:jc w:val="both"/>
        <w:rPr>
          <w:rFonts w:ascii="Arial" w:hAnsi="Arial"/>
          <w:color w:val="000000"/>
          <w:sz w:val="20"/>
        </w:rPr>
      </w:pPr>
      <w:r>
        <w:rPr>
          <w:rFonts w:ascii="Arial" w:hAnsi="Arial"/>
          <w:color w:val="000000"/>
          <w:sz w:val="20"/>
        </w:rPr>
        <w:t>Our product development expenses consist primarily of employee-related costs, including salaries, benefits, and stock-based compensation for our engineers and other employees involved in product development activities. Product development costs have historically been expensed as incurred. Product development costs also include the cost of IT and outside services used by the product development team as well as an allocation of general IT and facilities overhead expenses.</w:t>
      </w:r>
    </w:p>
    <w:p>
      <w:pPr>
        <w:pStyle w:val="TextBody"/>
        <w:bidi w:val="0"/>
        <w:spacing w:before="180" w:after="283"/>
        <w:jc w:val="both"/>
        <w:rPr>
          <w:rFonts w:ascii="Arial" w:hAnsi="Arial"/>
          <w:i/>
          <w:color w:val="000000"/>
          <w:sz w:val="20"/>
        </w:rPr>
      </w:pPr>
      <w:r>
        <w:rPr>
          <w:rFonts w:ascii="Arial" w:hAnsi="Arial"/>
          <w:i/>
          <w:color w:val="000000"/>
          <w:sz w:val="20"/>
        </w:rPr>
        <w:t>General and administrative</w:t>
      </w:r>
    </w:p>
    <w:p>
      <w:pPr>
        <w:pStyle w:val="TextBody"/>
        <w:bidi w:val="0"/>
        <w:spacing w:before="180" w:after="283"/>
        <w:jc w:val="both"/>
        <w:rPr>
          <w:rFonts w:ascii="Arial" w:hAnsi="Arial"/>
          <w:color w:val="000000"/>
          <w:sz w:val="20"/>
        </w:rPr>
      </w:pPr>
      <w:r>
        <w:rPr>
          <w:rFonts w:ascii="Arial" w:hAnsi="Arial"/>
          <w:color w:val="000000"/>
          <w:sz w:val="20"/>
        </w:rPr>
        <w:t>Our general and administrative expenses consist primarily of employee-related costs, including salaries, benefits, and stock-based compensation for our executives, finance, legal, information technology, human resources, and other administrative teams. General and administrative expenses also include outside consulting, legal, tax, and accounting services, and facilities and other supporting overhead costs.</w:t>
      </w:r>
    </w:p>
    <w:p>
      <w:pPr>
        <w:pStyle w:val="TextBody"/>
        <w:bidi w:val="0"/>
        <w:spacing w:before="180" w:after="283"/>
        <w:jc w:val="both"/>
        <w:rPr>
          <w:rFonts w:ascii="Arial" w:hAnsi="Arial"/>
          <w:b/>
          <w:i/>
          <w:color w:val="000000"/>
          <w:sz w:val="20"/>
        </w:rPr>
      </w:pPr>
      <w:r>
        <w:rPr>
          <w:rFonts w:ascii="Arial" w:hAnsi="Arial"/>
          <w:b/>
          <w:i/>
          <w:color w:val="000000"/>
          <w:sz w:val="20"/>
        </w:rPr>
        <w:t>Interest and Other Income, net</w:t>
      </w:r>
    </w:p>
    <w:p>
      <w:pPr>
        <w:pStyle w:val="TextBody"/>
        <w:bidi w:val="0"/>
        <w:spacing w:before="180" w:after="283"/>
        <w:jc w:val="both"/>
        <w:rPr>
          <w:rFonts w:ascii="Times New Roman" w:hAnsi="Times New Roman"/>
          <w:sz w:val="20"/>
        </w:rPr>
      </w:pPr>
      <w:r>
        <w:rPr>
          <w:rFonts w:ascii="Arial" w:hAnsi="Arial"/>
          <w:color w:val="000000"/>
          <w:sz w:val="20"/>
        </w:rPr>
        <w:t>Interest and other income, net consists primarily of interest income earned on our cash, cash equivalents and marketable securities, interest expense, foreign exchange gain or loss and gain or loss from our foreign currency forward contracts.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Income Tax</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Income taxes consist primarily of income taxes in certain foreign jurisdictions in which we conduct business.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Results of Operations</w:t>
      </w:r>
    </w:p>
    <w:p>
      <w:pPr>
        <w:pStyle w:val="TextBody"/>
        <w:bidi w:val="0"/>
        <w:spacing w:before="180" w:after="283"/>
        <w:jc w:val="both"/>
        <w:rPr>
          <w:rFonts w:ascii="Times New Roman" w:hAnsi="Times New Roman"/>
          <w:sz w:val="20"/>
        </w:rPr>
      </w:pPr>
      <w:r>
        <w:rPr>
          <w:rFonts w:ascii="Arial" w:hAnsi="Arial"/>
          <w:color w:val="000000"/>
          <w:sz w:val="20"/>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69" w:type="dxa"/>
        <w:jc w:val="left"/>
        <w:tblInd w:w="0" w:type="dxa"/>
        <w:tblLayout w:type="fixed"/>
        <w:tblCellMar>
          <w:top w:w="28" w:type="dxa"/>
          <w:left w:w="28" w:type="dxa"/>
          <w:bottom w:w="28" w:type="dxa"/>
          <w:right w:w="28" w:type="dxa"/>
        </w:tblCellMar>
      </w:tblPr>
      <w:tblGrid>
        <w:gridCol w:w="3776"/>
        <w:gridCol w:w="146"/>
        <w:gridCol w:w="211"/>
        <w:gridCol w:w="481"/>
        <w:gridCol w:w="166"/>
        <w:gridCol w:w="146"/>
        <w:gridCol w:w="211"/>
        <w:gridCol w:w="481"/>
        <w:gridCol w:w="75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br/>
              <w:t>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7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751" w:type="dxa"/>
            <w:tcBorders/>
            <w:shd w:fill="CFF0FC"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Cost of revenue</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751" w:type="dxa"/>
            <w:tcBorders/>
            <w:shd w:fill="CFF0FC"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776"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Sales and marketing</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776"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Product development</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776"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General and administrative</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7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751"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7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(1) Includes stock-based compensation expense as follows:</w:t>
      </w:r>
    </w:p>
    <w:p>
      <w:pPr>
        <w:pStyle w:val="TextBody"/>
        <w:bidi w:val="0"/>
        <w:jc w:val="both"/>
        <w:rPr/>
      </w:pPr>
      <w:r>
        <w:rPr/>
        <w:t> </w:t>
      </w:r>
    </w:p>
    <w:tbl>
      <w:tblPr>
        <w:tblW w:w="5363" w:type="dxa"/>
        <w:jc w:val="left"/>
        <w:tblInd w:w="0" w:type="dxa"/>
        <w:tblLayout w:type="fixed"/>
        <w:tblCellMar>
          <w:top w:w="28" w:type="dxa"/>
          <w:left w:w="28" w:type="dxa"/>
          <w:bottom w:w="28" w:type="dxa"/>
          <w:right w:w="28" w:type="dxa"/>
        </w:tblCellMar>
      </w:tblPr>
      <w:tblGrid>
        <w:gridCol w:w="3236"/>
        <w:gridCol w:w="146"/>
        <w:gridCol w:w="146"/>
        <w:gridCol w:w="214"/>
        <w:gridCol w:w="320"/>
        <w:gridCol w:w="148"/>
        <w:gridCol w:w="148"/>
        <w:gridCol w:w="214"/>
        <w:gridCol w:w="320"/>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71" w:type="dxa"/>
            <w:tcBorders/>
            <w:shd w:fill="FFFFFF" w:val="cle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following table presents the components of our consolidated statements of operations as a percentage of revenue:</w:t>
      </w:r>
      <w:r>
        <w:rPr>
          <w:rFonts w:ascii="Times New Roman" w:hAnsi="Times New Roman"/>
          <w:color w:val="000000"/>
          <w:sz w:val="20"/>
        </w:rPr>
        <w:t xml:space="preserve"> </w:t>
      </w:r>
    </w:p>
    <w:p>
      <w:pPr>
        <w:pStyle w:val="TextBody"/>
        <w:bidi w:val="0"/>
        <w:jc w:val="both"/>
        <w:rPr/>
      </w:pPr>
      <w:r>
        <w:rPr/>
        <w:t> </w:t>
      </w:r>
    </w:p>
    <w:tbl>
      <w:tblPr>
        <w:tblW w:w="6779" w:type="dxa"/>
        <w:jc w:val="left"/>
        <w:tblInd w:w="0" w:type="dxa"/>
        <w:tblLayout w:type="fixed"/>
        <w:tblCellMar>
          <w:top w:w="28" w:type="dxa"/>
          <w:left w:w="28" w:type="dxa"/>
          <w:bottom w:w="28" w:type="dxa"/>
          <w:right w:w="28" w:type="dxa"/>
        </w:tblCellMar>
      </w:tblPr>
      <w:tblGrid>
        <w:gridCol w:w="4056"/>
        <w:gridCol w:w="146"/>
        <w:gridCol w:w="146"/>
        <w:gridCol w:w="481"/>
        <w:gridCol w:w="346"/>
        <w:gridCol w:w="146"/>
        <w:gridCol w:w="146"/>
        <w:gridCol w:w="421"/>
        <w:gridCol w:w="8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br/>
              <w:t>December 31,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8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8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891" w:type="dxa"/>
            <w:tcBorders/>
            <w:shd w:fill="FFFFFF" w:val="clear"/>
            <w:vAlign w:val="center"/>
          </w:tcPr>
          <w:p>
            <w:pPr>
              <w:pStyle w:val="TableContents"/>
              <w:bidi w:val="0"/>
              <w:spacing w:before="0" w:after="283"/>
              <w:ind w:left="0" w:right="0" w:firstLine="280"/>
              <w:jc w:val="right"/>
              <w:rPr/>
            </w:pPr>
            <w:r>
              <w:rPr/>
              <w:t> </w:t>
            </w:r>
          </w:p>
        </w:tc>
      </w:tr>
      <w:tr>
        <w:trPr/>
        <w:tc>
          <w:tcPr>
            <w:tcW w:w="40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8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8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8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8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891" w:type="dxa"/>
            <w:tcBorders/>
            <w:shd w:fill="FFFFFF" w:val="clear"/>
            <w:vAlign w:val="center"/>
          </w:tcPr>
          <w:p>
            <w:pPr>
              <w:pStyle w:val="TableContents"/>
              <w:bidi w:val="0"/>
              <w:spacing w:before="0" w:after="283"/>
              <w:ind w:left="0" w:right="0" w:firstLine="280"/>
              <w:jc w:val="right"/>
              <w:rPr/>
            </w:pPr>
            <w:r>
              <w:rPr/>
              <w:t> </w:t>
            </w:r>
          </w:p>
        </w:tc>
      </w:tr>
      <w:tr>
        <w:trPr/>
        <w:tc>
          <w:tcPr>
            <w:tcW w:w="40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05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8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Comparison of the Years Ended December 31, 2023 and 2022</w:t>
      </w:r>
    </w:p>
    <w:p>
      <w:pPr>
        <w:pStyle w:val="TextBody"/>
        <w:bidi w:val="0"/>
        <w:spacing w:before="180" w:after="283"/>
        <w:jc w:val="both"/>
        <w:rPr>
          <w:rFonts w:ascii="Arial" w:hAnsi="Arial"/>
          <w:b/>
          <w:i/>
          <w:color w:val="000000"/>
          <w:sz w:val="20"/>
        </w:rPr>
      </w:pPr>
      <w:r>
        <w:rPr>
          <w:rFonts w:ascii="Arial" w:hAnsi="Arial"/>
          <w:b/>
          <w:i/>
          <w:color w:val="000000"/>
          <w:sz w:val="20"/>
        </w:rPr>
        <w:t>Revenue</w:t>
      </w:r>
    </w:p>
    <w:p>
      <w:pPr>
        <w:pStyle w:val="TextBody"/>
        <w:bidi w:val="0"/>
        <w:jc w:val="both"/>
        <w:rPr/>
      </w:pPr>
      <w:r>
        <w:rPr/>
        <w:t> </w:t>
      </w:r>
    </w:p>
    <w:tbl>
      <w:tblPr>
        <w:tblW w:w="7272" w:type="dxa"/>
        <w:jc w:val="left"/>
        <w:tblInd w:w="0" w:type="dxa"/>
        <w:tblLayout w:type="fixed"/>
        <w:tblCellMar>
          <w:top w:w="28" w:type="dxa"/>
          <w:left w:w="28" w:type="dxa"/>
          <w:bottom w:w="28" w:type="dxa"/>
          <w:right w:w="28" w:type="dxa"/>
        </w:tblCellMar>
      </w:tblPr>
      <w:tblGrid>
        <w:gridCol w:w="2801"/>
        <w:gridCol w:w="146"/>
        <w:gridCol w:w="211"/>
        <w:gridCol w:w="421"/>
        <w:gridCol w:w="146"/>
        <w:gridCol w:w="146"/>
        <w:gridCol w:w="211"/>
        <w:gridCol w:w="421"/>
        <w:gridCol w:w="146"/>
        <w:gridCol w:w="146"/>
        <w:gridCol w:w="211"/>
        <w:gridCol w:w="481"/>
        <w:gridCol w:w="166"/>
        <w:gridCol w:w="146"/>
        <w:gridCol w:w="146"/>
        <w:gridCol w:w="376"/>
        <w:gridCol w:w="95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7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951" w:type="dxa"/>
            <w:tcBorders/>
            <w:shd w:fill="FFFFFF" w:val="clear"/>
            <w:vAlign w:val="center"/>
          </w:tcPr>
          <w:p>
            <w:pPr>
              <w:pStyle w:val="TableContents"/>
              <w:bidi w:val="0"/>
              <w:spacing w:before="0" w:after="283"/>
              <w:ind w:left="0" w:right="0" w:firstLine="280"/>
              <w:jc w:val="center"/>
              <w:rPr/>
            </w:pPr>
            <w:r>
              <w:rPr/>
              <w:t> </w:t>
            </w:r>
          </w:p>
        </w:tc>
      </w:tr>
      <w:tr>
        <w:trPr/>
        <w:tc>
          <w:tcPr>
            <w:tcW w:w="280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Core marketplace revenue</w:t>
            </w:r>
            <w:r>
              <w:rPr>
                <w:rFonts w:ascii="Arial" w:hAnsi="Arial"/>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9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0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ProductBoost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9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Marketplace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9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Logistics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951"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0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9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 xml:space="preserve">Wish Cash liability breakage recognized within core marketplace revenue was $3 million and $4 million for the years ended December 31, 2023 and 2022, respectively. Refer to Note 4 to our consolidated financial statements in Item 8 "Financial Statements and Supplementary Data" for additional details. In addition, core marketplace revenue included approximately a $3 million net loss and $6 million net loss for the years ended December 31, 2023 and 2022, respectively, from our cash flow hedging program. </w:t>
      </w:r>
    </w:p>
    <w:p>
      <w:pPr>
        <w:pStyle w:val="TextBody"/>
        <w:bidi w:val="0"/>
        <w:spacing w:before="180" w:after="283"/>
        <w:jc w:val="both"/>
        <w:rPr>
          <w:rFonts w:ascii="Arial" w:hAnsi="Arial"/>
          <w:color w:val="000000"/>
          <w:sz w:val="20"/>
        </w:rPr>
      </w:pPr>
      <w:r>
        <w:rPr>
          <w:rFonts w:ascii="Arial" w:hAnsi="Arial"/>
          <w:color w:val="000000"/>
          <w:sz w:val="20"/>
        </w:rPr>
        <w:t>Revenue decreased $284 million, or 50%, to $287 million for the year ended December 31, 2023 as compared to $571 million for the year ended December 31, 2022. This decrease was attributable to decreased marketplace and logistics revenue, as noted below.</w:t>
      </w:r>
    </w:p>
    <w:p>
      <w:pPr>
        <w:pStyle w:val="TextBody"/>
        <w:bidi w:val="0"/>
        <w:spacing w:before="180" w:after="283"/>
        <w:jc w:val="both"/>
        <w:rPr>
          <w:rFonts w:ascii="Arial" w:hAnsi="Arial"/>
          <w:color w:val="000000"/>
          <w:sz w:val="20"/>
        </w:rPr>
      </w:pPr>
      <w:r>
        <w:rPr>
          <w:rFonts w:ascii="Arial" w:hAnsi="Arial"/>
          <w:color w:val="000000"/>
          <w:sz w:val="20"/>
        </w:rPr>
        <w:t>Marketplace revenue decreased $156 million, or 59% to $110 million for the year ended December 31, 2023, as compared to $266 million for the year ended December 31, 2022. This decrease was primarily driven by lower order volumes associated with reduced MAUs and LTM Active Buyers, as well as revisions to our pricing strategy, which resulted in lower marketplace revenue.</w:t>
      </w:r>
    </w:p>
    <w:p>
      <w:pPr>
        <w:pStyle w:val="TextBody"/>
        <w:bidi w:val="0"/>
        <w:spacing w:before="180" w:after="283"/>
        <w:jc w:val="both"/>
        <w:rPr>
          <w:rFonts w:ascii="Arial" w:hAnsi="Arial"/>
          <w:color w:val="000000"/>
          <w:sz w:val="20"/>
        </w:rPr>
      </w:pPr>
      <w:r>
        <w:rPr>
          <w:rFonts w:ascii="Arial" w:hAnsi="Arial"/>
          <w:color w:val="000000"/>
          <w:sz w:val="20"/>
        </w:rPr>
        <w:t>Logistics revenue decreased $128 million or 42% to $177 million for the year ended December 31, 2023, as compared to $305 million for the year ended December 31, 2022. Like marketplace revenue, the decrease was primarily driven by lower order volumes during the year ended December 31, 2023 as compared to the year ended December 31, 2022.</w:t>
      </w:r>
    </w:p>
    <w:p>
      <w:pPr>
        <w:pStyle w:val="TextBody"/>
        <w:bidi w:val="0"/>
        <w:spacing w:before="180" w:after="283"/>
        <w:jc w:val="both"/>
        <w:rPr>
          <w:rFonts w:ascii="Times New Roman" w:hAnsi="Times New Roman"/>
          <w:sz w:val="20"/>
        </w:rPr>
      </w:pPr>
      <w:r>
        <w:rPr>
          <w:rFonts w:ascii="Arial" w:hAnsi="Arial"/>
          <w:b/>
          <w:i/>
          <w:color w:val="000000"/>
          <w:sz w:val="20"/>
        </w:rPr>
        <w:t>Cost of Revenue and Gross Margin</w:t>
      </w:r>
      <w:r>
        <w:rPr>
          <w:rFonts w:ascii="Times New Roman" w:hAnsi="Times New Roman"/>
          <w:color w:val="000000"/>
          <w:sz w:val="20"/>
        </w:rPr>
        <w:t xml:space="preserve"> </w:t>
      </w:r>
    </w:p>
    <w:p>
      <w:pPr>
        <w:pStyle w:val="TextBody"/>
        <w:bidi w:val="0"/>
        <w:jc w:val="both"/>
        <w:rPr/>
      </w:pPr>
      <w:r>
        <w:rPr/>
        <w:t> </w:t>
      </w:r>
    </w:p>
    <w:tbl>
      <w:tblPr>
        <w:tblW w:w="6837" w:type="dxa"/>
        <w:jc w:val="left"/>
        <w:tblInd w:w="0" w:type="dxa"/>
        <w:tblLayout w:type="fixed"/>
        <w:tblCellMar>
          <w:top w:w="28" w:type="dxa"/>
          <w:left w:w="28" w:type="dxa"/>
          <w:bottom w:w="28" w:type="dxa"/>
          <w:right w:w="28" w:type="dxa"/>
        </w:tblCellMar>
      </w:tblPr>
      <w:tblGrid>
        <w:gridCol w:w="2366"/>
        <w:gridCol w:w="146"/>
        <w:gridCol w:w="211"/>
        <w:gridCol w:w="421"/>
        <w:gridCol w:w="286"/>
        <w:gridCol w:w="146"/>
        <w:gridCol w:w="211"/>
        <w:gridCol w:w="421"/>
        <w:gridCol w:w="286"/>
        <w:gridCol w:w="146"/>
        <w:gridCol w:w="211"/>
        <w:gridCol w:w="481"/>
        <w:gridCol w:w="166"/>
        <w:gridCol w:w="146"/>
        <w:gridCol w:w="146"/>
        <w:gridCol w:w="376"/>
        <w:gridCol w:w="67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5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71" w:type="dxa"/>
            <w:tcBorders/>
            <w:shd w:fill="FFFFFF" w:val="clear"/>
            <w:vAlign w:val="center"/>
          </w:tcPr>
          <w:p>
            <w:pPr>
              <w:pStyle w:val="TableContents"/>
              <w:bidi w:val="0"/>
              <w:spacing w:before="0" w:after="283"/>
              <w:jc w:val="center"/>
              <w:rPr/>
            </w:pPr>
            <w:r>
              <w:rPr/>
              <w:t> </w:t>
            </w:r>
          </w:p>
        </w:tc>
      </w:tr>
      <w:tr>
        <w:trPr/>
        <w:tc>
          <w:tcPr>
            <w:tcW w:w="2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71" w:type="dxa"/>
            <w:tcBorders/>
            <w:shd w:fill="FFFFFF" w:val="clear"/>
            <w:vAlign w:val="center"/>
          </w:tcPr>
          <w:p>
            <w:pPr>
              <w:pStyle w:val="TableContents"/>
              <w:bidi w:val="0"/>
              <w:spacing w:before="0" w:after="283"/>
              <w:jc w:val="right"/>
              <w:rPr/>
            </w:pPr>
            <w:r>
              <w:rPr/>
              <w:t> </w:t>
            </w:r>
          </w:p>
        </w:tc>
      </w:tr>
      <w:tr>
        <w:trPr/>
        <w:tc>
          <w:tcPr>
            <w:tcW w:w="2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80" w:after="283"/>
        <w:jc w:val="both"/>
        <w:rPr>
          <w:rFonts w:ascii="Arial" w:hAnsi="Arial"/>
          <w:color w:val="000000"/>
          <w:sz w:val="20"/>
        </w:rPr>
      </w:pPr>
      <w:r>
        <w:rPr>
          <w:rFonts w:ascii="Arial" w:hAnsi="Arial"/>
          <w:color w:val="000000"/>
          <w:sz w:val="20"/>
        </w:rPr>
        <w:t>Cost of revenue decreased $177 million, or 44%, to $228 million for the year ended December 31, 2023, as compared to $405 million for the year ended December 31, 2022. This decrease was primarily due to lower marketplace and logistics related costs as a result of lower order volumes.</w:t>
      </w:r>
    </w:p>
    <w:p>
      <w:pPr>
        <w:pStyle w:val="TextBody"/>
        <w:bidi w:val="0"/>
        <w:spacing w:before="180" w:after="283"/>
        <w:jc w:val="both"/>
        <w:rPr>
          <w:rFonts w:ascii="Arial" w:hAnsi="Arial"/>
          <w:color w:val="000000"/>
          <w:sz w:val="20"/>
        </w:rPr>
      </w:pPr>
      <w:r>
        <w:rPr>
          <w:rFonts w:ascii="Arial" w:hAnsi="Arial"/>
          <w:color w:val="000000"/>
          <w:sz w:val="20"/>
        </w:rPr>
        <w:t>The gross margin decreased to 21% for the year ended December 31, 2023 from 29% for the year ended December 31, 2022, primarily driven by a greater percentage of lower margin logistics services making up overall revenue during the year ended December 31, 2023 as compared to the year ended December 31, 2022, and revisions to our pricing strategy.</w:t>
      </w:r>
    </w:p>
    <w:p>
      <w:pPr>
        <w:pStyle w:val="TextBody"/>
        <w:bidi w:val="0"/>
        <w:spacing w:before="180" w:after="283"/>
        <w:jc w:val="both"/>
        <w:rPr>
          <w:rFonts w:ascii="Arial" w:hAnsi="Arial"/>
          <w:b/>
          <w:i/>
          <w:color w:val="000000"/>
          <w:sz w:val="20"/>
        </w:rPr>
      </w:pPr>
      <w:r>
        <w:rPr>
          <w:rFonts w:ascii="Arial" w:hAnsi="Arial"/>
          <w:b/>
          <w:i/>
          <w:color w:val="000000"/>
          <w:sz w:val="20"/>
        </w:rPr>
        <w:t>Sales and Marketing</w:t>
      </w:r>
    </w:p>
    <w:tbl>
      <w:tblPr>
        <w:tblW w:w="6837" w:type="dxa"/>
        <w:jc w:val="left"/>
        <w:tblInd w:w="0" w:type="dxa"/>
        <w:tblLayout w:type="fixed"/>
        <w:tblCellMar>
          <w:top w:w="28" w:type="dxa"/>
          <w:left w:w="28" w:type="dxa"/>
          <w:bottom w:w="28" w:type="dxa"/>
          <w:right w:w="28" w:type="dxa"/>
        </w:tblCellMar>
      </w:tblPr>
      <w:tblGrid>
        <w:gridCol w:w="2366"/>
        <w:gridCol w:w="146"/>
        <w:gridCol w:w="211"/>
        <w:gridCol w:w="421"/>
        <w:gridCol w:w="286"/>
        <w:gridCol w:w="146"/>
        <w:gridCol w:w="211"/>
        <w:gridCol w:w="421"/>
        <w:gridCol w:w="286"/>
        <w:gridCol w:w="146"/>
        <w:gridCol w:w="211"/>
        <w:gridCol w:w="481"/>
        <w:gridCol w:w="166"/>
        <w:gridCol w:w="146"/>
        <w:gridCol w:w="146"/>
        <w:gridCol w:w="376"/>
        <w:gridCol w:w="67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5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71" w:type="dxa"/>
            <w:tcBorders/>
            <w:shd w:fill="FFFFFF" w:val="clear"/>
            <w:vAlign w:val="center"/>
          </w:tcPr>
          <w:p>
            <w:pPr>
              <w:pStyle w:val="TableContents"/>
              <w:bidi w:val="0"/>
              <w:spacing w:before="0" w:after="283"/>
              <w:jc w:val="center"/>
              <w:rPr/>
            </w:pPr>
            <w:r>
              <w:rPr/>
              <w:t> </w:t>
            </w:r>
          </w:p>
        </w:tc>
      </w:tr>
      <w:tr>
        <w:trPr/>
        <w:tc>
          <w:tcPr>
            <w:tcW w:w="2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7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Sales and marketing expenses decreased $111 million, or 44%, to $143 million for the year ended December 31, 2023, compared to $254 million for the year ended December 31, 2022. The decrease was primarily due to a $92 million reduction in advertising expenditures, a $11 million reduction of employee-related costs due to lower headcount, and a $7 million reduction in customer support service and other costs as a result of lower order volumes.</w:t>
      </w:r>
    </w:p>
    <w:p>
      <w:pPr>
        <w:pStyle w:val="TextBody"/>
        <w:bidi w:val="0"/>
        <w:spacing w:before="180" w:after="283"/>
        <w:jc w:val="both"/>
        <w:rPr>
          <w:rFonts w:ascii="Times New Roman" w:hAnsi="Times New Roman"/>
          <w:sz w:val="20"/>
        </w:rPr>
      </w:pPr>
      <w:r>
        <w:rPr>
          <w:rFonts w:ascii="Arial" w:hAnsi="Arial"/>
          <w:b/>
          <w:i/>
          <w:color w:val="000000"/>
          <w:sz w:val="20"/>
        </w:rPr>
        <w:t>Product Development</w:t>
      </w:r>
      <w:r>
        <w:rPr>
          <w:rFonts w:ascii="Times New Roman" w:hAnsi="Times New Roman"/>
          <w:color w:val="000000"/>
          <w:sz w:val="20"/>
        </w:rPr>
        <w:t xml:space="preserve"> </w:t>
      </w:r>
    </w:p>
    <w:p>
      <w:pPr>
        <w:pStyle w:val="TextBody"/>
        <w:bidi w:val="0"/>
        <w:jc w:val="both"/>
        <w:rPr/>
      </w:pPr>
      <w:r>
        <w:rPr/>
        <w:t> </w:t>
      </w:r>
    </w:p>
    <w:tbl>
      <w:tblPr>
        <w:tblW w:w="6732" w:type="dxa"/>
        <w:jc w:val="left"/>
        <w:tblInd w:w="0" w:type="dxa"/>
        <w:tblLayout w:type="fixed"/>
        <w:tblCellMar>
          <w:top w:w="28" w:type="dxa"/>
          <w:left w:w="28" w:type="dxa"/>
          <w:bottom w:w="28" w:type="dxa"/>
          <w:right w:w="28" w:type="dxa"/>
        </w:tblCellMar>
      </w:tblPr>
      <w:tblGrid>
        <w:gridCol w:w="2366"/>
        <w:gridCol w:w="146"/>
        <w:gridCol w:w="211"/>
        <w:gridCol w:w="421"/>
        <w:gridCol w:w="286"/>
        <w:gridCol w:w="146"/>
        <w:gridCol w:w="211"/>
        <w:gridCol w:w="421"/>
        <w:gridCol w:w="286"/>
        <w:gridCol w:w="146"/>
        <w:gridCol w:w="211"/>
        <w:gridCol w:w="376"/>
        <w:gridCol w:w="166"/>
        <w:gridCol w:w="146"/>
        <w:gridCol w:w="146"/>
        <w:gridCol w:w="376"/>
        <w:gridCol w:w="67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49"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71" w:type="dxa"/>
            <w:tcBorders/>
            <w:shd w:fill="FFFFFF" w:val="clear"/>
            <w:vAlign w:val="center"/>
          </w:tcPr>
          <w:p>
            <w:pPr>
              <w:pStyle w:val="TableContents"/>
              <w:bidi w:val="0"/>
              <w:spacing w:before="0" w:after="283"/>
              <w:jc w:val="center"/>
              <w:rPr/>
            </w:pPr>
            <w:r>
              <w:rPr/>
              <w:t> </w:t>
            </w:r>
          </w:p>
        </w:tc>
      </w:tr>
      <w:tr>
        <w:trPr/>
        <w:tc>
          <w:tcPr>
            <w:tcW w:w="2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71"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Product development expense decreased $42 million, or 22%, to $152 million for the year ended December 31, 2023, as compared to $194 million for the year ended December 31, 2022. The decrease was primarily due to a $34 million reduction of employee-related costs, including stock-based compensation, due to lower headcount, a $9 million one-time discretionary bonus paid to select product development employees during the first quarter of 2022 to help cover their tax obligations triggered by the settlement of their RSUs that vested upon the Company’s IPO, and $3 million decrease in other product related expenditures. These decreases were partially offset by an increase of $4 million in impairment of lease assets and property and equipment.</w:t>
      </w:r>
    </w:p>
    <w:p>
      <w:pPr>
        <w:pStyle w:val="TextBody"/>
        <w:bidi w:val="0"/>
        <w:spacing w:before="180" w:after="283"/>
        <w:jc w:val="both"/>
        <w:rPr>
          <w:rFonts w:ascii="Times New Roman" w:hAnsi="Times New Roman"/>
          <w:sz w:val="20"/>
        </w:rPr>
      </w:pPr>
      <w:r>
        <w:rPr>
          <w:rFonts w:ascii="Arial" w:hAnsi="Arial"/>
          <w:b/>
          <w:i/>
          <w:color w:val="000000"/>
          <w:sz w:val="20"/>
        </w:rPr>
        <w:t>General and Administrative</w:t>
      </w:r>
      <w:r>
        <w:rPr>
          <w:rFonts w:ascii="Times New Roman" w:hAnsi="Times New Roman"/>
          <w:color w:val="000000"/>
          <w:sz w:val="20"/>
        </w:rPr>
        <w:t xml:space="preserve"> </w:t>
      </w:r>
    </w:p>
    <w:p>
      <w:pPr>
        <w:pStyle w:val="TextBody"/>
        <w:bidi w:val="0"/>
        <w:spacing w:before="180" w:after="283"/>
        <w:jc w:val="both"/>
        <w:rPr/>
      </w:pPr>
      <w:r>
        <w:rPr/>
        <w:t> </w:t>
      </w:r>
    </w:p>
    <w:tbl>
      <w:tblPr>
        <w:tblW w:w="6707" w:type="dxa"/>
        <w:jc w:val="left"/>
        <w:tblInd w:w="0" w:type="dxa"/>
        <w:tblLayout w:type="fixed"/>
        <w:tblCellMar>
          <w:top w:w="28" w:type="dxa"/>
          <w:left w:w="28" w:type="dxa"/>
          <w:bottom w:w="28" w:type="dxa"/>
          <w:right w:w="28" w:type="dxa"/>
        </w:tblCellMar>
      </w:tblPr>
      <w:tblGrid>
        <w:gridCol w:w="2446"/>
        <w:gridCol w:w="146"/>
        <w:gridCol w:w="211"/>
        <w:gridCol w:w="316"/>
        <w:gridCol w:w="286"/>
        <w:gridCol w:w="146"/>
        <w:gridCol w:w="211"/>
        <w:gridCol w:w="421"/>
        <w:gridCol w:w="286"/>
        <w:gridCol w:w="146"/>
        <w:gridCol w:w="211"/>
        <w:gridCol w:w="376"/>
        <w:gridCol w:w="166"/>
        <w:gridCol w:w="146"/>
        <w:gridCol w:w="146"/>
        <w:gridCol w:w="376"/>
        <w:gridCol w:w="67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4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71" w:type="dxa"/>
            <w:tcBorders/>
            <w:shd w:fill="FFFFFF" w:val="cle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4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71"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General and administrative expenses decreased $24 million, or 21%, to $92 million for the year ended December 31, 2023, as compared to $116 million for the year ended December 31, 2022. The decrease was primarily due to a $10 million reduction of employee-related cost, due to lower headcount, $11 million decrease in impairment of lease assets and property and equipment, and $15 million decrease in insurance and legal expenses. The decrease was partially offset by a $12 million increase in stock-based compensation expense mostly driven by one-time reversals in 2022 of $21 million of stock-based compensation expense in connection with the resignation of Mr. Szulczewski from his former position as CEO, offset in part by the $6 million accelerated vesting of stock-based compensation expense recognized in 2022 in connection with the termination of Mr. Talwar from his position of CEO, and an overall decrease in other stock-based compensation in 2023 due to lower headcount.</w:t>
      </w:r>
    </w:p>
    <w:p>
      <w:pPr>
        <w:pStyle w:val="TextBody"/>
        <w:bidi w:val="0"/>
        <w:spacing w:before="180" w:after="283"/>
        <w:jc w:val="both"/>
        <w:rPr>
          <w:rFonts w:ascii="Times New Roman" w:hAnsi="Times New Roman"/>
          <w:sz w:val="20"/>
        </w:rPr>
      </w:pPr>
      <w:r>
        <w:rPr>
          <w:rFonts w:ascii="Arial" w:hAnsi="Arial"/>
          <w:b/>
          <w:i/>
          <w:color w:val="000000"/>
          <w:sz w:val="20"/>
        </w:rPr>
        <w:t>Interest and Other Income, net</w:t>
      </w:r>
      <w:r>
        <w:rPr>
          <w:rFonts w:ascii="Times New Roman" w:hAnsi="Times New Roman"/>
          <w:color w:val="000000"/>
          <w:sz w:val="20"/>
        </w:rPr>
        <w:t xml:space="preserve"> </w:t>
      </w:r>
    </w:p>
    <w:p>
      <w:pPr>
        <w:pStyle w:val="TextBody"/>
        <w:bidi w:val="0"/>
        <w:jc w:val="both"/>
        <w:rPr/>
      </w:pPr>
      <w:r>
        <w:rPr/>
        <w:t> </w:t>
      </w:r>
    </w:p>
    <w:tbl>
      <w:tblPr>
        <w:tblW w:w="6477" w:type="dxa"/>
        <w:jc w:val="left"/>
        <w:tblInd w:w="0" w:type="dxa"/>
        <w:tblLayout w:type="fixed"/>
        <w:tblCellMar>
          <w:top w:w="28" w:type="dxa"/>
          <w:left w:w="28" w:type="dxa"/>
          <w:bottom w:w="28" w:type="dxa"/>
          <w:right w:w="28" w:type="dxa"/>
        </w:tblCellMar>
      </w:tblPr>
      <w:tblGrid>
        <w:gridCol w:w="2731"/>
        <w:gridCol w:w="146"/>
        <w:gridCol w:w="211"/>
        <w:gridCol w:w="316"/>
        <w:gridCol w:w="286"/>
        <w:gridCol w:w="146"/>
        <w:gridCol w:w="211"/>
        <w:gridCol w:w="316"/>
        <w:gridCol w:w="286"/>
        <w:gridCol w:w="146"/>
        <w:gridCol w:w="211"/>
        <w:gridCol w:w="211"/>
        <w:gridCol w:w="146"/>
        <w:gridCol w:w="146"/>
        <w:gridCol w:w="146"/>
        <w:gridCol w:w="211"/>
        <w:gridCol w:w="6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9"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11" w:type="dxa"/>
            <w:tcBorders/>
            <w:shd w:fill="FFFFFF" w:val="cle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1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7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Interest and other income, net increased $1 million, or 7%, to $16 million for the year ended December 31, 2023, as compared to $15 million for the year ended December 31, 2022. The increase was attributable to less foreign exchange losses offset by an increase in interest income due to higher interest rates.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Provision for Income Taxes</w:t>
      </w:r>
      <w:r>
        <w:rPr>
          <w:rFonts w:ascii="Times New Roman" w:hAnsi="Times New Roman"/>
          <w:color w:val="000000"/>
          <w:sz w:val="20"/>
        </w:rPr>
        <w:t xml:space="preserve"> </w:t>
      </w:r>
    </w:p>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2446"/>
        <w:gridCol w:w="146"/>
        <w:gridCol w:w="263"/>
        <w:gridCol w:w="263"/>
        <w:gridCol w:w="306"/>
        <w:gridCol w:w="156"/>
        <w:gridCol w:w="263"/>
        <w:gridCol w:w="263"/>
        <w:gridCol w:w="286"/>
        <w:gridCol w:w="146"/>
        <w:gridCol w:w="211"/>
        <w:gridCol w:w="211"/>
        <w:gridCol w:w="146"/>
        <w:gridCol w:w="146"/>
        <w:gridCol w:w="146"/>
        <w:gridCol w:w="421"/>
        <w:gridCol w:w="61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Year Ended </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2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11" w:type="dxa"/>
            <w:tcBorders/>
            <w:shd w:fill="FFFFFF" w:val="cle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0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61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4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Percentage of revenue</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Provision for income taxes increased $4 million, or 400%, to $5 million for the year ended December 31, 2023, as compared to $1 million for the year ended December 31, 2022. The increase was primarily due to an increase in unrecognized tax benefits for the year ended December 31, 2023.</w:t>
      </w:r>
    </w:p>
    <w:p>
      <w:pPr>
        <w:pStyle w:val="TextBody"/>
        <w:bidi w:val="0"/>
        <w:spacing w:before="18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2023, we had cash, cash equivalents and marketable securities of $382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incurred net operating cash outflows of $341 million and $422 million in the years ending December 31, 2023 and 2022, respectively. Our material cash requirements include $104 million in accounts and merchants payable, $45 million remaining on a colocation and cloud services purchase commitment, and $14 million of facility lease obligations, of which $8 million is due within the next 12 months.</w:t>
      </w:r>
    </w:p>
    <w:p>
      <w:pPr>
        <w:pStyle w:val="TextBody"/>
        <w:bidi w:val="0"/>
        <w:spacing w:before="180" w:after="283"/>
        <w:jc w:val="both"/>
        <w:rPr>
          <w:rFonts w:ascii="Arial" w:hAnsi="Arial"/>
          <w:b/>
          <w:i/>
          <w:color w:val="000000"/>
          <w:sz w:val="20"/>
        </w:rPr>
      </w:pPr>
      <w:r>
        <w:rPr>
          <w:rFonts w:ascii="Arial" w:hAnsi="Arial"/>
          <w:b/>
          <w:i/>
          <w:color w:val="000000"/>
          <w:sz w:val="20"/>
        </w:rPr>
        <w:t>Sources of Liquidity</w:t>
      </w:r>
    </w:p>
    <w:p>
      <w:pPr>
        <w:pStyle w:val="TextBody"/>
        <w:bidi w:val="0"/>
        <w:spacing w:before="180" w:after="283"/>
        <w:jc w:val="both"/>
        <w:rPr>
          <w:rFonts w:ascii="Arial" w:hAnsi="Arial"/>
          <w:color w:val="000000"/>
          <w:sz w:val="20"/>
        </w:rPr>
      </w:pPr>
      <w:r>
        <w:rPr>
          <w:rFonts w:ascii="Arial" w:hAnsi="Arial"/>
          <w:color w:val="000000"/>
          <w:sz w:val="20"/>
        </w:rPr>
        <w:t>In December 2020, we completed our IPO of Class A common stock and received net proceeds of approximately $1.1 billion after deducting underwriting discounts and commissions of approximately $52 million, but before deducting offering costs, net of reimbursements, of approximately $6 million. As of December 31, 2023, we did not have any outstanding borrowings. If the Asset Sale is consummated, the net cash proceeds from the Asset Sale we receive will be an additional source of liquidity, although there can be no assurance that the Asset Sale will be consummated on the expected timing or at all.</w:t>
      </w:r>
    </w:p>
    <w:p>
      <w:pPr>
        <w:pStyle w:val="TextBody"/>
        <w:bidi w:val="0"/>
        <w:spacing w:before="180" w:after="283"/>
        <w:jc w:val="both"/>
        <w:rPr>
          <w:rFonts w:ascii="Arial" w:hAnsi="Arial"/>
          <w:b/>
          <w:i/>
          <w:color w:val="000000"/>
          <w:sz w:val="20"/>
        </w:rPr>
      </w:pPr>
      <w:r>
        <w:rPr>
          <w:rFonts w:ascii="Arial" w:hAnsi="Arial"/>
          <w:b/>
          <w:i/>
          <w:color w:val="000000"/>
          <w:sz w:val="20"/>
        </w:rPr>
        <w:t>Share Repurchase Program</w:t>
      </w:r>
    </w:p>
    <w:p>
      <w:pPr>
        <w:pStyle w:val="TextBody"/>
        <w:bidi w:val="0"/>
        <w:spacing w:before="180" w:after="283"/>
        <w:jc w:val="both"/>
        <w:rPr>
          <w:rFonts w:ascii="Arial" w:hAnsi="Arial"/>
          <w:color w:val="000000"/>
          <w:sz w:val="20"/>
        </w:rPr>
      </w:pPr>
      <w:r>
        <w:rPr>
          <w:rFonts w:ascii="Arial" w:hAnsi="Arial"/>
          <w:color w:val="000000"/>
          <w:sz w:val="20"/>
        </w:rPr>
        <w:t>On April 20, 2023, we announced that our board of directors authorized us to repurchase up to $50 million of the Company’s common stock, effective through December 31, 2023. Under this Program, we may repurchase our common stock through open market transactions, in privately negotiated transactions, or by other means, including through the use of trading plans, each in accordance with applicable securities laws 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pStyle w:val="TextBody"/>
        <w:bidi w:val="0"/>
        <w:spacing w:before="180" w:after="283"/>
        <w:jc w:val="both"/>
        <w:rPr>
          <w:rFonts w:ascii="Arial" w:hAnsi="Arial"/>
          <w:color w:val="000000"/>
          <w:sz w:val="20"/>
        </w:rPr>
      </w:pPr>
      <w:r>
        <w:rPr>
          <w:rFonts w:ascii="Arial" w:hAnsi="Arial"/>
          <w:color w:val="000000"/>
          <w:sz w:val="20"/>
        </w:rPr>
        <w:t>There were no share repurchases through December 31, 2023 and the repurchase program is no longer active.</w:t>
      </w:r>
    </w:p>
    <w:p>
      <w:pPr>
        <w:pStyle w:val="TextBody"/>
        <w:bidi w:val="0"/>
        <w:spacing w:before="180" w:after="283"/>
        <w:jc w:val="both"/>
        <w:rPr>
          <w:rFonts w:ascii="Arial" w:hAnsi="Arial"/>
          <w:b/>
          <w:i/>
          <w:color w:val="000000"/>
          <w:sz w:val="20"/>
        </w:rPr>
      </w:pPr>
      <w:r>
        <w:rPr>
          <w:rFonts w:ascii="Arial" w:hAnsi="Arial"/>
          <w:b/>
          <w:i/>
          <w:color w:val="000000"/>
          <w:sz w:val="20"/>
        </w:rPr>
        <w:t>November 2020 Credit Facility</w:t>
      </w:r>
    </w:p>
    <w:p>
      <w:pPr>
        <w:pStyle w:val="TextBody"/>
        <w:bidi w:val="0"/>
        <w:spacing w:before="180" w:after="283"/>
        <w:jc w:val="both"/>
        <w:rPr>
          <w:rFonts w:ascii="Arial" w:hAnsi="Arial"/>
          <w:color w:val="000000"/>
          <w:sz w:val="20"/>
        </w:rPr>
      </w:pPr>
      <w:r>
        <w:rPr>
          <w:rFonts w:ascii="Arial" w:hAnsi="Arial"/>
          <w:color w:val="000000"/>
          <w:sz w:val="20"/>
        </w:rPr>
        <w:t>In November 2020, we entered into the Revolving Credit Facility which enables us to borrow up to $280 million. The Revolving Credit Facility contains a minimum liquidity financial covenant of $350 million, which includes unrestricted cash and any available borrowing capacity under the Revolving Credit Facility. As of December 31, 2023, we had not made any borrowings under the Revolving Credit Facility. Refer to Note 7 to our consolidated financial statements in Item 8 of Part II, “Financial Statements and Supplementary Data” for additional details related to the Revolving Credit Facility. If the Asset Sale closes, we expect to terminate the Revolving Credit Facility at the closing of such transaction.</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Cash Flows</w:t>
      </w:r>
    </w:p>
    <w:tbl>
      <w:tblPr>
        <w:tblW w:w="5645" w:type="dxa"/>
        <w:jc w:val="left"/>
        <w:tblInd w:w="0" w:type="dxa"/>
        <w:tblLayout w:type="fixed"/>
        <w:tblCellMar>
          <w:top w:w="28" w:type="dxa"/>
          <w:left w:w="28" w:type="dxa"/>
          <w:bottom w:w="28" w:type="dxa"/>
          <w:right w:w="28" w:type="dxa"/>
        </w:tblCellMar>
      </w:tblPr>
      <w:tblGrid>
        <w:gridCol w:w="2506"/>
        <w:gridCol w:w="146"/>
        <w:gridCol w:w="311"/>
        <w:gridCol w:w="710"/>
        <w:gridCol w:w="245"/>
        <w:gridCol w:w="215"/>
        <w:gridCol w:w="311"/>
        <w:gridCol w:w="710"/>
        <w:gridCol w:w="4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1" w:type="dxa"/>
            <w:tcBorders/>
            <w:shd w:fill="FFFFFF" w:val="cle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provided by:</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25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24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operating activities for the year ended December 31, 2023 was $341 million. This was primarily driven by our net loss of $317 million and $90 million of unfavorable changes in our operating assets and liabilities, which was partially offset by non-cash expenses of $66 million, consisting of $64 million in stock-based compensation expense and $2 million of other non-cash expenses. Unfavorable working capital movement was mainly driven by reductions in accounts payable, merchants payable and accrued and refund liabilities. Accounts payable, merchants payable, and accrued and refund liabilities decreased by $106 million primarily due to lower order volumes and reduced digital advertising expenditures.</w:t>
      </w:r>
    </w:p>
    <w:p>
      <w:pPr>
        <w:pStyle w:val="TextBody"/>
        <w:bidi w:val="0"/>
        <w:spacing w:before="180" w:after="283"/>
        <w:jc w:val="both"/>
        <w:rPr>
          <w:rFonts w:ascii="Arial" w:hAnsi="Arial"/>
          <w:color w:val="000000"/>
          <w:sz w:val="20"/>
        </w:rPr>
      </w:pPr>
      <w:r>
        <w:rPr>
          <w:rFonts w:ascii="Arial" w:hAnsi="Arial"/>
          <w:color w:val="000000"/>
          <w:sz w:val="20"/>
        </w:rPr>
        <w:t>Net cash used in our operating activities for the year ended December 31, 2022 was $422 million. This was primarily driven by our net loss of $384 million and $136 million of unfavorable changes in our operating assets and liabilities, which was partially offset by non-cash expenses of $98 million, consisting of $72 million in stock-based compensation expense and $26 million of other non-cash expenses. Unfavorable working capital movement was mainly driven by reductions in accounts payable, merchants payable and accrued and refund liabilities. Accounts payable, merchants payable, and accrued and refund liabilities decreased by $127 million primarily due to lower order volumes and reduced digital advertising expenditures.</w:t>
      </w:r>
    </w:p>
    <w:p>
      <w:pPr>
        <w:pStyle w:val="TextBody"/>
        <w:bidi w:val="0"/>
        <w:spacing w:before="180" w:after="283"/>
        <w:jc w:val="both"/>
        <w:rPr>
          <w:rFonts w:ascii="Times New Roman" w:hAnsi="Times New Roman"/>
          <w:sz w:val="20"/>
        </w:rPr>
      </w:pPr>
      <w:r>
        <w:rPr>
          <w:rFonts w:ascii="Arial" w:hAnsi="Arial"/>
          <w:b/>
          <w:i/>
          <w:color w:val="000000"/>
          <w:sz w:val="20"/>
        </w:rPr>
        <w:t>Net Cash Used in Investing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primary investing activities have consisted of investing excess cash balances in marketable securities.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provided by investing activities was $74 million for the year ended December 31, 2023. This was primarily due to $390 million of maturities in marketable securities, partially offset by $313 million in purchases of marketable securities and $3 million in capital expenditures.</w:t>
      </w:r>
    </w:p>
    <w:p>
      <w:pPr>
        <w:pStyle w:val="TextBody"/>
        <w:bidi w:val="0"/>
        <w:spacing w:before="180" w:after="283"/>
        <w:jc w:val="both"/>
        <w:rPr>
          <w:rFonts w:ascii="Arial" w:hAnsi="Arial"/>
          <w:color w:val="000000"/>
          <w:sz w:val="20"/>
        </w:rPr>
      </w:pPr>
      <w:r>
        <w:rPr>
          <w:rFonts w:ascii="Arial" w:hAnsi="Arial"/>
          <w:color w:val="000000"/>
          <w:sz w:val="20"/>
        </w:rPr>
        <w:t>Net cash used in investing activities was $47 million for the year ended December 31, 2022. This was primarily due to $368 million in purchases of marketable securities and $2 million in capital expenditures, partially offset by $321 million of maturities in marketable securities and $2 million of other investing activities.</w:t>
      </w:r>
    </w:p>
    <w:p>
      <w:pPr>
        <w:pStyle w:val="TextBody"/>
        <w:bidi w:val="0"/>
        <w:spacing w:before="180" w:after="283"/>
        <w:jc w:val="both"/>
        <w:rPr>
          <w:rFonts w:ascii="Times New Roman" w:hAnsi="Times New Roman"/>
          <w:sz w:val="20"/>
        </w:rPr>
      </w:pPr>
      <w:r>
        <w:rPr>
          <w:rFonts w:ascii="Arial" w:hAnsi="Arial"/>
          <w:b/>
          <w:i/>
          <w:color w:val="000000"/>
          <w:sz w:val="20"/>
        </w:rPr>
        <w:t>Net Cash (Used in) Provided by Financing Activities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was $5 million for the year ended December 31, 2023. This was primarily due to $5 million in payments of taxes related to employee RSU settlements and cashless exercises of stock options.</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was $22 million for the year ended December 31, 2022. This was primarily due to $23 million in payments of taxes related to employee RSU settlements and cashless exercises of stock options, offset by $1 million in proceeds from common stock purchased under the Company's Employee Stock Purchase Plan.</w:t>
      </w:r>
    </w:p>
    <w:p>
      <w:pPr>
        <w:pStyle w:val="TextBody"/>
        <w:bidi w:val="0"/>
        <w:spacing w:before="180" w:after="283"/>
        <w:jc w:val="both"/>
        <w:rPr>
          <w:rFonts w:ascii="Times New Roman" w:hAnsi="Times New Roman"/>
          <w:sz w:val="20"/>
        </w:rPr>
      </w:pPr>
      <w:r>
        <w:rPr>
          <w:rFonts w:ascii="Arial" w:hAnsi="Arial"/>
          <w:b/>
          <w:color w:val="000000"/>
          <w:sz w:val="20"/>
        </w:rPr>
        <w:t>Off Balance Sheet Arrangements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 the years ended December 31, 2023 and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management’s discussion and analysis of our financial condition and results of operations is based on our consolidated financial statements, which have been prepared in accordance with GAAP as set forth in the Financial Accounting Standards Board’s Accounting Standards Codification (“ASC”).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believe the accounting policies below involve a significant degree of assumptions and estimates, and thus have the greatest potential impact on our consolidated financial statements. For further information on all of our significant accounting policies, refer to our consolidated financial statements in Item 8 of Part II, “Financial Statements and Supplementary Data, Note 2. Summary of Significant Accounting Policies”.</w:t>
      </w:r>
    </w:p>
    <w:p>
      <w:pPr>
        <w:pStyle w:val="TextBody"/>
        <w:bidi w:val="0"/>
        <w:spacing w:before="180" w:after="283"/>
        <w:jc w:val="both"/>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 xml:space="preserve">The most critical judgments required in applying ASC 606, </w:t>
      </w:r>
      <w:r>
        <w:rPr>
          <w:rFonts w:ascii="Arial" w:hAnsi="Arial"/>
          <w:i/>
          <w:color w:val="000000"/>
          <w:sz w:val="20"/>
        </w:rPr>
        <w:t xml:space="preserve">Revenue Recognition from Customers, </w:t>
      </w:r>
      <w:r>
        <w:rPr>
          <w:rFonts w:ascii="Arial" w:hAnsi="Arial"/>
          <w:color w:val="000000"/>
          <w:sz w:val="20"/>
        </w:rPr>
        <w:t>and our revenue policy relate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determination of distinct promises to the customer that should not be combined;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recognition of revenue, as a principal or an agent based on the nature of the promise, and at a point in time or over time;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Estimates related to future refunds and chargebacks;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evaluation of whether a promotion or incentive is a payment to a customer or a non-customer;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determination of accounting treatment based on whether the contract is with a customer, vendor or other parties.</w:t>
      </w:r>
    </w:p>
    <w:p>
      <w:pPr>
        <w:pStyle w:val="TextBody"/>
        <w:bidi w:val="0"/>
        <w:spacing w:before="180" w:after="283"/>
        <w:jc w:val="both"/>
        <w:rPr>
          <w:rFonts w:ascii="Times New Roman" w:hAnsi="Times New Roman"/>
          <w:sz w:val="20"/>
        </w:rPr>
      </w:pPr>
      <w:r>
        <w:rPr>
          <w:rFonts w:ascii="Arial" w:hAnsi="Arial"/>
          <w:color w:val="000000"/>
          <w:sz w:val="20"/>
        </w:rPr>
        <w:t>Changes in judgments with respect to these assumptions and estimates could impact the timing and amount of revenue recognition.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Deferred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Deferred revenue consists of amounts received, primarily related to unsatisfied performance obligations of logistics services, at the end of the period. Due to the short-term duration of contracts, all of the performance obligations will be satisfied in the following reporting period.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Wish Cash Liability</w:t>
      </w:r>
    </w:p>
    <w:p>
      <w:pPr>
        <w:pStyle w:val="TextBody"/>
        <w:bidi w:val="0"/>
        <w:spacing w:before="180" w:after="283"/>
        <w:jc w:val="both"/>
        <w:rPr>
          <w:rFonts w:ascii="Arial" w:hAnsi="Arial"/>
          <w:color w:val="000000"/>
          <w:sz w:val="20"/>
        </w:rPr>
      </w:pPr>
      <w:r>
        <w:rPr>
          <w:rFonts w:ascii="Arial" w:hAnsi="Arial"/>
          <w:color w:val="000000"/>
          <w:sz w:val="20"/>
        </w:rPr>
        <w:t>We issue Wish Cash to end-users who opt to receive it for their refundable transactions, and as a part of our various referral and incentive programs. We accrue a liability for issued Wish Cash which is reduced when Wish Cash is redeemed by our users. We record breakage revenue within core marketplace revenue, on unredeemed Wish Cash balances based on expected customer redemption. We estimate breakage based on historical and expected trends. Actual redemptions may vary from our estimates.</w:t>
      </w:r>
    </w:p>
    <w:p>
      <w:pPr>
        <w:pStyle w:val="TextBody"/>
        <w:bidi w:val="0"/>
        <w:spacing w:before="180" w:after="283"/>
        <w:jc w:val="both"/>
        <w:rPr>
          <w:rFonts w:ascii="Times New Roman" w:hAnsi="Times New Roman"/>
          <w:sz w:val="20"/>
        </w:rPr>
      </w:pPr>
      <w:r>
        <w:rPr>
          <w:rFonts w:ascii="Arial" w:hAnsi="Arial"/>
          <w:b/>
          <w:i/>
          <w:color w:val="000000"/>
          <w:sz w:val="20"/>
        </w:rPr>
        <w:t>Operating Lease Obligations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lease facilities and data center colocations in multiple locations under non-cancelable lease agreements through 2027. For leases with a term greater than one year, lease liabilities are recognized at the lease commencement date based on the present value of the future lease payments over the expected lease term. The discount rate the Company uses to estimate the present value of future lease payments is the Company’s incremental borrowing rate because the rate implicit in our leases are not readily available. The right-of-use ("ROU") asset is determined based on the lease liability initially established and adjusted for any prepaid lease payments and any lease incentives received. The expected lease term to calculate the ROU asset and related lease liability includes options to extend or terminate the lease when it is reasonably certain that the Company will exercise the option.</w:t>
      </w:r>
    </w:p>
    <w:p>
      <w:pPr>
        <w:pStyle w:val="TextBody"/>
        <w:bidi w:val="0"/>
        <w:spacing w:before="180" w:after="283"/>
        <w:jc w:val="both"/>
        <w:rPr>
          <w:rFonts w:ascii="Times New Roman" w:hAnsi="Times New Roman"/>
          <w:sz w:val="20"/>
        </w:rPr>
      </w:pPr>
      <w:r>
        <w:rPr>
          <w:rFonts w:ascii="Arial" w:hAnsi="Arial"/>
          <w:color w:val="000000"/>
          <w:sz w:val="20"/>
        </w:rPr>
        <w:t>Determining the incremental borrowing rate to calculate the present value of future lease payments involves considerable estimates and assumptions. These estimates and assumptions include, among others, future economic and market conditions, analysis of publicly traded debt of companies with similar credit risk profiles of our own, and likelihood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Company exercising lease renewal options (if applicable). Changes in these factors and assumptions used can materially affect the amount of ROU assets and lease liabilities we recognize on our consolidated balance sheets.</w:t>
      </w:r>
    </w:p>
    <w:p>
      <w:pPr>
        <w:pStyle w:val="TextBody"/>
        <w:bidi w:val="0"/>
        <w:spacing w:before="180" w:after="283"/>
        <w:jc w:val="both"/>
        <w:rPr>
          <w:rFonts w:ascii="Arial" w:hAnsi="Arial"/>
          <w:b/>
          <w:i/>
          <w:color w:val="000000"/>
          <w:sz w:val="20"/>
        </w:rPr>
      </w:pPr>
      <w:r>
        <w:rPr>
          <w:rFonts w:ascii="Arial" w:hAnsi="Arial"/>
          <w:b/>
          <w:i/>
          <w:color w:val="000000"/>
          <w:sz w:val="20"/>
        </w:rPr>
        <w:t>Impairment of Long-Lived Assets</w:t>
      </w:r>
    </w:p>
    <w:p>
      <w:pPr>
        <w:pStyle w:val="TextBody"/>
        <w:bidi w:val="0"/>
        <w:spacing w:before="180" w:after="283"/>
        <w:jc w:val="both"/>
        <w:rPr>
          <w:rFonts w:ascii="Times New Roman" w:hAnsi="Times New Roman"/>
          <w:sz w:val="20"/>
        </w:rPr>
      </w:pPr>
      <w:r>
        <w:rPr>
          <w:rFonts w:ascii="Arial" w:hAnsi="Arial"/>
          <w:color w:val="000000"/>
          <w:sz w:val="20"/>
        </w:rPr>
        <w:t>We review long-lived assets, including intangible and ROU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Calculating the fair value of the asset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w:t>
      </w:r>
    </w:p>
    <w:p>
      <w:pPr>
        <w:pStyle w:val="TextBody"/>
        <w:bidi w:val="0"/>
        <w:spacing w:before="180" w:after="283"/>
        <w:jc w:val="both"/>
        <w:rPr>
          <w:rFonts w:ascii="Arial" w:hAnsi="Arial"/>
          <w:b/>
          <w:i/>
          <w:color w:val="000000"/>
          <w:sz w:val="20"/>
        </w:rPr>
      </w:pPr>
      <w:r>
        <w:rPr>
          <w:rFonts w:ascii="Arial" w:hAnsi="Arial"/>
          <w:b/>
          <w:i/>
          <w:color w:val="000000"/>
          <w:sz w:val="20"/>
        </w:rPr>
        <w:t>Loss Contingencies</w:t>
      </w:r>
    </w:p>
    <w:p>
      <w:pPr>
        <w:pStyle w:val="TextBody"/>
        <w:bidi w:val="0"/>
        <w:spacing w:before="180" w:after="283"/>
        <w:jc w:val="both"/>
        <w:rPr>
          <w:rFonts w:ascii="Arial" w:hAnsi="Arial"/>
          <w:color w:val="000000"/>
          <w:sz w:val="20"/>
        </w:rPr>
      </w:pPr>
      <w:r>
        <w:rPr>
          <w:rFonts w:ascii="Arial" w:hAnsi="Arial"/>
          <w:color w:val="000000"/>
          <w:sz w:val="20"/>
        </w:rPr>
        <w:t>We are involved in various lawsuits, claims, investigations, and proceedings that arise in the ordinary course of business. Certain of these matters include speculative claims for substantial or indeterminate amounts of damages. We record a liability when we believe that it is both probable that a loss has been incurred and the amount or range can be reasonably estimated. We disclose material contingencies when we believe that a loss is not probable but reasonably possible. Significant judgment is required to determine both probability and the estimated amount. We review these provisions on an ongoing basis and adjust these provisions accordingly to reflect the impact of negotiations, settlements, rulings, advice of legal counsel, and updated information.</w:t>
      </w:r>
    </w:p>
    <w:p>
      <w:pPr>
        <w:pStyle w:val="TextBody"/>
        <w:bidi w:val="0"/>
        <w:spacing w:before="180" w:after="283"/>
        <w:jc w:val="left"/>
        <w:rPr>
          <w:rFonts w:ascii="Arial" w:hAnsi="Arial"/>
          <w:color w:val="000000"/>
          <w:sz w:val="20"/>
        </w:rPr>
      </w:pPr>
      <w:r>
        <w:rPr>
          <w:rFonts w:ascii="Arial" w:hAnsi="Arial"/>
          <w:color w:val="000000"/>
          <w:sz w:val="20"/>
        </w:rPr>
        <w:t>The outcome of legal matters and litigation is inherently uncertain. Therefore, if one or more of these legal matters were resolved against us for amounts in excess of management’s expectations, our results of operations, and financial condition, including in a particular reporting period, could be materially adversely affected</w:t>
      </w:r>
    </w:p>
    <w:p>
      <w:pPr>
        <w:pStyle w:val="TextBody"/>
        <w:bidi w:val="0"/>
        <w:spacing w:before="180" w:after="283"/>
        <w:jc w:val="both"/>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measure and recognize compensation expense for all stock-based awards, including restricted stock units (“RSUs”), performance-based units (“PSUs”), stock options, and purchase rights issued to employees under our employee stock purchase plan (“ESPP”), based on the estimated fair value of the awards on the grant date. We use the Black-Scholes option pricing model to estimate the fair value of stock options and ESPP purchase rights and the Monte Carlo Simulation model to estimate the fair value of a PSU. The fair value of RSUs is based on the market closing price for its common stock as reported on the Nasdaq Global Select Market on the date of grant.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use of the Black-Scholes option-pricing and Monte-Carlo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pStyle w:val="TextBody"/>
        <w:bidi w:val="0"/>
        <w:spacing w:before="180" w:after="283"/>
        <w:jc w:val="both"/>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are subject to income taxes in the U.S. and in many international jurisdictions. The determination of these tax liabilities requires estimation, significant judgment, and interpretation of each jurisdiction’s tax statutes, regulations, and case laws. Additionally, governing tax legislation could change significantly with little or no notice. It is important for us to monitor economic, political, and other conditions in the various countries with operations as changes in a jurisdiction’s conditions could impact the amount of deferred tax assets or our ability to utilize deferred tax assets in the future.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deemed necessary to reduce deferred tax assets to the amount expected to be realized.</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bookmarkStart w:id="15" w:name="item_7a_quantitative_qualitative_disclos"/>
      <w:bookmarkEnd w:id="15"/>
      <w:r>
        <w:rPr>
          <w:rFonts w:ascii="Arial" w:hAnsi="Arial"/>
          <w:b/>
          <w:color w:val="000000"/>
          <w:sz w:val="20"/>
        </w:rPr>
        <w:t>Item 7A. Quantitative and Qualitative Disclosures About Market Risk.</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have operations both within the U.S.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before="18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80" w:after="283"/>
        <w:jc w:val="both"/>
        <w:rPr>
          <w:rFonts w:ascii="Arial" w:hAnsi="Arial"/>
          <w:color w:val="000000"/>
          <w:sz w:val="20"/>
        </w:rPr>
      </w:pPr>
      <w:r>
        <w:rPr>
          <w:rFonts w:ascii="Arial" w:hAnsi="Arial"/>
          <w:color w:val="000000"/>
          <w:sz w:val="20"/>
        </w:rPr>
        <w:t>Cash, cash equivalents and marketable securities as of December 31, 2023 were held primarily in cash deposits, treasuries, and corporate bonds. The fair value of our cash, cash equivalents, and investments would not be significantly affected by either an increase or decrease in interest rates due mainly to the short-term nature of these instruments and that the Company’s policy is to hold investments to maturity except in cases of non-compliance with our investment policy.</w:t>
      </w:r>
    </w:p>
    <w:p>
      <w:pPr>
        <w:pStyle w:val="TextBody"/>
        <w:bidi w:val="0"/>
        <w:spacing w:before="180" w:after="283"/>
        <w:jc w:val="left"/>
        <w:rPr>
          <w:rFonts w:ascii="Arial" w:hAnsi="Arial"/>
          <w:b/>
          <w:i/>
          <w:color w:val="000000"/>
          <w:sz w:val="20"/>
        </w:rPr>
      </w:pPr>
      <w:r>
        <w:rPr>
          <w:rFonts w:ascii="Arial" w:hAnsi="Arial"/>
          <w:b/>
          <w:i/>
          <w:color w:val="000000"/>
          <w:sz w:val="20"/>
        </w:rPr>
        <w:t>Foreign Currency Risk</w:t>
      </w:r>
    </w:p>
    <w:p>
      <w:pPr>
        <w:pStyle w:val="TextBody"/>
        <w:bidi w:val="0"/>
        <w:spacing w:before="180" w:after="283"/>
        <w:jc w:val="both"/>
        <w:rPr>
          <w:rFonts w:ascii="Arial" w:hAnsi="Arial"/>
          <w:color w:val="000000"/>
          <w:sz w:val="20"/>
        </w:rPr>
      </w:pPr>
      <w:r>
        <w:rPr>
          <w:rFonts w:ascii="Arial" w:hAnsi="Arial"/>
          <w:color w:val="000000"/>
          <w:sz w:val="20"/>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pStyle w:val="TextBody"/>
        <w:bidi w:val="0"/>
        <w:spacing w:before="180" w:after="283"/>
        <w:jc w:val="both"/>
        <w:rPr>
          <w:rFonts w:ascii="Arial" w:hAnsi="Arial"/>
          <w:color w:val="000000"/>
          <w:sz w:val="20"/>
        </w:rPr>
      </w:pPr>
      <w:r>
        <w:rPr>
          <w:rFonts w:ascii="Arial" w:hAnsi="Arial"/>
          <w:color w:val="000000"/>
          <w:sz w:val="20"/>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consolidated financial statements in Item 8 of Part II, “Financial Statements and Supplementary Data” for more information related to our derivative financial instruments.</w:t>
      </w:r>
    </w:p>
    <w:p>
      <w:pPr>
        <w:pStyle w:val="TextBody"/>
        <w:bidi w:val="0"/>
        <w:spacing w:before="180" w:after="283"/>
        <w:jc w:val="both"/>
        <w:rPr>
          <w:rFonts w:ascii="Arial" w:hAnsi="Arial"/>
          <w:color w:val="000000"/>
          <w:sz w:val="20"/>
        </w:rPr>
      </w:pPr>
      <w:r>
        <w:rPr>
          <w:rFonts w:ascii="Arial" w:hAnsi="Arial"/>
          <w:color w:val="000000"/>
          <w:sz w:val="20"/>
        </w:rPr>
        <w:t>Based on our overall currency rate exposures as of December 31, 2023,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pStyle w:val="TextBody"/>
        <w:bidi w:val="0"/>
        <w:spacing w:before="180" w:after="283"/>
        <w:jc w:val="left"/>
        <w:rPr>
          <w:rFonts w:ascii="Arial" w:hAnsi="Arial"/>
          <w:b/>
          <w:i/>
          <w:color w:val="000000"/>
          <w:sz w:val="20"/>
        </w:rPr>
      </w:pPr>
      <w:r>
        <w:rPr>
          <w:rFonts w:ascii="Arial" w:hAnsi="Arial"/>
          <w:b/>
          <w:i/>
          <w:color w:val="000000"/>
          <w:sz w:val="20"/>
        </w:rPr>
        <w:t>Inflation Risk</w:t>
      </w:r>
    </w:p>
    <w:p>
      <w:pPr>
        <w:pStyle w:val="TextBody"/>
        <w:bidi w:val="0"/>
        <w:spacing w:before="180" w:after="283"/>
        <w:jc w:val="both"/>
        <w:rPr>
          <w:rFonts w:ascii="Arial" w:hAnsi="Arial"/>
          <w:color w:val="000000"/>
          <w:sz w:val="20"/>
        </w:rPr>
      </w:pPr>
      <w:r>
        <w:rPr>
          <w:rFonts w:ascii="Arial" w:hAnsi="Arial"/>
          <w:color w:val="000000"/>
          <w:sz w:val="20"/>
        </w:rPr>
        <w:t>As of the date of filing of this Annual Report, 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negatively impact the Company’s business,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16" w:name="item_8_financial_statements"/>
      <w:bookmarkEnd w:id="16"/>
      <w:r>
        <w:rPr>
          <w:rFonts w:ascii="Arial" w:hAnsi="Arial"/>
          <w:b/>
          <w:color w:val="000000"/>
          <w:sz w:val="20"/>
        </w:rPr>
        <w:t>Item 8. Financial Statements and Supplementary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spacing w:before="240" w:after="283"/>
        <w:jc w:val="center"/>
        <w:rPr>
          <w:rFonts w:ascii="Arial" w:hAnsi="Arial"/>
          <w:b/>
          <w:color w:val="000000"/>
          <w:sz w:val="20"/>
        </w:rPr>
      </w:pPr>
      <w:r>
        <w:rPr>
          <w:rFonts w:ascii="Arial" w:hAnsi="Arial"/>
          <w:b/>
          <w:color w:val="000000"/>
          <w:sz w:val="20"/>
        </w:rPr>
        <w:t>INDEX TO CONSOLIDATED FINANCIAL STATEMENTS</w:t>
      </w:r>
    </w:p>
    <w:p>
      <w:pPr>
        <w:pStyle w:val="TextBody"/>
        <w:bidi w:val="0"/>
        <w:jc w:val="left"/>
        <w:rPr/>
      </w:pPr>
      <w:r>
        <w:rPr/>
        <w:t> </w:t>
      </w:r>
    </w:p>
    <w:tbl>
      <w:tblPr>
        <w:tblW w:w="6827" w:type="dxa"/>
        <w:jc w:val="left"/>
        <w:tblInd w:w="0" w:type="dxa"/>
        <w:tblLayout w:type="fixed"/>
        <w:tblCellMar>
          <w:top w:w="28" w:type="dxa"/>
          <w:left w:w="28" w:type="dxa"/>
          <w:bottom w:w="28" w:type="dxa"/>
          <w:right w:w="28" w:type="dxa"/>
        </w:tblCellMar>
      </w:tblPr>
      <w:tblGrid>
        <w:gridCol w:w="6241"/>
        <w:gridCol w:w="586"/>
      </w:tblGrid>
      <w:tr>
        <w:trPr/>
        <w:tc>
          <w:tcPr>
            <w:tcW w:w="6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241" w:type="dxa"/>
            <w:tcBorders/>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6241" w:type="dxa"/>
            <w:tcBorders/>
            <w:vAlign w:val="center"/>
          </w:tcPr>
          <w:p>
            <w:pPr>
              <w:pStyle w:val="TableContents"/>
              <w:bidi w:val="0"/>
              <w:spacing w:before="0" w:after="283"/>
              <w:jc w:val="left"/>
              <w:rPr/>
            </w:pPr>
            <w:hyperlink w:anchor="pwc_opinion_report">
              <w:r>
                <w:rPr>
                  <w:rStyle w:val="InternetLink"/>
                  <w:rFonts w:ascii="Arial" w:hAnsi="Arial"/>
                  <w:color w:val="0000FF"/>
                  <w:sz w:val="18"/>
                  <w:u w:val="single"/>
                </w:rPr>
                <w:t>Report of Independent Registered Public Accounting Firm (PCAOB ID: 238)</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r>
      <w:tr>
        <w:trPr/>
        <w:tc>
          <w:tcPr>
            <w:tcW w:w="624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Consolidated Financial Statements</w:t>
            </w:r>
          </w:p>
        </w:tc>
        <w:tc>
          <w:tcPr>
            <w:tcW w:w="586" w:type="dxa"/>
            <w:tcBorders/>
            <w:vAlign w:val="center"/>
          </w:tcPr>
          <w:p>
            <w:pPr>
              <w:pStyle w:val="TableContents"/>
              <w:bidi w:val="0"/>
              <w:spacing w:before="0" w:after="283"/>
              <w:jc w:val="right"/>
              <w:rPr/>
            </w:pPr>
            <w:r>
              <w:rPr/>
              <w:t> </w:t>
            </w:r>
          </w:p>
        </w:tc>
      </w:tr>
      <w:tr>
        <w:trPr/>
        <w:tc>
          <w:tcPr>
            <w:tcW w:w="6241" w:type="dxa"/>
            <w:tcBorders/>
            <w:vAlign w:val="center"/>
          </w:tcPr>
          <w:p>
            <w:pPr>
              <w:pStyle w:val="TableContents"/>
              <w:bidi w:val="0"/>
              <w:spacing w:before="0" w:after="283"/>
              <w:jc w:val="left"/>
              <w:rPr/>
            </w:pPr>
            <w:hyperlink w:anchor="consolidated_balance_sheets">
              <w:r>
                <w:rPr>
                  <w:rStyle w:val="InternetLink"/>
                  <w:rFonts w:ascii="Arial" w:hAnsi="Arial"/>
                  <w:color w:val="0000FF"/>
                  <w:sz w:val="18"/>
                  <w:u w:val="single"/>
                </w:rPr>
                <w:t>Consolidated Balance Sheets</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r>
      <w:tr>
        <w:trPr/>
        <w:tc>
          <w:tcPr>
            <w:tcW w:w="6241" w:type="dxa"/>
            <w:tcBorders/>
            <w:vAlign w:val="center"/>
          </w:tcPr>
          <w:p>
            <w:pPr>
              <w:pStyle w:val="TableContents"/>
              <w:bidi w:val="0"/>
              <w:spacing w:before="0" w:after="283"/>
              <w:jc w:val="left"/>
              <w:rPr/>
            </w:pPr>
            <w:hyperlink w:anchor="consolidated_statements_operations_compr">
              <w:r>
                <w:rPr>
                  <w:rStyle w:val="InternetLink"/>
                  <w:rFonts w:ascii="Arial" w:hAnsi="Arial"/>
                  <w:color w:val="0000FF"/>
                  <w:sz w:val="18"/>
                  <w:u w:val="single"/>
                </w:rPr>
                <w:t>Consolidated Statements of Operations</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r>
      <w:tr>
        <w:trPr/>
        <w:tc>
          <w:tcPr>
            <w:tcW w:w="6241" w:type="dxa"/>
            <w:tcBorders/>
            <w:vAlign w:val="center"/>
          </w:tcPr>
          <w:p>
            <w:pPr>
              <w:pStyle w:val="TableContents"/>
              <w:bidi w:val="0"/>
              <w:spacing w:before="0" w:after="283"/>
              <w:jc w:val="left"/>
              <w:rPr/>
            </w:pPr>
            <w:hyperlink w:anchor="consolidated_statements_comprehensive_lo">
              <w:r>
                <w:rPr>
                  <w:rStyle w:val="InternetLink"/>
                  <w:rFonts w:ascii="Arial" w:hAnsi="Arial"/>
                  <w:color w:val="0000FF"/>
                  <w:sz w:val="18"/>
                  <w:u w:val="single"/>
                </w:rPr>
                <w:t>Consolidated Statements of Comprehensive Loss</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r>
      <w:tr>
        <w:trPr/>
        <w:tc>
          <w:tcPr>
            <w:tcW w:w="6241" w:type="dxa"/>
            <w:tcBorders/>
            <w:vAlign w:val="center"/>
          </w:tcPr>
          <w:p>
            <w:pPr>
              <w:pStyle w:val="TableContents"/>
              <w:bidi w:val="0"/>
              <w:spacing w:before="0" w:after="283"/>
              <w:jc w:val="left"/>
              <w:rPr/>
            </w:pPr>
            <w:hyperlink w:anchor="consolidated_statements_redeemable_conve">
              <w:r>
                <w:rPr>
                  <w:rStyle w:val="InternetLink"/>
                  <w:rFonts w:ascii="Arial" w:hAnsi="Arial"/>
                  <w:color w:val="0000FF"/>
                  <w:sz w:val="18"/>
                  <w:u w:val="single"/>
                </w:rPr>
                <w:t>Consolidated Statements of Stockholders' Equity</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r>
      <w:tr>
        <w:trPr/>
        <w:tc>
          <w:tcPr>
            <w:tcW w:w="6241" w:type="dxa"/>
            <w:tcBorders/>
            <w:vAlign w:val="center"/>
          </w:tcPr>
          <w:p>
            <w:pPr>
              <w:pStyle w:val="TableContents"/>
              <w:bidi w:val="0"/>
              <w:spacing w:before="0" w:after="283"/>
              <w:jc w:val="left"/>
              <w:rPr/>
            </w:pPr>
            <w:hyperlink w:anchor="consolidated_statements_cash_flows">
              <w:r>
                <w:rPr>
                  <w:rStyle w:val="InternetLink"/>
                  <w:rFonts w:ascii="Arial" w:hAnsi="Arial"/>
                  <w:color w:val="0000FF"/>
                  <w:sz w:val="18"/>
                  <w:u w:val="single"/>
                </w:rPr>
                <w:t>Consolidated Statements of Cash Flows</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r>
      <w:tr>
        <w:trPr/>
        <w:tc>
          <w:tcPr>
            <w:tcW w:w="6241" w:type="dxa"/>
            <w:tcBorders/>
            <w:vAlign w:val="center"/>
          </w:tcPr>
          <w:p>
            <w:pPr>
              <w:pStyle w:val="TableContents"/>
              <w:bidi w:val="0"/>
              <w:spacing w:before="0" w:after="283"/>
              <w:jc w:val="left"/>
              <w:rPr/>
            </w:pPr>
            <w:hyperlink w:anchor="n1_description_business">
              <w:r>
                <w:rPr>
                  <w:rStyle w:val="InternetLink"/>
                  <w:rFonts w:ascii="Arial" w:hAnsi="Arial"/>
                  <w:color w:val="0000FF"/>
                  <w:sz w:val="18"/>
                  <w:u w:val="single"/>
                </w:rPr>
                <w:t>Notes to Consolidated Financial Statements</w:t>
              </w:r>
            </w:hyperlink>
          </w:p>
        </w:tc>
        <w:tc>
          <w:tcPr>
            <w:tcW w:w="586"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7" w:name="pwc_opinion_report"/>
      <w:bookmarkEnd w:id="17"/>
      <w:r>
        <w:rPr>
          <w:rFonts w:ascii="Arial" w:hAnsi="Arial"/>
          <w:b/>
          <w:color w:val="000000"/>
          <w:sz w:val="20"/>
        </w:rPr>
        <w:t>Report of Independent Registered Public Accounting Firm</w:t>
      </w:r>
    </w:p>
    <w:p>
      <w:pPr>
        <w:pStyle w:val="TextBody"/>
        <w:bidi w:val="0"/>
        <w:jc w:val="left"/>
        <w:rPr>
          <w:rFonts w:ascii="Arial" w:hAnsi="Arial"/>
          <w:color w:val="000000"/>
          <w:sz w:val="20"/>
        </w:rPr>
      </w:pPr>
      <w:r>
        <w:rPr>
          <w:rFonts w:ascii="Arial" w:hAnsi="Arial"/>
          <w:color w:val="000000"/>
          <w:sz w:val="20"/>
        </w:rPr>
        <w:t>To the Board of Directors and Stockholders of ContextLogic Inc.</w:t>
      </w:r>
    </w:p>
    <w:p>
      <w:pPr>
        <w:pStyle w:val="TextBody"/>
        <w:bidi w:val="0"/>
        <w:spacing w:before="180" w:after="283"/>
        <w:jc w:val="left"/>
        <w:rPr>
          <w:rFonts w:ascii="Arial" w:hAnsi="Arial"/>
          <w:b/>
          <w:i/>
          <w:color w:val="000000"/>
          <w:sz w:val="20"/>
        </w:rPr>
      </w:pPr>
      <w:r>
        <w:rPr>
          <w:rFonts w:ascii="Arial" w:hAnsi="Arial"/>
          <w:b/>
          <w:i/>
          <w:color w:val="000000"/>
          <w:sz w:val="20"/>
        </w:rPr>
        <w:t>Opinions on the Financial Statements and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We have audited the accompanying consolidated balance sheets of ContextLogic Inc. and its subsidiaries (the “Company”) as of December 31, 2023 and 2022, and the related consolidated statements of operations, of comprehensive loss, of stockholders’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180" w:after="283"/>
        <w:jc w:val="both"/>
        <w:rPr>
          <w:rFonts w:ascii="Arial" w:hAnsi="Arial"/>
          <w:color w:val="000000"/>
          <w:sz w:val="20"/>
        </w:rPr>
      </w:pPr>
      <w:r>
        <w:rPr>
          <w:rFonts w:ascii="Arial" w:hAnsi="Arial"/>
          <w:color w:val="000000"/>
          <w:sz w:val="20"/>
        </w:rPr>
        <w:t>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2023, based on criteria established in Internal Control - Integrated Framework (2013) issued by the COSO because material weaknesses in internal control over financial reporting existed as of that date related to the Company not designing and maintaining (i) an effective control environment, specifically not providing sufficient management oversight and ownership over the internal control evaluation process and not hiring and training sufficient competent personnel to support the Company’s internal control objectives, and (ii) effective controls over information technology general controls for information systems and applications that are relevant to the preparation of the consolidated financial statements, including lack of sufficient user access controls, program change management controls, and computer operations controls.</w:t>
      </w:r>
    </w:p>
    <w:p>
      <w:pPr>
        <w:pStyle w:val="TextBody"/>
        <w:bidi w:val="0"/>
        <w:spacing w:before="180" w:after="283"/>
        <w:jc w:val="both"/>
        <w:rPr>
          <w:rFonts w:ascii="Arial" w:hAnsi="Arial"/>
          <w:color w:val="000000"/>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pStyle w:val="TextBody"/>
        <w:bidi w:val="0"/>
        <w:spacing w:before="180" w:after="283"/>
        <w:jc w:val="both"/>
        <w:rPr>
          <w:rFonts w:ascii="Arial" w:hAnsi="Arial"/>
          <w:b/>
          <w:i/>
          <w:color w:val="000000"/>
          <w:sz w:val="20"/>
        </w:rPr>
      </w:pPr>
      <w:r>
        <w:rPr>
          <w:rFonts w:ascii="Arial" w:hAnsi="Arial"/>
          <w:b/>
          <w:i/>
          <w:color w:val="000000"/>
          <w:sz w:val="20"/>
        </w:rPr>
        <w:t>Basis for Opinions</w:t>
      </w:r>
    </w:p>
    <w:p>
      <w:pPr>
        <w:pStyle w:val="TextBody"/>
        <w:bidi w:val="0"/>
        <w:spacing w:before="180" w:after="283"/>
        <w:jc w:val="both"/>
        <w:rPr>
          <w:rFonts w:ascii="Arial" w:hAnsi="Arial"/>
          <w:color w:val="000000"/>
          <w:sz w:val="20"/>
        </w:rPr>
      </w:pPr>
      <w:r>
        <w:rPr>
          <w:rFonts w:ascii="Arial" w:hAnsi="Arial"/>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80" w:after="283"/>
        <w:jc w:val="both"/>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180" w:after="283"/>
        <w:jc w:val="both"/>
        <w:rPr>
          <w:rFonts w:ascii="Arial" w:hAnsi="Arial"/>
          <w:color w:val="000000"/>
          <w:sz w:val="20"/>
        </w:rPr>
      </w:pPr>
      <w:r>
        <w:rPr>
          <w:rFonts w:ascii="Arial" w:hAnsi="Arial"/>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Definition and Limitations of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180" w:after="283"/>
        <w:jc w:val="both"/>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80" w:after="283"/>
        <w:jc w:val="both"/>
        <w:rPr>
          <w:rFonts w:ascii="Arial" w:hAnsi="Arial"/>
          <w:b/>
          <w:i/>
          <w:color w:val="000000"/>
          <w:sz w:val="20"/>
        </w:rPr>
      </w:pPr>
      <w:r>
        <w:rPr>
          <w:rFonts w:ascii="Arial" w:hAnsi="Arial"/>
          <w:b/>
          <w:i/>
          <w:color w:val="000000"/>
          <w:sz w:val="20"/>
        </w:rPr>
        <w:t>Critical Audit Matters</w:t>
      </w:r>
    </w:p>
    <w:p>
      <w:pPr>
        <w:pStyle w:val="TextBody"/>
        <w:bidi w:val="0"/>
        <w:spacing w:before="180" w:after="283"/>
        <w:jc w:val="both"/>
        <w:rPr>
          <w:rFonts w:ascii="Arial" w:hAnsi="Arial"/>
          <w:color w:val="000000"/>
          <w:sz w:val="20"/>
        </w:rPr>
      </w:pPr>
      <w:r>
        <w:rPr>
          <w:rFonts w:ascii="Arial" w:hAnsi="Arial"/>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80" w:after="283"/>
        <w:jc w:val="both"/>
        <w:rPr>
          <w:rFonts w:ascii="Arial" w:hAnsi="Arial"/>
          <w:i/>
          <w:color w:val="000000"/>
          <w:sz w:val="20"/>
        </w:rPr>
      </w:pPr>
      <w:r>
        <w:rPr>
          <w:rFonts w:ascii="Arial" w:hAnsi="Arial"/>
          <w:i/>
          <w:color w:val="000000"/>
          <w:sz w:val="20"/>
        </w:rPr>
        <w:t>Consolidated Financial Statements - Impact of Control Environment and Information Technology General Controls</w:t>
      </w:r>
    </w:p>
    <w:p>
      <w:pPr>
        <w:pStyle w:val="TextBody"/>
        <w:bidi w:val="0"/>
        <w:spacing w:before="180" w:after="283"/>
        <w:jc w:val="both"/>
        <w:rPr>
          <w:rFonts w:ascii="Arial" w:hAnsi="Arial"/>
          <w:color w:val="000000"/>
          <w:sz w:val="20"/>
        </w:rPr>
      </w:pPr>
      <w:r>
        <w:rPr>
          <w:rFonts w:ascii="Arial" w:hAnsi="Arial"/>
          <w:color w:val="000000"/>
          <w:sz w:val="20"/>
        </w:rPr>
        <w:t>The completeness and accuracy of the consolidated financial statements, including the financial condition, results of operations and cash flows, is dependent on, in part, management’s ability to (i) fully implement components of the COSO framework, including elements of the control environment component relating to providing sufficient management oversight and ownership over the internal control evaluation process, hiring and training sufficient competent personnel to support the Company’s internal control objectives, and (ii) design and maintain effective information technology general controls for information systems and applications that are relevant to the preparation of the consolidated financial statements, including sufficient user access controls, program change management controls and computer operations controls.</w:t>
      </w:r>
    </w:p>
    <w:p>
      <w:pPr>
        <w:pStyle w:val="TextBody"/>
        <w:bidi w:val="0"/>
        <w:spacing w:before="180" w:after="283"/>
        <w:jc w:val="both"/>
        <w:rPr>
          <w:rFonts w:ascii="Arial" w:hAnsi="Arial"/>
          <w:color w:val="000000"/>
          <w:sz w:val="20"/>
        </w:rPr>
      </w:pPr>
      <w:r>
        <w:rPr>
          <w:rFonts w:ascii="Arial" w:hAnsi="Arial"/>
          <w:color w:val="000000"/>
          <w:sz w:val="20"/>
        </w:rPr>
        <w:t>The principal considerations for our determination that performing procedures relating to the consolidated financial statements - impact of control environment and information technology general controls is a critical audit matter are the high degree of auditor judgment, subjectivity, and effort in performing procedures and evaluating audit evidence related to the consolidated financial statements and information systems, which affect substantially all financial statement account balances and disclosures. As disclosed by management, material weaknesses existed during the year related to management not (i) fully implementing components of the COSO framework, including elements of the control environment component, relating to providing sufficient management oversight and ownership over the internal control evaluation process, hiring and training sufficient competent personnel to support the Company’s internal control objectives, and (ii) designing or maintaining effective information technology general controls for information systems and applications that are relevant to the preparation of the consolidated financial statements, including sufficient user access controls, program change management controls and computer operations controls. As described above in the “Opinions on the Financial Statements and Internal Control over Financial Reporting” section, material weaknesses were identified related to this matter.</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 material weaknesses identified and (ii) manually testing the completeness and accuracy of system reports or other information generated by the Company's information technology systems.</w:t>
      </w:r>
    </w:p>
    <w:p>
      <w:pPr>
        <w:pStyle w:val="TextBody"/>
        <w:bidi w:val="0"/>
        <w:spacing w:before="180" w:after="283"/>
        <w:jc w:val="both"/>
        <w:rPr/>
      </w:pPr>
      <w:r>
        <w:rPr/>
        <w:t> </w:t>
      </w:r>
    </w:p>
    <w:p>
      <w:pPr>
        <w:pStyle w:val="TextBody"/>
        <w:bidi w:val="0"/>
        <w:spacing w:before="180" w:after="283"/>
        <w:jc w:val="left"/>
        <w:rPr>
          <w:rFonts w:ascii="Times New Roman" w:hAnsi="Times New Roman"/>
          <w:sz w:val="20"/>
        </w:rPr>
      </w:pPr>
      <w:r>
        <w:rPr>
          <w:rFonts w:ascii="Arial" w:hAnsi="Arial"/>
          <w:color w:val="000000"/>
          <w:sz w:val="20"/>
        </w:rPr>
        <w:t>/s/ PricewaterhouseCoopers LLP</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San Francisco, California</w:t>
      </w:r>
    </w:p>
    <w:p>
      <w:pPr>
        <w:pStyle w:val="TextBody"/>
        <w:bidi w:val="0"/>
        <w:spacing w:before="120" w:after="283"/>
        <w:jc w:val="left"/>
        <w:rPr>
          <w:rFonts w:ascii="Arial" w:hAnsi="Arial"/>
          <w:color w:val="000000"/>
          <w:sz w:val="20"/>
        </w:rPr>
      </w:pPr>
      <w:r>
        <w:rPr>
          <w:rFonts w:ascii="Arial" w:hAnsi="Arial"/>
          <w:color w:val="000000"/>
          <w:sz w:val="20"/>
        </w:rPr>
        <w:t>March 4, 2024</w:t>
      </w:r>
    </w:p>
    <w:p>
      <w:pPr>
        <w:pStyle w:val="TextBody"/>
        <w:bidi w:val="0"/>
        <w:spacing w:before="180" w:after="283"/>
        <w:jc w:val="left"/>
        <w:rPr>
          <w:rFonts w:ascii="Arial" w:hAnsi="Arial"/>
          <w:color w:val="000000"/>
          <w:sz w:val="20"/>
        </w:rPr>
      </w:pPr>
      <w:r>
        <w:rPr>
          <w:rFonts w:ascii="Arial" w:hAnsi="Arial"/>
          <w:color w:val="000000"/>
          <w:sz w:val="20"/>
        </w:rPr>
        <w:t>We have served as the Company’s auditor since 2022.</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balance_sheets"/>
      <w:bookmarkEnd w:id="18"/>
      <w:r>
        <w:rPr>
          <w:rFonts w:ascii="Arial" w:hAnsi="Arial"/>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 in millions, shares in thousands, except par value)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571"/>
        <w:gridCol w:w="166"/>
        <w:gridCol w:w="146"/>
        <w:gridCol w:w="196"/>
        <w:gridCol w:w="571"/>
        <w:gridCol w:w="59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7622"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Funds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622" w:type="dxa"/>
            <w:tcBorders/>
            <w:shd w:fill="CFF0FC" w:val="cle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777</w:t>
            </w:r>
          </w:p>
        </w:tc>
        <w:tc>
          <w:tcPr>
            <w:tcW w:w="591" w:type="dxa"/>
            <w:tcBorders/>
            <w:shd w:fill="CFF0FC" w:val="cle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591" w:type="dxa"/>
            <w:tcBorders/>
            <w:shd w:fill="FFFFFF" w:val="cle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Right-of-use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591" w:type="dxa"/>
            <w:tcBorders/>
            <w:shd w:fill="CFF0FC" w:val="cle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Merchants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Refunds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622" w:type="dxa"/>
            <w:tcBorders/>
            <w:shd w:fill="FFFFFF" w:val="cle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309</w:t>
            </w:r>
          </w:p>
        </w:tc>
        <w:tc>
          <w:tcPr>
            <w:tcW w:w="591" w:type="dxa"/>
            <w:tcBorders/>
            <w:shd w:fill="FFFFFF" w:val="cle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 non-current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591" w:type="dxa"/>
            <w:tcBorders/>
            <w:shd w:fill="CFF0FC" w:val="cle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 non-current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Preferred stock, $0.0001</w:t>
            </w:r>
            <w:r>
              <w:rPr>
                <w:rFonts w:ascii="Times New Roman" w:hAnsi="Times New Roman"/>
                <w:color w:val="000000"/>
                <w:sz w:val="20"/>
              </w:rPr>
              <w:t> </w:t>
            </w:r>
            <w:r>
              <w:rPr>
                <w:rFonts w:ascii="Arial" w:hAnsi="Arial"/>
                <w:color w:val="000000"/>
                <w:sz w:val="16"/>
              </w:rPr>
              <w:t>par value: 100,000</w:t>
            </w:r>
            <w:r>
              <w:rPr>
                <w:rFonts w:ascii="Times New Roman" w:hAnsi="Times New Roman"/>
                <w:color w:val="000000"/>
                <w:sz w:val="20"/>
              </w:rPr>
              <w:t> </w:t>
            </w:r>
            <w:r>
              <w:rPr>
                <w:rFonts w:ascii="Arial" w:hAnsi="Arial"/>
                <w:color w:val="000000"/>
                <w:sz w:val="16"/>
              </w:rPr>
              <w:t>shares authorized as of December 31, 2023 and December 31, 2022; No</w:t>
            </w:r>
            <w:r>
              <w:rPr>
                <w:rFonts w:ascii="Times New Roman" w:hAnsi="Times New Roman"/>
                <w:color w:val="000000"/>
                <w:sz w:val="20"/>
              </w:rPr>
              <w:t> </w:t>
            </w:r>
            <w:r>
              <w:rPr>
                <w:rFonts w:ascii="Arial" w:hAnsi="Arial"/>
                <w:color w:val="000000"/>
                <w:sz w:val="16"/>
              </w:rPr>
              <w:t>shares issued and outstanding as of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Common stock, $0.0001</w:t>
            </w:r>
            <w:r>
              <w:rPr>
                <w:rFonts w:ascii="Times New Roman" w:hAnsi="Times New Roman"/>
                <w:color w:val="000000"/>
                <w:sz w:val="20"/>
              </w:rPr>
              <w:t> </w:t>
            </w:r>
            <w:r>
              <w:rPr>
                <w:rFonts w:ascii="Arial" w:hAnsi="Arial"/>
                <w:color w:val="000000"/>
                <w:sz w:val="16"/>
              </w:rPr>
              <w:t>par value: 3,000,000</w:t>
            </w:r>
            <w:r>
              <w:rPr>
                <w:rFonts w:ascii="Times New Roman" w:hAnsi="Times New Roman"/>
                <w:color w:val="000000"/>
                <w:sz w:val="20"/>
              </w:rPr>
              <w:t> </w:t>
            </w:r>
            <w:r>
              <w:rPr>
                <w:rFonts w:ascii="Arial" w:hAnsi="Arial"/>
                <w:color w:val="000000"/>
                <w:sz w:val="16"/>
              </w:rPr>
              <w:t>shares authorized as of December 31, 2023 and December 31, 2022; 24,229</w:t>
            </w:r>
            <w:r>
              <w:rPr>
                <w:rFonts w:ascii="Times New Roman" w:hAnsi="Times New Roman"/>
                <w:color w:val="000000"/>
                <w:sz w:val="20"/>
              </w:rPr>
              <w:t> </w:t>
            </w:r>
            <w:r>
              <w:rPr>
                <w:rFonts w:ascii="Arial" w:hAnsi="Arial"/>
                <w:color w:val="000000"/>
                <w:sz w:val="16"/>
              </w:rPr>
              <w:t>and 23,164</w:t>
            </w:r>
            <w:r>
              <w:rPr>
                <w:rFonts w:ascii="Times New Roman" w:hAnsi="Times New Roman"/>
                <w:color w:val="000000"/>
                <w:sz w:val="20"/>
              </w:rPr>
              <w:t> </w:t>
            </w:r>
            <w:r>
              <w:rPr>
                <w:rFonts w:ascii="Arial" w:hAnsi="Arial"/>
                <w:color w:val="000000"/>
                <w:sz w:val="16"/>
              </w:rPr>
              <w:t>shares issued and outstanding as of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622"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591"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7622"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62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19" w:name="consolidated_statements_operations_compr"/>
      <w:bookmarkEnd w:id="19"/>
      <w:r>
        <w:rPr>
          <w:rFonts w:ascii="Arial" w:hAnsi="Arial"/>
          <w:b/>
          <w:caps/>
          <w:color w:val="000000"/>
          <w:sz w:val="20"/>
        </w:rPr>
        <w:t>CONSOLIDATED STATEMENTS OF OPERATIONS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Arial" w:hAnsi="Arial"/>
          <w:b/>
          <w:color w:val="000000"/>
          <w:sz w:val="20"/>
        </w:rPr>
        <w:t>($ in millions, shares in thousands, except per share data)</w:t>
      </w:r>
      <w:r>
        <w:rPr>
          <w:rFonts w:ascii="Times New Roman" w:hAnsi="Times New Roman"/>
          <w:color w:val="000000"/>
          <w:sz w:val="20"/>
        </w:rPr>
        <w:t xml:space="preserve"> </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7186"/>
        <w:gridCol w:w="146"/>
        <w:gridCol w:w="211"/>
        <w:gridCol w:w="691"/>
        <w:gridCol w:w="166"/>
        <w:gridCol w:w="146"/>
        <w:gridCol w:w="211"/>
        <w:gridCol w:w="691"/>
        <w:gridCol w:w="751"/>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751" w:type="dxa"/>
            <w:tcBorders/>
            <w:shd w:fill="FFFFFF" w:val="cle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7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75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75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71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71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71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8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71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5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22,415</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20" w:name="consolidated_statements_comprehensive_lo"/>
      <w:bookmarkEnd w:id="20"/>
      <w:r>
        <w:rPr>
          <w:rFonts w:ascii="Arial" w:hAnsi="Arial"/>
          <w:b/>
          <w:caps/>
          <w:color w:val="000000"/>
          <w:sz w:val="20"/>
        </w:rPr>
        <w:t>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millions)</w:t>
      </w:r>
      <w:r>
        <w:rPr>
          <w:rFonts w:ascii="Times New Roman" w:hAnsi="Times New Roman"/>
          <w:color w:val="000000"/>
          <w:sz w:val="20"/>
        </w:rPr>
        <w:t xml:space="preserve"> </w:t>
      </w:r>
    </w:p>
    <w:p>
      <w:pPr>
        <w:pStyle w:val="TextBody"/>
        <w:bidi w:val="0"/>
        <w:jc w:val="both"/>
        <w:rPr/>
      </w:pPr>
      <w:r>
        <w:rPr/>
        <w:t> </w:t>
      </w:r>
    </w:p>
    <w:tbl>
      <w:tblPr>
        <w:tblW w:w="9609" w:type="dxa"/>
        <w:jc w:val="left"/>
        <w:tblInd w:w="0" w:type="dxa"/>
        <w:tblLayout w:type="fixed"/>
        <w:tblCellMar>
          <w:top w:w="28" w:type="dxa"/>
          <w:left w:w="28" w:type="dxa"/>
          <w:bottom w:w="28" w:type="dxa"/>
          <w:right w:w="28" w:type="dxa"/>
        </w:tblCellMar>
      </w:tblPr>
      <w:tblGrid>
        <w:gridCol w:w="7136"/>
        <w:gridCol w:w="146"/>
        <w:gridCol w:w="211"/>
        <w:gridCol w:w="481"/>
        <w:gridCol w:w="166"/>
        <w:gridCol w:w="146"/>
        <w:gridCol w:w="211"/>
        <w:gridCol w:w="481"/>
        <w:gridCol w:w="631"/>
      </w:tblGrid>
      <w:tr>
        <w:trPr/>
        <w:tc>
          <w:tcPr>
            <w:tcW w:w="7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631" w:type="dxa"/>
            <w:tcBorders/>
            <w:shd w:fill="FFFFFF" w:val="clear"/>
            <w:vAlign w:val="center"/>
          </w:tcPr>
          <w:p>
            <w:pPr>
              <w:pStyle w:val="TableContents"/>
              <w:bidi w:val="0"/>
              <w:spacing w:before="0" w:after="283"/>
              <w:jc w:val="center"/>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r>
      <w:tr>
        <w:trPr/>
        <w:tc>
          <w:tcPr>
            <w:tcW w:w="71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ind w:left="0" w:right="0" w:firstLine="280"/>
              <w:jc w:val="left"/>
              <w:rPr/>
            </w:pPr>
            <w:r>
              <w:rPr/>
              <w:t> </w:t>
            </w:r>
          </w:p>
        </w:tc>
      </w:tr>
      <w:tr>
        <w:trPr/>
        <w:tc>
          <w:tcPr>
            <w:tcW w:w="713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Unrealized holding losses on derivatives and marketable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3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3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7136"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21" w:name="consolidated_statements_redeemable_conve"/>
      <w:bookmarkEnd w:id="21"/>
      <w:r>
        <w:rPr>
          <w:rFonts w:ascii="Arial" w:hAnsi="Arial"/>
          <w:b/>
          <w:color w:val="000000"/>
          <w:sz w:val="20"/>
        </w:rPr>
        <w:t>CONSOLIDATED STATEMENTS OF STOCKHOLDERS’ EQUITY</w:t>
      </w:r>
    </w:p>
    <w:p>
      <w:pPr>
        <w:pStyle w:val="TextBody"/>
        <w:bidi w:val="0"/>
        <w:jc w:val="center"/>
        <w:rPr>
          <w:rFonts w:ascii="Times New Roman" w:hAnsi="Times New Roman"/>
          <w:sz w:val="20"/>
        </w:rPr>
      </w:pPr>
      <w:r>
        <w:rPr>
          <w:rFonts w:ascii="Arial" w:hAnsi="Arial"/>
          <w:b/>
          <w:color w:val="000000"/>
          <w:sz w:val="20"/>
        </w:rPr>
        <w:t>($ in millions, shares in thousands)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47"/>
        <w:gridCol w:w="146"/>
        <w:gridCol w:w="601"/>
        <w:gridCol w:w="151"/>
        <w:gridCol w:w="146"/>
        <w:gridCol w:w="211"/>
        <w:gridCol w:w="375"/>
        <w:gridCol w:w="146"/>
        <w:gridCol w:w="146"/>
        <w:gridCol w:w="237"/>
        <w:gridCol w:w="619"/>
        <w:gridCol w:w="151"/>
        <w:gridCol w:w="146"/>
        <w:gridCol w:w="568"/>
        <w:gridCol w:w="851"/>
        <w:gridCol w:w="151"/>
        <w:gridCol w:w="146"/>
        <w:gridCol w:w="284"/>
        <w:gridCol w:w="810"/>
        <w:gridCol w:w="151"/>
        <w:gridCol w:w="146"/>
        <w:gridCol w:w="310"/>
        <w:gridCol w:w="666"/>
        <w:gridCol w:w="400"/>
      </w:tblGrid>
      <w:tr>
        <w:trPr/>
        <w:tc>
          <w:tcPr>
            <w:tcW w:w="2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647" w:type="dxa"/>
            <w:tcBorders/>
            <w:shd w:fill="FFFFFF" w:val="clear"/>
            <w:vAlign w:val="center"/>
          </w:tcPr>
          <w:p>
            <w:pPr>
              <w:pStyle w:val="TableContents"/>
              <w:bidi w:val="0"/>
              <w:spacing w:before="0" w:after="283"/>
              <w:jc w:val="center"/>
              <w:rPr/>
            </w:pPr>
            <w:r>
              <w:rPr/>
              <w:t> </w:t>
            </w:r>
          </w:p>
        </w:tc>
        <w:tc>
          <w:tcPr>
            <w:tcW w:w="1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9"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 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400" w:type="dxa"/>
            <w:tcBorders/>
            <w:shd w:fill="FFFFFF" w:val="clear"/>
            <w:vAlign w:val="center"/>
          </w:tcPr>
          <w:p>
            <w:pPr>
              <w:pStyle w:val="TableContents"/>
              <w:bidi w:val="0"/>
              <w:spacing w:before="0" w:after="283"/>
              <w:jc w:val="center"/>
              <w:rPr/>
            </w:pPr>
            <w:r>
              <w:rPr/>
              <w:t> </w:t>
            </w:r>
          </w:p>
        </w:tc>
      </w:tr>
      <w:tr>
        <w:trPr/>
        <w:tc>
          <w:tcPr>
            <w:tcW w:w="2647"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br/>
              <w:t>Equity</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7"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9"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r>
      <w:tr>
        <w:trPr/>
        <w:tc>
          <w:tcPr>
            <w:tcW w:w="2647"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December 31, 2021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21,949</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3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3,360</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(2,545</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818</w:t>
            </w:r>
          </w:p>
        </w:tc>
        <w:tc>
          <w:tcPr>
            <w:tcW w:w="400"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1,489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Fractional shares issued for reverse stock split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951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(1,265</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c>
          <w:tcPr>
            <w:tcW w:w="400" w:type="dxa"/>
            <w:tcBorders/>
            <w:shd w:fill="CFF0FC"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through ESPP</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comprehensive loss, net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400" w:type="dxa"/>
            <w:tcBorders/>
            <w:shd w:fill="FFFFFF"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(384</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647"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December 31, 2022</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23,164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19"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3,411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10"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(2,929</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477</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Fractional shares issued for reverse stock split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1,323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(501</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400" w:type="dxa"/>
            <w:tcBorders/>
            <w:shd w:fill="FFFFFF"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Issuance of common stock through ESPP</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400" w:type="dxa"/>
            <w:tcBorders/>
            <w:shd w:fill="CFF0FC" w:val="clear"/>
            <w:vAlign w:val="center"/>
          </w:tcPr>
          <w:p>
            <w:pPr>
              <w:pStyle w:val="TableContents"/>
              <w:bidi w:val="0"/>
              <w:spacing w:before="0" w:after="283"/>
              <w:ind w:left="0" w:right="0" w:firstLine="200"/>
              <w:jc w:val="left"/>
              <w:rPr/>
            </w:pPr>
            <w:r>
              <w:rPr/>
              <w:t> </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64</w:t>
            </w:r>
          </w:p>
        </w:tc>
        <w:tc>
          <w:tcPr>
            <w:tcW w:w="400" w:type="dxa"/>
            <w:tcBorders/>
            <w:shd w:fill="FFFFFF" w:val="clear"/>
            <w:vAlign w:val="center"/>
          </w:tcPr>
          <w:p>
            <w:pPr>
              <w:pStyle w:val="TableContents"/>
              <w:bidi w:val="0"/>
              <w:spacing w:before="0" w:after="283"/>
              <w:ind w:left="0" w:right="0" w:firstLine="200"/>
              <w:jc w:val="left"/>
              <w:rPr/>
            </w:pPr>
            <w:r>
              <w:rPr/>
              <w:t> </w:t>
            </w:r>
          </w:p>
        </w:tc>
      </w:tr>
      <w:tr>
        <w:trPr/>
        <w:tc>
          <w:tcPr>
            <w:tcW w:w="2647" w:type="dxa"/>
            <w:tcBorders/>
            <w:shd w:fill="CFF0FC"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400" w:type="dxa"/>
            <w:tcBorders/>
            <w:shd w:fill="CFF0FC" w:val="cle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647" w:type="dxa"/>
            <w:tcBorders/>
            <w:shd w:fill="FFFFFF" w:val="cle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(317</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647"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Balances as of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24,229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217</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sz w:val="20"/>
        </w:rPr>
      </w:pPr>
      <w:r>
        <w:rPr>
          <w:rFonts w:ascii="Arial" w:hAnsi="Arial"/>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2" w:name="consolidated_statements_cash_flows"/>
      <w:bookmarkEnd w:id="22"/>
      <w:r>
        <w:rPr>
          <w:rFonts w:ascii="Arial" w:hAnsi="Arial"/>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(in</w:t>
      </w:r>
      <w:r>
        <w:rPr>
          <w:rFonts w:ascii="Times New Roman" w:hAnsi="Times New Roman"/>
          <w:color w:val="000000"/>
          <w:sz w:val="20"/>
        </w:rPr>
        <w:t xml:space="preserve"> </w:t>
      </w:r>
      <w:r>
        <w:rPr>
          <w:rFonts w:ascii="Arial" w:hAnsi="Arial"/>
          <w:b/>
          <w:color w:val="000000"/>
          <w:sz w:val="16"/>
        </w:rPr>
        <w:t>millions)</w:t>
      </w:r>
    </w:p>
    <w:tbl>
      <w:tblPr>
        <w:tblW w:w="10205" w:type="dxa"/>
        <w:jc w:val="left"/>
        <w:tblInd w:w="0" w:type="dxa"/>
        <w:tblLayout w:type="fixed"/>
        <w:tblCellMar>
          <w:top w:w="28" w:type="dxa"/>
          <w:left w:w="28" w:type="dxa"/>
          <w:bottom w:w="28" w:type="dxa"/>
          <w:right w:w="28" w:type="dxa"/>
        </w:tblCellMar>
      </w:tblPr>
      <w:tblGrid>
        <w:gridCol w:w="7782"/>
        <w:gridCol w:w="146"/>
        <w:gridCol w:w="211"/>
        <w:gridCol w:w="481"/>
        <w:gridCol w:w="166"/>
        <w:gridCol w:w="146"/>
        <w:gridCol w:w="211"/>
        <w:gridCol w:w="571"/>
        <w:gridCol w:w="491"/>
      </w:tblGrid>
      <w:tr>
        <w:trPr/>
        <w:tc>
          <w:tcPr>
            <w:tcW w:w="7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7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w:t>
            </w:r>
          </w:p>
        </w:tc>
        <w:tc>
          <w:tcPr>
            <w:tcW w:w="491" w:type="dxa"/>
            <w:tcBorders/>
            <w:shd w:fill="FFFFFF" w:val="clear"/>
            <w:vAlign w:val="center"/>
          </w:tcPr>
          <w:p>
            <w:pPr>
              <w:pStyle w:val="TableContents"/>
              <w:bidi w:val="0"/>
              <w:spacing w:before="0" w:after="283"/>
              <w:jc w:val="center"/>
              <w:rPr/>
            </w:pPr>
            <w:r>
              <w:rPr/>
              <w:t> </w:t>
            </w:r>
          </w:p>
        </w:tc>
      </w:tr>
      <w:tr>
        <w:trPr/>
        <w:tc>
          <w:tcPr>
            <w:tcW w:w="77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786" w:type="dxa"/>
            <w:gridSpan w:val="6"/>
            <w:tcBorders/>
            <w:shd w:fill="CFF0FC" w:val="clear"/>
            <w:vAlign w:val="center"/>
          </w:tcPr>
          <w:p>
            <w:pPr>
              <w:pStyle w:val="TableContents"/>
              <w:bidi w:val="0"/>
              <w:spacing w:before="0" w:after="283"/>
              <w:jc w:val="center"/>
              <w:rPr/>
            </w:pPr>
            <w:r>
              <w:rPr/>
              <w:t> </w:t>
            </w:r>
          </w:p>
        </w:tc>
        <w:tc>
          <w:tcPr>
            <w:tcW w:w="491" w:type="dxa"/>
            <w:tcBorders/>
            <w:shd w:fill="CFF0FC" w:val="clear"/>
            <w:vAlign w:val="center"/>
          </w:tcPr>
          <w:p>
            <w:pPr>
              <w:pStyle w:val="TableContents"/>
              <w:bidi w:val="0"/>
              <w:spacing w:before="0" w:after="283"/>
              <w:jc w:val="center"/>
              <w:rPr/>
            </w:pPr>
            <w:r>
              <w:rPr/>
              <w:t> </w:t>
            </w:r>
          </w:p>
        </w:tc>
      </w:tr>
      <w:tr>
        <w:trPr/>
        <w:tc>
          <w:tcPr>
            <w:tcW w:w="77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(384</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Adjustments to reconcile net loss to net cash used in operating</w:t>
              <w:br/>
              <w:t>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Noncash inventory write downs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Impairment of lease assets and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Net (accretion) amortization of discounts and premiums on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jc w:val="left"/>
              <w:rPr/>
            </w:pPr>
            <w:r>
              <w:rPr/>
              <w:t> </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Funds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Prepaid expenses, other current and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Merchants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Accrued and refund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Other current and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4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Purchases of property and equipment and development of internal-use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4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Proceeds from issuance of common stock through employee equity incentive plans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778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Payments of taxes related to RSU settlement and cashless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4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effects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4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7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8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consolidated balance sheets: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506</w:t>
            </w:r>
          </w:p>
        </w:tc>
        <w:tc>
          <w:tcPr>
            <w:tcW w:w="491" w:type="dxa"/>
            <w:tcBorders/>
            <w:shd w:fill="CFF0FC" w:val="clear"/>
            <w:vAlign w:val="center"/>
          </w:tcPr>
          <w:p>
            <w:pPr>
              <w:pStyle w:val="TableContents"/>
              <w:bidi w:val="0"/>
              <w:spacing w:before="0" w:after="283"/>
              <w:jc w:val="left"/>
              <w:rPr/>
            </w:pPr>
            <w:r>
              <w:rPr/>
              <w:t> </w:t>
            </w:r>
          </w:p>
        </w:tc>
      </w:tr>
      <w:tr>
        <w:trPr/>
        <w:tc>
          <w:tcPr>
            <w:tcW w:w="77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within prepaid expenses and other current assets in the consolidated balance sheets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8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7782" w:type="dxa"/>
            <w:tcBorders/>
            <w:shd w:fill="CFF0FC"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Cash paid for income taxes, net of refunds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49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16"/>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23" w:name="n1_description_business"/>
      <w:bookmarkEnd w:id="23"/>
      <w:r>
        <w:rPr>
          <w:rFonts w:ascii="Arial" w:hAnsi="Arial"/>
          <w:b/>
          <w:caps/>
          <w:color w:val="000000"/>
          <w:sz w:val="20"/>
        </w:rPr>
        <w:t>1. description OF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was incorporated in the state of Delaware</w:t>
      </w:r>
      <w:r>
        <w:rPr>
          <w:rFonts w:ascii="Times New Roman" w:hAnsi="Times New Roman"/>
          <w:color w:val="000000"/>
          <w:sz w:val="20"/>
        </w:rPr>
        <w:t xml:space="preserve"> </w:t>
      </w:r>
      <w:r>
        <w:rPr>
          <w:rFonts w:ascii="Arial" w:hAnsi="Arial"/>
          <w:color w:val="000000"/>
          <w:sz w:val="20"/>
        </w:rPr>
        <w:t>in June 2010</w:t>
      </w:r>
      <w:r>
        <w:rPr>
          <w:rFonts w:ascii="Times New Roman" w:hAnsi="Times New Roman"/>
          <w:color w:val="000000"/>
          <w:sz w:val="20"/>
        </w:rPr>
        <w:t xml:space="preserve"> </w:t>
      </w:r>
      <w:r>
        <w:rPr>
          <w:rFonts w:ascii="Arial" w:hAnsi="Arial"/>
          <w:color w:val="000000"/>
          <w:sz w:val="20"/>
        </w:rPr>
        <w:t>and is headquartered in San Francisco, California, with operations domestically and internationally.</w:t>
      </w:r>
      <w:r>
        <w:rPr>
          <w:rFonts w:ascii="Times New Roman" w:hAnsi="Times New Roman"/>
          <w:color w:val="000000"/>
          <w:sz w:val="20"/>
        </w:rPr>
        <w:t xml:space="preserve"> </w:t>
      </w:r>
    </w:p>
    <w:p>
      <w:pPr>
        <w:pStyle w:val="TextBody"/>
        <w:bidi w:val="0"/>
        <w:spacing w:before="180" w:after="283"/>
        <w:jc w:val="left"/>
        <w:rPr>
          <w:rFonts w:ascii="Arial" w:hAnsi="Arial"/>
          <w:b/>
          <w:i/>
          <w:color w:val="000000"/>
          <w:sz w:val="20"/>
        </w:rPr>
      </w:pPr>
      <w:r>
        <w:rPr>
          <w:rFonts w:ascii="Arial" w:hAnsi="Arial"/>
          <w:b/>
          <w:i/>
          <w:color w:val="000000"/>
          <w:sz w:val="20"/>
        </w:rPr>
        <w:t>Reverse Stock Split</w:t>
      </w:r>
    </w:p>
    <w:p>
      <w:pPr>
        <w:pStyle w:val="TextBody"/>
        <w:bidi w:val="0"/>
        <w:spacing w:before="180" w:after="283"/>
        <w:jc w:val="both"/>
        <w:rPr>
          <w:rFonts w:ascii="Times New Roman" w:hAnsi="Times New Roman"/>
          <w:sz w:val="20"/>
        </w:rPr>
      </w:pPr>
      <w:r>
        <w:rPr>
          <w:rFonts w:ascii="Arial" w:hAnsi="Arial"/>
          <w:color w:val="000000"/>
          <w:sz w:val="20"/>
        </w:rPr>
        <w:t>On April 10, 2023, the Company filed a certificate of amendment (the “Reverse Stock Split Amendment”) to the Company’s Restated Certificate of Incorporation with the Secretary of State of Delaware to effect a 1-for-30</w:t>
      </w:r>
      <w:r>
        <w:rPr>
          <w:rFonts w:ascii="Times New Roman" w:hAnsi="Times New Roman"/>
          <w:color w:val="000000"/>
          <w:sz w:val="20"/>
        </w:rPr>
        <w:t xml:space="preserve"> </w:t>
      </w:r>
      <w:r>
        <w:rPr>
          <w:rFonts w:ascii="Arial" w:hAnsi="Arial"/>
          <w:color w:val="000000"/>
          <w:sz w:val="20"/>
        </w:rPr>
        <w:t>Reverse Stock Split of the Company's Class A common stock ("common stock"), which became effective on April 11, 2023. The Reverse Stock Split Amendment did not reduce the number of authorized shares of common stock, which remains at 3.0</w:t>
      </w:r>
      <w:r>
        <w:rPr>
          <w:rFonts w:ascii="Times New Roman" w:hAnsi="Times New Roman"/>
          <w:color w:val="000000"/>
          <w:sz w:val="20"/>
        </w:rPr>
        <w:t xml:space="preserve"> </w:t>
      </w:r>
      <w:r>
        <w:rPr>
          <w:rFonts w:ascii="Arial" w:hAnsi="Arial"/>
          <w:color w:val="000000"/>
          <w:sz w:val="20"/>
        </w:rPr>
        <w:t>billion, and did not change the par value of the common stock, which remains at $0.0001</w:t>
      </w:r>
      <w:r>
        <w:rPr>
          <w:rFonts w:ascii="Times New Roman" w:hAnsi="Times New Roman"/>
          <w:color w:val="000000"/>
          <w:sz w:val="20"/>
        </w:rPr>
        <w:t xml:space="preserve"> </w:t>
      </w:r>
      <w:r>
        <w:rPr>
          <w:rFonts w:ascii="Arial" w:hAnsi="Arial"/>
          <w:color w:val="000000"/>
          <w:sz w:val="20"/>
        </w:rPr>
        <w:t>per share. As a result of the Reverse Stock Split, every thirty shares of the common stock were combined into one issued and outstanding share of common stock and no fractional shares were issued.</w:t>
      </w:r>
      <w:r>
        <w:rPr>
          <w:rFonts w:ascii="Times New Roman" w:hAnsi="Times New Roman"/>
          <w:color w:val="000000"/>
          <w:sz w:val="20"/>
        </w:rPr>
        <w:t xml:space="preserve"> </w:t>
      </w:r>
      <w:r>
        <w:rPr>
          <w:rFonts w:ascii="Arial" w:hAnsi="Arial"/>
          <w:color w:val="000000"/>
          <w:sz w:val="20"/>
        </w:rPr>
        <w:t>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pStyle w:val="TextBody"/>
        <w:bidi w:val="0"/>
        <w:spacing w:before="180" w:after="283"/>
        <w:jc w:val="both"/>
        <w:rPr>
          <w:rFonts w:ascii="Arial" w:hAnsi="Arial"/>
          <w:color w:val="000000"/>
          <w:sz w:val="20"/>
        </w:rPr>
      </w:pPr>
      <w:r>
        <w:rPr>
          <w:rFonts w:ascii="Arial" w:hAnsi="Arial"/>
          <w:color w:val="000000"/>
          <w:sz w:val="20"/>
        </w:rPr>
        <w:t>All share and per share information has been retroactively adjusted to reflect the reverse stock split for all periods presented.</w:t>
      </w:r>
    </w:p>
    <w:p>
      <w:pPr>
        <w:pStyle w:val="TextBody"/>
        <w:bidi w:val="0"/>
        <w:spacing w:before="180" w:after="283"/>
        <w:jc w:val="both"/>
        <w:rPr>
          <w:rFonts w:ascii="Times New Roman" w:hAnsi="Times New Roman"/>
          <w:sz w:val="20"/>
        </w:rPr>
      </w:pPr>
      <w:r>
        <w:rPr>
          <w:rFonts w:ascii="Arial" w:hAnsi="Arial"/>
          <w:b/>
          <w:caps/>
          <w:color w:val="000000"/>
          <w:sz w:val="20"/>
        </w:rPr>
        <w:t>2. SUMMARY OF SIGNIFICANT ACCOUNTING POLICIES</w:t>
      </w:r>
      <w:r>
        <w:rPr>
          <w:rFonts w:ascii="Times New Roman" w:hAnsi="Times New Roman"/>
          <w:caps/>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Basis of Presentation and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accompanying consolidated financial statements have been prepared in accordance with U.S. generally accepted accounting principles (“GAAP”). The consolidated financial statements include the accounts of the Company and its wholly owned subsidiaries. All intercompany balances and transactions have been eliminated in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evaluated whether there are any conditions and events, considered in the aggregate, that raise substantial doubt about its ability to continue as a going concern over the next twelve months from the date of filing this report. As of December 31, 2023, the Company had approximately $382</w:t>
      </w:r>
      <w:r>
        <w:rPr>
          <w:rFonts w:ascii="Times New Roman" w:hAnsi="Times New Roman"/>
          <w:color w:val="000000"/>
          <w:sz w:val="20"/>
        </w:rPr>
        <w:t xml:space="preserve"> </w:t>
      </w:r>
      <w:r>
        <w:rPr>
          <w:rFonts w:ascii="Arial" w:hAnsi="Arial"/>
          <w:color w:val="000000"/>
          <w:sz w:val="20"/>
        </w:rPr>
        <w:t>million in unrestricted cash, cash equivalents, and marketable securities. The Company believes that substantial doubt about its ability to continue as a going concern does not exist as its cash on hand will be sufficient to meet its working capital and capital expenditure requirements for a period of at least twelve months from the date of the filing of this Form 10-K.</w:t>
      </w:r>
    </w:p>
    <w:p>
      <w:pPr>
        <w:pStyle w:val="TextBody"/>
        <w:bidi w:val="0"/>
        <w:spacing w:before="180" w:after="283"/>
        <w:jc w:val="both"/>
        <w:rPr>
          <w:rFonts w:ascii="Times New Roman" w:hAnsi="Times New Roman"/>
          <w:sz w:val="20"/>
        </w:rPr>
      </w:pPr>
      <w:r>
        <w:rPr>
          <w:rFonts w:ascii="Arial" w:hAnsi="Arial"/>
          <w:color w:val="000000"/>
          <w:sz w:val="20"/>
        </w:rPr>
        <w:t>The Company has incurred significant accumulated losses of approximately $3.2</w:t>
      </w:r>
      <w:r>
        <w:rPr>
          <w:rFonts w:ascii="Times New Roman" w:hAnsi="Times New Roman"/>
          <w:color w:val="000000"/>
          <w:sz w:val="20"/>
        </w:rPr>
        <w:t xml:space="preserve"> </w:t>
      </w:r>
      <w:r>
        <w:rPr>
          <w:rFonts w:ascii="Arial" w:hAnsi="Arial"/>
          <w:color w:val="000000"/>
          <w:sz w:val="20"/>
        </w:rPr>
        <w:t>billion. The Company expects to continue to incur operating losses for the foreseeable future. To the extent that the Company's current resources are insufficient to satisfy its cash requirements, the Company may need to seek additional equity or debt financing and there can be no assurance that the Company will be successful in its efforts. If the financing is not available, or if the terms of financing are less desirable than the Company expects, the Company may be forced to continue to scale back its operations, which could have an adverse impact on its business and financial prospects.</w:t>
      </w:r>
    </w:p>
    <w:p>
      <w:pPr>
        <w:pStyle w:val="TextBody"/>
        <w:bidi w:val="0"/>
        <w:spacing w:before="180" w:after="283"/>
        <w:jc w:val="both"/>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preparation of consolidated financial statements in accordance with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and impairment of long-lived assets, fair value of derivative instruments, incremental borrowing rate applied to lease accounting, contingent liabilities, redemption probabilities associated with Wish Cash, allowances for refunds and chargebacks and uncertain tax positions. As a result, many of the Company’s estimates and assumptions required increased judgment and these estimates may change materially in future periods.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manages its operations and allocates resources as a single</w:t>
      </w:r>
      <w:r>
        <w:rPr>
          <w:rFonts w:ascii="Times New Roman" w:hAnsi="Times New Roman"/>
          <w:color w:val="000000"/>
          <w:sz w:val="20"/>
        </w:rPr>
        <w:t xml:space="preserve"> </w:t>
      </w:r>
      <w:r>
        <w:rPr>
          <w:rFonts w:ascii="Arial" w:hAnsi="Arial"/>
          <w:color w:val="000000"/>
          <w:sz w:val="20"/>
        </w:rPr>
        <w:t>operating segment. The Company’s chief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operating decision-maker is its Chief Executive Officer (“CEO”) who makes operating decisions, assesses financial performance and allocates resources based on consolidated financial information. As such, the Company has determined that it operates in one</w:t>
      </w:r>
      <w:r>
        <w:rPr>
          <w:rFonts w:ascii="Times New Roman" w:hAnsi="Times New Roman"/>
          <w:color w:val="000000"/>
          <w:sz w:val="20"/>
        </w:rPr>
        <w:t xml:space="preserve"> </w:t>
      </w:r>
      <w:r>
        <w:rPr>
          <w:rFonts w:ascii="Arial" w:hAnsi="Arial"/>
          <w:color w:val="000000"/>
          <w:sz w:val="20"/>
        </w:rPr>
        <w:t>reportable segment.</w:t>
      </w:r>
    </w:p>
    <w:p>
      <w:pPr>
        <w:pStyle w:val="TextBody"/>
        <w:bidi w:val="0"/>
        <w:spacing w:before="180" w:after="283"/>
        <w:jc w:val="both"/>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pStyle w:val="TextBody"/>
        <w:bidi w:val="0"/>
        <w:spacing w:before="180" w:after="283"/>
        <w:jc w:val="both"/>
        <w:rPr>
          <w:rFonts w:ascii="Arial" w:hAnsi="Arial"/>
          <w:color w:val="000000"/>
          <w:sz w:val="20"/>
        </w:rPr>
      </w:pPr>
      <w:r>
        <w:rPr>
          <w:rFonts w:ascii="Arial" w:hAnsi="Arial"/>
          <w:color w:val="000000"/>
          <w:sz w:val="20"/>
        </w:rPr>
        <w:t>The following table shows the disaggregated revenue for the applicable periods:</w:t>
      </w:r>
    </w:p>
    <w:tbl>
      <w:tblPr>
        <w:tblW w:w="5280" w:type="dxa"/>
        <w:jc w:val="left"/>
        <w:tblInd w:w="0" w:type="dxa"/>
        <w:tblLayout w:type="fixed"/>
        <w:tblCellMar>
          <w:top w:w="28" w:type="dxa"/>
          <w:left w:w="28" w:type="dxa"/>
          <w:bottom w:w="28" w:type="dxa"/>
          <w:right w:w="28" w:type="dxa"/>
        </w:tblCellMar>
      </w:tblPr>
      <w:tblGrid>
        <w:gridCol w:w="2681"/>
        <w:gridCol w:w="426"/>
        <w:gridCol w:w="146"/>
        <w:gridCol w:w="211"/>
        <w:gridCol w:w="421"/>
        <w:gridCol w:w="146"/>
        <w:gridCol w:w="146"/>
        <w:gridCol w:w="211"/>
        <w:gridCol w:w="421"/>
        <w:gridCol w:w="471"/>
      </w:tblGrid>
      <w:tr>
        <w:trPr/>
        <w:tc>
          <w:tcPr>
            <w:tcW w:w="26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471" w:type="dxa"/>
            <w:tcBorders/>
            <w:shd w:fill="FFFFFF" w:val="cle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ind w:left="0" w:right="0" w:firstLine="280"/>
              <w:jc w:val="center"/>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Core marketplace 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6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Marketplace revenue</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Logistics revenue</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Refer to Note 11 – Geographic Information for the disaggregated revenue by geographical location.</w:t>
      </w:r>
    </w:p>
    <w:p>
      <w:pPr>
        <w:pStyle w:val="TextBody"/>
        <w:bidi w:val="0"/>
        <w:spacing w:before="180" w:after="283"/>
        <w:jc w:val="both"/>
        <w:rPr>
          <w:rFonts w:ascii="Arial" w:hAnsi="Arial"/>
          <w:i/>
          <w:color w:val="000000"/>
          <w:sz w:val="20"/>
        </w:rPr>
      </w:pPr>
      <w:r>
        <w:rPr>
          <w:rFonts w:ascii="Arial" w:hAnsi="Arial"/>
          <w:i/>
          <w:color w:val="000000"/>
          <w:sz w:val="20"/>
        </w:rPr>
        <w:t>Marketplace Revenue</w:t>
      </w:r>
    </w:p>
    <w:p>
      <w:pPr>
        <w:pStyle w:val="TextBody"/>
        <w:bidi w:val="0"/>
        <w:spacing w:before="180" w:after="283"/>
        <w:jc w:val="both"/>
        <w:rPr>
          <w:rFonts w:ascii="Arial" w:hAnsi="Arial"/>
          <w:color w:val="000000"/>
          <w:sz w:val="20"/>
        </w:rPr>
      </w:pPr>
      <w:r>
        <w:rPr>
          <w:rFonts w:ascii="Arial" w:hAnsi="Arial"/>
          <w:color w:val="000000"/>
          <w:sz w:val="20"/>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pStyle w:val="TextBody"/>
        <w:bidi w:val="0"/>
        <w:spacing w:before="180" w:after="283"/>
        <w:jc w:val="both"/>
        <w:rPr>
          <w:rFonts w:ascii="Times New Roman" w:hAnsi="Times New Roman"/>
          <w:sz w:val="20"/>
        </w:rPr>
      </w:pPr>
      <w:r>
        <w:rPr>
          <w:rFonts w:ascii="Arial" w:hAnsi="Arial"/>
          <w:color w:val="000000"/>
          <w:sz w:val="20"/>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Logistics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pStyle w:val="TextBody"/>
        <w:bidi w:val="0"/>
        <w:spacing w:before="180" w:after="283"/>
        <w:jc w:val="both"/>
        <w:rPr>
          <w:rFonts w:ascii="Times New Roman" w:hAnsi="Times New Roman"/>
          <w:sz w:val="20"/>
        </w:rPr>
      </w:pPr>
      <w:r>
        <w:rPr>
          <w:rFonts w:ascii="Arial" w:hAnsi="Arial"/>
          <w:i/>
          <w:color w:val="000000"/>
          <w:sz w:val="20"/>
        </w:rPr>
        <w:t>Deferred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Deferred revenue consists of amounts received primarily related to unsatisfied performance obligations of logistics services and marketplace services for shipments in-transit at the end of the period where the Company is the principal. The deferred revenue balances as of December 31, 2023 and 2022 are disclosed in Note 4 – Balance Sheet Components. Due to the short-term duration of contracts, all of the performance obligations will be satisfied in the following reporting period.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Refunds and Chargebacks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Refunds and chargebacks are associated with marketplace revenue. Returns are not material to the Company’s business. Estimated refunds and chargebacks are recognized on the consolidated balance sheets as refunds liability. The merchant’s share of the refunds is recognized as a reduction to the amount due to merchants. The revenue recognized on transactions subject to refunds and chargebacks is reversed. The Company estimates future refunds and chargebacks using a model that incorporates historical experience, considering recent business trends, and market activity.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Incentive Discount Offers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provides incentive discount offers to its users to encourage purchases of products through its marketplace. Such offers include current discount offers of a certain percentage off current purchases and inducement offers, such as set percentage offers off future purchases subject to a minimum current purchase. The Company generally records the related discounts taken as a reduction of revenue when the offer is redeemed. The Company also offers free products to encourage users to make purchases on its marketplace. The resulting discount is recognized as a reduction of revenue when the offer for free product is redeemed.</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Wish Cash Liability</w:t>
      </w:r>
    </w:p>
    <w:p>
      <w:pPr>
        <w:pStyle w:val="TextBody"/>
        <w:bidi w:val="0"/>
        <w:spacing w:before="180" w:after="283"/>
        <w:jc w:val="both"/>
        <w:rPr>
          <w:rFonts w:ascii="Times New Roman" w:hAnsi="Times New Roman"/>
          <w:sz w:val="20"/>
        </w:rPr>
      </w:pPr>
      <w:r>
        <w:rPr>
          <w:rFonts w:ascii="Arial" w:hAnsi="Arial"/>
          <w:color w:val="000000"/>
          <w:sz w:val="20"/>
        </w:rPr>
        <w:t>The Company issues Wish Cash to end-users who opt to receive it for their refundable transactions. The Company also offers Wish Cash as part of its various referral and incentive programs. The Company accrues a liability for issued Wish Cash which is reduced when Wish Cash is redeemed by its users. Based on historical experience, the Company analyzes the Wish Cash liability considering usage patterns to determine the probability of redemption. While the Company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 Refer to Note 4 – Balance Sheet Components for more information on Wish Cash liability breakage.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Cost of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Cost of revenue includes colocation and data center charges, interchange and other fees for payment processing services, fraud and chargeback prevention service charges, costs of refunds and chargebacks made to users that the Company is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includes an allocation of general IT and facilities overhead expenses.</w:t>
      </w:r>
    </w:p>
    <w:p>
      <w:pPr>
        <w:pStyle w:val="TextBody"/>
        <w:bidi w:val="0"/>
        <w:spacing w:before="180" w:after="283"/>
        <w:jc w:val="both"/>
        <w:rPr>
          <w:rFonts w:ascii="Times New Roman" w:hAnsi="Times New Roman"/>
          <w:sz w:val="20"/>
        </w:rPr>
      </w:pPr>
      <w:r>
        <w:rPr>
          <w:rFonts w:ascii="Arial" w:hAnsi="Arial"/>
          <w:b/>
          <w:i/>
          <w:color w:val="000000"/>
          <w:sz w:val="20"/>
        </w:rPr>
        <w:t>Advertising Expense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Advertising expenses are included in sales and marketing expenses within the consolidated statements of operations and are expensed as incurred. Advertising expenses were $104</w:t>
      </w:r>
      <w:r>
        <w:rPr>
          <w:rFonts w:ascii="Times New Roman" w:hAnsi="Times New Roman"/>
          <w:color w:val="000000"/>
          <w:sz w:val="20"/>
        </w:rPr>
        <w:t xml:space="preserve"> </w:t>
      </w:r>
      <w:r>
        <w:rPr>
          <w:rFonts w:ascii="Arial" w:hAnsi="Arial"/>
          <w:color w:val="000000"/>
          <w:sz w:val="20"/>
        </w:rPr>
        <w:t>million and $195</w:t>
      </w:r>
      <w:r>
        <w:rPr>
          <w:rFonts w:ascii="Times New Roman" w:hAnsi="Times New Roman"/>
          <w:color w:val="000000"/>
          <w:sz w:val="20"/>
        </w:rPr>
        <w:t xml:space="preserve"> </w:t>
      </w:r>
      <w:r>
        <w:rPr>
          <w:rFonts w:ascii="Arial" w:hAnsi="Arial"/>
          <w:color w:val="000000"/>
          <w:sz w:val="20"/>
        </w:rPr>
        <w:t>million for the years ended December 31, 2023 and 2022,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Software Development Costs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capitalizes costs to develop its mobile application and website when preliminary development efforts are successfully completed, management has authorized and committed project funding, and it is probable that the project will be completed, and the software will be used as intended. Costs incurred during the preliminary planning and evaluation stage of the project and during the post implementation operational stage, including maintenance, are expensed as incurred. Costs incurred for enhancements that are expected to result in additional functionality are capitalized and expensed over the estimated useful life of the upgrades on a per project basis.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Due to the iterative process by which the Company performs upgrades and the relatively short duration of its development projects, development costs meeting capitalization criteria generally are not material. If internal-use software development costs are material, they are capitalized and included in property and equipment, net within the consolidated balance sheets.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Cash, Cash Equivalents and Restricted Cash</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considers all highly liquid investments with an original maturity of three months or less to be cash equivalents. As of December 31, 2023 and 2022, cash and cash equivalents consisted of cash deposited with banks and money market funds for which their cost approximates their fair value. The Company held 28% and 72% of its cash and cash equivalents in the United States as of December 31, 2023 and 2022, respectively.</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Restricted cash as of December 31, 2022 represents amounts held in collateral and cash accounts in a foundation entity dedicated to safeguarding funds of payment service users consisting of European Economic Area merchants, ensuring the funds remain separate from the Company’s own funds. These funds are included within prepaid expenses and other current assets in the consolidated balance sheets. As of December 31, 2023, the balance of restricted cash was zero.</w:t>
      </w:r>
    </w:p>
    <w:p>
      <w:pPr>
        <w:pStyle w:val="TextBody"/>
        <w:bidi w:val="0"/>
        <w:spacing w:before="180" w:after="283"/>
        <w:jc w:val="both"/>
        <w:rPr>
          <w:rFonts w:ascii="Arial" w:hAnsi="Arial"/>
          <w:b/>
          <w:i/>
          <w:color w:val="000000"/>
          <w:sz w:val="20"/>
        </w:rPr>
      </w:pPr>
      <w:r>
        <w:rPr>
          <w:rFonts w:ascii="Arial" w:hAnsi="Arial"/>
          <w:b/>
          <w:i/>
          <w:color w:val="000000"/>
          <w:sz w:val="20"/>
        </w:rPr>
        <w:t>Marketable Securities</w:t>
      </w:r>
    </w:p>
    <w:p>
      <w:pPr>
        <w:pStyle w:val="TextBody"/>
        <w:bidi w:val="0"/>
        <w:spacing w:before="180" w:after="283"/>
        <w:jc w:val="both"/>
        <w:rPr>
          <w:rFonts w:ascii="Times New Roman" w:hAnsi="Times New Roman"/>
          <w:sz w:val="20"/>
        </w:rPr>
      </w:pPr>
      <w:r>
        <w:rPr>
          <w:rFonts w:ascii="Arial" w:hAnsi="Arial"/>
          <w:color w:val="000000"/>
          <w:sz w:val="20"/>
        </w:rPr>
        <w:t>Marketable securities consist of short-term debt securities classified as available-for-sale and have original maturities greater than 90</w:t>
      </w:r>
      <w:r>
        <w:rPr>
          <w:rFonts w:ascii="Times New Roman" w:hAnsi="Times New Roman"/>
          <w:color w:val="000000"/>
          <w:sz w:val="20"/>
        </w:rPr>
        <w:t xml:space="preserve"> </w:t>
      </w:r>
      <w:r>
        <w:rPr>
          <w:rFonts w:ascii="Arial" w:hAnsi="Arial"/>
          <w:color w:val="000000"/>
          <w:sz w:val="20"/>
        </w:rPr>
        <w:t>days. Marketable securities are carried at fair value based upon quoted market prices or pricing models for similar securities. Unrealized gains and losses on available-for-sale securities are excluded from earnings and are recognized within other comprehensive loss. Realized gains or losses on the sale of all such securities are reported in interest and other income,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Funds Receivable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uses several third-party Payment Service Providers (“PSPs”) to process user transactions on its marketplace. Transactions on the Company’s marketplace are mainly credit and debit card-based transactions that convert to cash on a regular basis and are net settled against refunds and chargebacks, with little default risk. Funds receivable represents the amounts expected to be received from PSPs for purchases on the Company’s marketplace and is recognized net of processing fees.</w:t>
      </w:r>
    </w:p>
    <w:p>
      <w:pPr>
        <w:pStyle w:val="TextBody"/>
        <w:bidi w:val="0"/>
        <w:spacing w:before="180" w:after="283"/>
        <w:jc w:val="both"/>
        <w:rPr>
          <w:rFonts w:ascii="Times New Roman" w:hAnsi="Times New Roman"/>
          <w:sz w:val="20"/>
        </w:rPr>
      </w:pPr>
      <w:r>
        <w:rPr>
          <w:rFonts w:ascii="Arial" w:hAnsi="Arial"/>
          <w:b/>
          <w:i/>
          <w:color w:val="000000"/>
          <w:sz w:val="20"/>
        </w:rPr>
        <w:t>Concentrations of Risk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 xml:space="preserve">Credit Risk </w:t>
      </w:r>
      <w:r>
        <w:rPr>
          <w:rFonts w:ascii="Times New Roman" w:hAnsi="Times New Roman"/>
          <w:color w:val="000000"/>
          <w:sz w:val="20"/>
        </w:rPr>
        <w:t xml:space="preserve">— </w:t>
      </w:r>
      <w:r>
        <w:rPr>
          <w:rFonts w:ascii="Arial" w:hAnsi="Arial"/>
          <w:color w:val="000000"/>
          <w:sz w:val="20"/>
        </w:rPr>
        <w:t>Financial instruments that potentially subject the Company to concentrations of credit risk consist primarily of cash 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pStyle w:val="TextBody"/>
        <w:bidi w:val="0"/>
        <w:spacing w:before="180" w:after="283"/>
        <w:jc w:val="both"/>
        <w:rPr>
          <w:rFonts w:ascii="Times New Roman" w:hAnsi="Times New Roman"/>
          <w:sz w:val="20"/>
        </w:rPr>
      </w:pPr>
      <w:r>
        <w:rPr>
          <w:rFonts w:ascii="Arial" w:hAnsi="Arial"/>
          <w:color w:val="000000"/>
          <w:sz w:val="20"/>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49% and 24% of the Company’s total cash and cash equivalents as of December 31, 2023 and 2022,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is exposed to credit risk in the event of a default by its PSPs. The Company does not generate revenue from PSPs. Significant changes in the Company’s relationship with its PSPs could adversely affect users’ ability to process transactions on the Company’s marketplaces, thereby impacting the Company’s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following PSPs each represented 10% or more of the Company’s funds receivable balance:</w:t>
      </w:r>
      <w:r>
        <w:rPr>
          <w:rFonts w:ascii="Times New Roman" w:hAnsi="Times New Roman"/>
          <w:color w:val="000000"/>
          <w:sz w:val="20"/>
        </w:rPr>
        <w:t xml:space="preserve"> </w:t>
      </w:r>
    </w:p>
    <w:p>
      <w:pPr>
        <w:pStyle w:val="TextBody"/>
        <w:bidi w:val="0"/>
        <w:jc w:val="both"/>
        <w:rPr/>
      </w:pPr>
      <w:r>
        <w:rPr/>
        <w:t> </w:t>
      </w:r>
    </w:p>
    <w:tbl>
      <w:tblPr>
        <w:tblW w:w="2655" w:type="dxa"/>
        <w:jc w:val="left"/>
        <w:tblInd w:w="0" w:type="dxa"/>
        <w:tblLayout w:type="fixed"/>
        <w:tblCellMar>
          <w:top w:w="28" w:type="dxa"/>
          <w:left w:w="28" w:type="dxa"/>
          <w:bottom w:w="28" w:type="dxa"/>
          <w:right w:w="28" w:type="dxa"/>
        </w:tblCellMar>
      </w:tblPr>
      <w:tblGrid>
        <w:gridCol w:w="691"/>
        <w:gridCol w:w="146"/>
        <w:gridCol w:w="166"/>
        <w:gridCol w:w="360"/>
        <w:gridCol w:w="288"/>
        <w:gridCol w:w="147"/>
        <w:gridCol w:w="166"/>
        <w:gridCol w:w="360"/>
        <w:gridCol w:w="331"/>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PSP 1</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PSP 2</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2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i/>
          <w:color w:val="000000"/>
          <w:sz w:val="20"/>
        </w:rPr>
        <w:t xml:space="preserve">Services Risk </w:t>
      </w:r>
      <w:r>
        <w:rPr>
          <w:rFonts w:ascii="Times New Roman" w:hAnsi="Times New Roman"/>
          <w:color w:val="000000"/>
          <w:sz w:val="20"/>
        </w:rPr>
        <w:t xml:space="preserve">— </w:t>
      </w:r>
      <w:r>
        <w:rPr>
          <w:rFonts w:ascii="Arial" w:hAnsi="Arial"/>
          <w:color w:val="000000"/>
          <w:sz w:val="20"/>
        </w:rPr>
        <w:t>The Company serves all of its users using third-party data center and hosting providers. The Company has disaster recovery protocols at the third-party service providers. Even with these procedures for disaster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recovery in place, access to the Company’s service could be significantly interrupted, resulting in an adverse effect on its operating results and financial position. No significant interruptions of service were known to have occurred during the years ended December 31, 2023 and 2022.</w:t>
      </w:r>
    </w:p>
    <w:p>
      <w:pPr>
        <w:pStyle w:val="TextBody"/>
        <w:bidi w:val="0"/>
        <w:spacing w:before="180" w:after="283"/>
        <w:jc w:val="both"/>
        <w:rPr>
          <w:rFonts w:ascii="Times New Roman" w:hAnsi="Times New Roman"/>
          <w:sz w:val="20"/>
        </w:rPr>
      </w:pPr>
      <w:r>
        <w:rPr>
          <w:rFonts w:ascii="Arial" w:hAnsi="Arial"/>
          <w:b/>
          <w:i/>
          <w:color w:val="000000"/>
          <w:sz w:val="20"/>
        </w:rPr>
        <w:t>Property and Equipment, Net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Property and equipment are stated at historical cost less accumulated depreciation. Depreciation and amortization are computed using the straight-line method over the estimated useful lives. Expenditures for repairs and maintenance are charged to expense as incurred.</w:t>
      </w:r>
    </w:p>
    <w:p>
      <w:pPr>
        <w:pStyle w:val="TextBody"/>
        <w:bidi w:val="0"/>
        <w:spacing w:before="180" w:after="283"/>
        <w:jc w:val="both"/>
        <w:rPr>
          <w:rFonts w:ascii="Times New Roman" w:hAnsi="Times New Roman"/>
          <w:sz w:val="20"/>
        </w:rPr>
      </w:pPr>
      <w:r>
        <w:rPr>
          <w:rFonts w:ascii="Arial" w:hAnsi="Arial"/>
          <w:color w:val="000000"/>
          <w:sz w:val="20"/>
        </w:rPr>
        <w:t>The estimated useful lives of the Company’s property and equipment are generally as follows:</w:t>
      </w:r>
      <w:r>
        <w:rPr>
          <w:rFonts w:ascii="Times New Roman" w:hAnsi="Times New Roman"/>
          <w:color w:val="000000"/>
          <w:sz w:val="20"/>
        </w:rPr>
        <w:t xml:space="preserve"> </w:t>
      </w:r>
    </w:p>
    <w:tbl>
      <w:tblPr>
        <w:tblW w:w="9077" w:type="dxa"/>
        <w:jc w:val="left"/>
        <w:tblInd w:w="0" w:type="dxa"/>
        <w:tblLayout w:type="fixed"/>
        <w:tblCellMar>
          <w:top w:w="28" w:type="dxa"/>
          <w:left w:w="28" w:type="dxa"/>
          <w:bottom w:w="28" w:type="dxa"/>
          <w:right w:w="28" w:type="dxa"/>
        </w:tblCellMar>
      </w:tblPr>
      <w:tblGrid>
        <w:gridCol w:w="4741"/>
        <w:gridCol w:w="4336"/>
      </w:tblGrid>
      <w:tr>
        <w:trPr/>
        <w:tc>
          <w:tcPr>
            <w:tcW w:w="4741"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before="180" w:after="283"/>
              <w:jc w:val="left"/>
              <w:rPr/>
            </w:pPr>
            <w:r>
              <w:rPr/>
              <w:t> </w:t>
            </w:r>
          </w:p>
        </w:tc>
        <w:tc>
          <w:tcPr>
            <w:tcW w:w="4336" w:type="dxa"/>
            <w:tcBorders/>
            <w:vAlign w:val="center"/>
          </w:tcPr>
          <w:p>
            <w:pPr>
              <w:pStyle w:val="TableContents"/>
              <w:bidi w:val="0"/>
              <w:spacing w:before="180" w:after="283"/>
              <w:ind w:left="0" w:right="0" w:firstLine="240"/>
              <w:jc w:val="left"/>
              <w:rPr/>
            </w:pPr>
            <w:r>
              <w:rPr/>
              <w:t> </w:t>
            </w:r>
          </w:p>
        </w:tc>
      </w:tr>
      <w:tr>
        <w:trPr/>
        <w:tc>
          <w:tcPr>
            <w:tcW w:w="4741" w:type="dxa"/>
            <w:tcBorders/>
            <w:vAlign w:val="center"/>
          </w:tcPr>
          <w:p>
            <w:pPr>
              <w:pStyle w:val="TableContents"/>
              <w:pBdr/>
              <w:bidi w:val="0"/>
              <w:spacing w:before="180" w:after="283"/>
              <w:ind w:left="0" w:right="0" w:hanging="240"/>
              <w:jc w:val="left"/>
              <w:rPr>
                <w:rFonts w:ascii="Arial" w:hAnsi="Arial"/>
                <w:color w:val="000000"/>
                <w:sz w:val="20"/>
              </w:rPr>
            </w:pPr>
            <w:r>
              <w:rPr>
                <w:rFonts w:ascii="Arial" w:hAnsi="Arial"/>
                <w:color w:val="000000"/>
                <w:sz w:val="20"/>
              </w:rPr>
              <w:t>Computers, equipment, software</w:t>
            </w:r>
          </w:p>
        </w:tc>
        <w:tc>
          <w:tcPr>
            <w:tcW w:w="4336" w:type="dxa"/>
            <w:tcBorders/>
            <w:vAlign w:val="center"/>
          </w:tcPr>
          <w:p>
            <w:pPr>
              <w:pStyle w:val="TableContents"/>
              <w:bidi w:val="0"/>
              <w:spacing w:before="180" w:after="283"/>
              <w:ind w:left="0" w:right="0" w:firstLine="240"/>
              <w:jc w:val="center"/>
              <w:rPr>
                <w:rFonts w:ascii="Times New Roman" w:hAnsi="Times New Roman"/>
                <w:sz w:val="20"/>
              </w:rPr>
            </w:pPr>
            <w:r>
              <w:rPr>
                <w:rFonts w:ascii="Arial" w:hAnsi="Arial"/>
                <w:color w:val="000000"/>
                <w:sz w:val="20"/>
              </w:rPr>
              <w:t>3</w:t>
            </w:r>
            <w:r>
              <w:rPr>
                <w:rFonts w:ascii="Times New Roman" w:hAnsi="Times New Roman"/>
                <w:color w:val="000000"/>
                <w:sz w:val="20"/>
              </w:rPr>
              <w:t> </w:t>
            </w:r>
            <w:r>
              <w:rPr>
                <w:rFonts w:ascii="Arial" w:hAnsi="Arial"/>
                <w:color w:val="000000"/>
                <w:sz w:val="20"/>
              </w:rPr>
              <w:t>years</w:t>
            </w:r>
          </w:p>
        </w:tc>
      </w:tr>
      <w:tr>
        <w:trPr/>
        <w:tc>
          <w:tcPr>
            <w:tcW w:w="4741" w:type="dxa"/>
            <w:tcBorders/>
            <w:vAlign w:val="center"/>
          </w:tcPr>
          <w:p>
            <w:pPr>
              <w:pStyle w:val="TableContents"/>
              <w:pBdr/>
              <w:bidi w:val="0"/>
              <w:spacing w:before="180" w:after="283"/>
              <w:ind w:left="0" w:right="0" w:hanging="240"/>
              <w:jc w:val="left"/>
              <w:rPr>
                <w:rFonts w:ascii="Arial" w:hAnsi="Arial"/>
                <w:color w:val="000000"/>
                <w:sz w:val="20"/>
              </w:rPr>
            </w:pPr>
            <w:r>
              <w:rPr>
                <w:rFonts w:ascii="Arial" w:hAnsi="Arial"/>
                <w:color w:val="000000"/>
                <w:sz w:val="20"/>
              </w:rPr>
              <w:t>Furniture and fixtures, servers, networking equipment</w:t>
            </w:r>
          </w:p>
        </w:tc>
        <w:tc>
          <w:tcPr>
            <w:tcW w:w="4336" w:type="dxa"/>
            <w:tcBorders/>
            <w:vAlign w:val="center"/>
          </w:tcPr>
          <w:p>
            <w:pPr>
              <w:pStyle w:val="TableContents"/>
              <w:bidi w:val="0"/>
              <w:spacing w:before="180" w:after="283"/>
              <w:ind w:left="0" w:right="0" w:firstLine="240"/>
              <w:jc w:val="center"/>
              <w:rPr>
                <w:rFonts w:ascii="Times New Roman" w:hAnsi="Times New Roman"/>
                <w:sz w:val="20"/>
              </w:rPr>
            </w:pPr>
            <w:r>
              <w:rPr>
                <w:rFonts w:ascii="Arial" w:hAnsi="Arial"/>
                <w:color w:val="000000"/>
                <w:sz w:val="20"/>
              </w:rPr>
              <w:t>5</w:t>
            </w:r>
            <w:r>
              <w:rPr>
                <w:rFonts w:ascii="Times New Roman" w:hAnsi="Times New Roman"/>
                <w:color w:val="000000"/>
                <w:sz w:val="20"/>
              </w:rPr>
              <w:t> </w:t>
            </w:r>
            <w:r>
              <w:rPr>
                <w:rFonts w:ascii="Arial" w:hAnsi="Arial"/>
                <w:color w:val="000000"/>
                <w:sz w:val="20"/>
              </w:rPr>
              <w:t>years</w:t>
            </w:r>
          </w:p>
        </w:tc>
      </w:tr>
      <w:tr>
        <w:trPr/>
        <w:tc>
          <w:tcPr>
            <w:tcW w:w="4741" w:type="dxa"/>
            <w:tcBorders/>
            <w:vAlign w:val="center"/>
          </w:tcPr>
          <w:p>
            <w:pPr>
              <w:pStyle w:val="TableContents"/>
              <w:pBdr/>
              <w:bidi w:val="0"/>
              <w:spacing w:before="180" w:after="283"/>
              <w:ind w:left="0" w:right="0" w:hanging="240"/>
              <w:jc w:val="left"/>
              <w:rPr>
                <w:rFonts w:ascii="Arial" w:hAnsi="Arial"/>
                <w:color w:val="000000"/>
                <w:sz w:val="20"/>
              </w:rPr>
            </w:pPr>
            <w:r>
              <w:rPr>
                <w:rFonts w:ascii="Arial" w:hAnsi="Arial"/>
                <w:color w:val="000000"/>
                <w:sz w:val="20"/>
              </w:rPr>
              <w:t>Leasehold improvements</w:t>
            </w:r>
          </w:p>
        </w:tc>
        <w:tc>
          <w:tcPr>
            <w:tcW w:w="4336" w:type="dxa"/>
            <w:tcBorders/>
            <w:vAlign w:val="center"/>
          </w:tcPr>
          <w:p>
            <w:pPr>
              <w:pStyle w:val="TableContents"/>
              <w:bidi w:val="0"/>
              <w:spacing w:before="180" w:after="283"/>
              <w:jc w:val="center"/>
              <w:rPr>
                <w:rFonts w:ascii="Arial" w:hAnsi="Arial"/>
                <w:color w:val="000000"/>
                <w:sz w:val="20"/>
              </w:rPr>
            </w:pPr>
            <w:r>
              <w:rPr>
                <w:rFonts w:ascii="Arial" w:hAnsi="Arial"/>
                <w:color w:val="000000"/>
                <w:sz w:val="20"/>
              </w:rPr>
              <w:t xml:space="preserve">Shorter of the estimated useful life or remaining </w:t>
              <w:br/>
              <w:t>lease term</w:t>
            </w:r>
          </w:p>
        </w:tc>
      </w:tr>
    </w:tbl>
    <w:p>
      <w:pPr>
        <w:pStyle w:val="TextBody"/>
        <w:bidi w:val="0"/>
        <w:spacing w:before="180" w:after="283"/>
        <w:jc w:val="both"/>
        <w:rPr>
          <w:rFonts w:ascii="Times New Roman" w:hAnsi="Times New Roman"/>
          <w:sz w:val="20"/>
        </w:rPr>
      </w:pPr>
      <w:r>
        <w:rPr>
          <w:rFonts w:ascii="Arial" w:hAnsi="Arial"/>
          <w:b/>
          <w:i/>
          <w:color w:val="000000"/>
          <w:sz w:val="20"/>
        </w:rPr>
        <w:t>Impairment of Long-Lived Assets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reviews long-lived assets, including intangible and lease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p>
    <w:p>
      <w:pPr>
        <w:pStyle w:val="TextBody"/>
        <w:bidi w:val="0"/>
        <w:spacing w:before="180" w:after="283"/>
        <w:jc w:val="both"/>
        <w:rPr>
          <w:rFonts w:ascii="Times New Roman" w:hAnsi="Times New Roman"/>
          <w:sz w:val="20"/>
        </w:rPr>
      </w:pPr>
      <w:r>
        <w:rPr>
          <w:rFonts w:ascii="Arial" w:hAnsi="Arial"/>
          <w:b/>
          <w:i/>
          <w:color w:val="000000"/>
          <w:sz w:val="20"/>
        </w:rPr>
        <w:t>Merchants Payable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Merchants payable represents the amount of funds due to merchants and is recognized net of commission fees earned by the Company for marketplace transactions and other fees due from merchants. Merchants payable is adjusted for actual and estimated refunds the Company is expected to recover from merchants. The Company</w:t>
      </w:r>
      <w:r>
        <w:rPr>
          <w:rFonts w:ascii="Times New Roman" w:hAnsi="Times New Roman"/>
          <w:color w:val="000000"/>
          <w:sz w:val="20"/>
        </w:rPr>
        <w:t xml:space="preserve"> </w:t>
      </w:r>
      <w:r>
        <w:rPr>
          <w:rFonts w:ascii="Arial" w:hAnsi="Arial"/>
          <w:color w:val="000000"/>
          <w:sz w:val="20"/>
        </w:rPr>
        <w:t>remits funds to merchants on a regular basis.</w:t>
      </w:r>
    </w:p>
    <w:p>
      <w:pPr>
        <w:pStyle w:val="TextBody"/>
        <w:bidi w:val="0"/>
        <w:spacing w:before="180" w:after="283"/>
        <w:jc w:val="both"/>
        <w:rPr>
          <w:rFonts w:ascii="Arial" w:hAnsi="Arial"/>
          <w:b/>
          <w:i/>
          <w:color w:val="000000"/>
          <w:sz w:val="20"/>
        </w:rPr>
      </w:pPr>
      <w:r>
        <w:rPr>
          <w:rFonts w:ascii="Arial" w:hAnsi="Arial"/>
          <w:b/>
          <w:i/>
          <w:color w:val="000000"/>
          <w:sz w:val="20"/>
        </w:rPr>
        <w:t>Operating Lease Obligations</w:t>
      </w:r>
    </w:p>
    <w:p>
      <w:pPr>
        <w:pStyle w:val="TextBody"/>
        <w:bidi w:val="0"/>
        <w:spacing w:before="180" w:after="283"/>
        <w:jc w:val="both"/>
        <w:rPr>
          <w:rFonts w:ascii="Arial" w:hAnsi="Arial"/>
          <w:color w:val="000000"/>
          <w:sz w:val="20"/>
        </w:rPr>
      </w:pPr>
      <w:r>
        <w:rPr>
          <w:rFonts w:ascii="Arial" w:hAnsi="Arial"/>
          <w:color w:val="000000"/>
          <w:sz w:val="20"/>
        </w:rPr>
        <w:t>The Company determines if an arrangement is a lease at inception. For leases where the Company is the lessee, right-of-use (“ROU”) assets represent the Company’s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The Company begins recognizing rent expense when the lessor makes the underlying asset available for use by the Company. Lease liabilities are recognized at the lease commencement date based on the present value of the future lease payments over the lease term. Lease renewal periods are considered on a lease-by-lease basis in determining the lease term. The interest rate the Company uses to determine the present value of future lease payments is the Company’s incremental borrowing rate because the rate implicit in the Company’s leases is not readily determinable. The incremental borrowing rate is a hypothetical rate for collateralized borrowings in economic environments where the leased asset is located based on credit rating factors.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the Company will exercise the option. Certain leases contain variable costs, such as common area maintenance, real estate taxes or other costs. Variable lease costs are expensed as incurred on the consolidated statements of operations and comprehensive loss.</w:t>
      </w:r>
    </w:p>
    <w:p>
      <w:pPr>
        <w:pStyle w:val="TextBody"/>
        <w:bidi w:val="0"/>
        <w:spacing w:before="180" w:after="283"/>
        <w:jc w:val="both"/>
        <w:rPr>
          <w:rFonts w:ascii="Times New Roman" w:hAnsi="Times New Roman"/>
          <w:sz w:val="20"/>
        </w:rPr>
      </w:pPr>
      <w:r>
        <w:rPr>
          <w:rFonts w:ascii="Arial" w:hAnsi="Arial"/>
          <w:color w:val="000000"/>
          <w:sz w:val="20"/>
        </w:rPr>
        <w:t>Operating leases are included in the ROU assets, accrued liabilities, and lease liabilities, non-current on the consolidated balance sheets. The Company has no</w:t>
      </w:r>
      <w:r>
        <w:rPr>
          <w:rFonts w:ascii="Times New Roman" w:hAnsi="Times New Roman"/>
          <w:color w:val="000000"/>
          <w:sz w:val="20"/>
        </w:rPr>
        <w:t xml:space="preserve"> </w:t>
      </w:r>
      <w:r>
        <w:rPr>
          <w:rFonts w:ascii="Arial" w:hAnsi="Arial"/>
          <w:color w:val="000000"/>
          <w:sz w:val="20"/>
        </w:rPr>
        <w:t>finance leases.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Loss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measures and recognizes compensation expense for all stock-based awards, including restricted stock units (“RSUs”), performance-based units (“PSUs”), stock options, and purchase rights issued to employees under its employee stock purchase plan (“ESPP”), based on the estimated fair value of the awards on the grant date. The Company uses the Black-Scholes option pricing model to estimate the fair value of stock options and ESPP purchase rights and the Monte Carlo Simulation model to estimate the fair value of a PSU. The fair value of RSUs is based on the market closing price for its common stock as reported on the Nasdaq Global Select Market on the date of grant. The fair value of service-based RSUs and stock options is recognized as an expense on a straight-line basis over the requisite service period, which ranges from one</w:t>
      </w:r>
      <w:r>
        <w:rPr>
          <w:rFonts w:ascii="Times New Roman" w:hAnsi="Times New Roman"/>
          <w:color w:val="000000"/>
          <w:sz w:val="20"/>
        </w:rPr>
        <w:t xml:space="preserve"> </w:t>
      </w:r>
      <w:r>
        <w:rPr>
          <w:rFonts w:ascii="Arial" w:hAnsi="Arial"/>
          <w:color w:val="000000"/>
          <w:sz w:val="20"/>
        </w:rPr>
        <w:t>to four years. For stock-based awards granted to employees with a performance condition, the Company recognizes stock-based compensation expense under the accelerated attribution method over the requisite service period. The fair value of the ESPP purchase rights is recognized as an expense on a straight-line basis over the offering period.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accounts for forfeitures as they occur.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Foreign Currency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functional currency of the Company’s foreign subsidiaries is the local currency for operating entities with employees and is the U.S. dollar for holding companies and pass-through entities. The assets and liabilities of its non-U.S. dollar functional currency subsidiaries are translated into U.S. dollars using exchange rates in effect at the end of each period. Revenue and expenses for its foreign subsidiaries are translated using rates that approximate those in effect during the period. Foreign currency translation adjustments are reflected in stockholders’ equity as a component of other comprehensive (loss) income.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Transactions on the Company’s marketplace occur in various foreign currencies that are processed by its PSPs. These transactions are collected on a regular basis and are converted to U.S. dollars or euros within the short period of time between the recognition of revenue and cash collection on a regular basis, which limits the Company’s exposure to foreign currency risk.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Merchants payable are denominated primarily in Renminbi (“RMB”) and other local currencies. As of December 31, 2023 and 2022, the merchants payable amount denominated in RMB was 58% and 70%,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Transaction gains and losses, including intercompany transactions denominated in a currency other than the functional currency of the entity involved are included in interest and other income, net on the consolidated statements of operations. The Company recognized a net loss resulting from foreign exchange transactions of $1</w:t>
      </w:r>
      <w:r>
        <w:rPr>
          <w:rFonts w:ascii="Times New Roman" w:hAnsi="Times New Roman"/>
          <w:color w:val="000000"/>
          <w:sz w:val="20"/>
        </w:rPr>
        <w:t xml:space="preserve"> </w:t>
      </w:r>
      <w:r>
        <w:rPr>
          <w:rFonts w:ascii="Arial" w:hAnsi="Arial"/>
          <w:color w:val="000000"/>
          <w:sz w:val="20"/>
        </w:rPr>
        <w:t>million for the year ended December 31, 2023 and a net gain of $10</w:t>
      </w:r>
      <w:r>
        <w:rPr>
          <w:rFonts w:ascii="Times New Roman" w:hAnsi="Times New Roman"/>
          <w:color w:val="000000"/>
          <w:sz w:val="20"/>
        </w:rPr>
        <w:t xml:space="preserve"> </w:t>
      </w:r>
      <w:r>
        <w:rPr>
          <w:rFonts w:ascii="Arial" w:hAnsi="Arial"/>
          <w:color w:val="000000"/>
          <w:sz w:val="20"/>
        </w:rPr>
        <w:t>million for the year ended December 31, 2022. The Company recognized a $2</w:t>
      </w:r>
      <w:r>
        <w:rPr>
          <w:rFonts w:ascii="Times New Roman" w:hAnsi="Times New Roman"/>
          <w:color w:val="000000"/>
          <w:sz w:val="20"/>
        </w:rPr>
        <w:t xml:space="preserve"> </w:t>
      </w:r>
      <w:r>
        <w:rPr>
          <w:rFonts w:ascii="Arial" w:hAnsi="Arial"/>
          <w:color w:val="000000"/>
          <w:sz w:val="20"/>
        </w:rPr>
        <w:t>million cumulative translation loss for the year ended December 31, 2023 and a $7</w:t>
      </w:r>
      <w:r>
        <w:rPr>
          <w:rFonts w:ascii="Times New Roman" w:hAnsi="Times New Roman"/>
          <w:color w:val="000000"/>
          <w:sz w:val="20"/>
        </w:rPr>
        <w:t xml:space="preserve"> </w:t>
      </w:r>
      <w:r>
        <w:rPr>
          <w:rFonts w:ascii="Arial" w:hAnsi="Arial"/>
          <w:color w:val="000000"/>
          <w:sz w:val="20"/>
        </w:rPr>
        <w:t>million cumulative translation loss in the year ended December 31, 2022.</w:t>
      </w:r>
    </w:p>
    <w:p>
      <w:pPr>
        <w:pStyle w:val="TextBody"/>
        <w:bidi w:val="0"/>
        <w:spacing w:before="180" w:after="283"/>
        <w:jc w:val="both"/>
        <w:rPr>
          <w:rFonts w:ascii="Arial" w:hAnsi="Arial"/>
          <w:b/>
          <w:i/>
          <w:color w:val="000000"/>
          <w:sz w:val="20"/>
        </w:rPr>
      </w:pPr>
      <w:r>
        <w:rPr>
          <w:rFonts w:ascii="Arial" w:hAnsi="Arial"/>
          <w:b/>
          <w:i/>
          <w:color w:val="000000"/>
          <w:sz w:val="20"/>
        </w:rPr>
        <w:t>Derivative Instruments</w:t>
      </w:r>
    </w:p>
    <w:p>
      <w:pPr>
        <w:pStyle w:val="TextBody"/>
        <w:bidi w:val="0"/>
        <w:spacing w:before="180" w:after="283"/>
        <w:jc w:val="both"/>
        <w:rPr>
          <w:rFonts w:ascii="Times New Roman" w:hAnsi="Times New Roman"/>
          <w:sz w:val="20"/>
        </w:rPr>
      </w:pPr>
      <w:r>
        <w:rPr>
          <w:rFonts w:ascii="Arial" w:hAnsi="Arial"/>
          <w:color w:val="000000"/>
          <w:sz w:val="20"/>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As part of the Company’s foreign currency risk mitigation strategy, starting in 2020, the Company has entered into foreign exchange forward contracts with up to twelve months</w:t>
      </w:r>
      <w:r>
        <w:rPr>
          <w:rFonts w:ascii="Times New Roman" w:hAnsi="Times New Roman"/>
          <w:color w:val="000000"/>
          <w:sz w:val="20"/>
        </w:rPr>
        <w:t xml:space="preserve"> </w:t>
      </w:r>
      <w:r>
        <w:rPr>
          <w:rFonts w:ascii="Arial" w:hAnsi="Arial"/>
          <w:color w:val="000000"/>
          <w:sz w:val="20"/>
        </w:rPr>
        <w:t>in duration. In accordance with the accounting standards for derivatives and hedging activities, all derivative instruments are recognized at fair value on the Company’s consolidated balance sheets and classified as either derivative assets or derivative liabilities. Derivatives in a gain position are reported as derivative assets, while derivatives in a loss position are reported as derivative liabilities. The Company’s derivatives transactions are not collateralized and do not include collateralization agreements with counterparties.</w:t>
      </w:r>
      <w:r>
        <w:rPr>
          <w:rFonts w:ascii="Times New Roman" w:hAnsi="Times New Roman"/>
          <w:color w:val="000000"/>
          <w:sz w:val="20"/>
        </w:rPr>
        <w:t xml:space="preserve"> </w:t>
      </w:r>
    </w:p>
    <w:p>
      <w:pPr>
        <w:pStyle w:val="TextBody"/>
        <w:bidi w:val="0"/>
        <w:spacing w:before="180" w:after="283"/>
        <w:jc w:val="both"/>
        <w:rPr>
          <w:rFonts w:ascii="Arial" w:hAnsi="Arial"/>
          <w:i/>
          <w:color w:val="262626"/>
          <w:sz w:val="20"/>
        </w:rPr>
      </w:pPr>
      <w:r>
        <w:rPr>
          <w:rFonts w:ascii="Arial" w:hAnsi="Arial"/>
          <w:i/>
          <w:color w:val="262626"/>
          <w:sz w:val="20"/>
        </w:rPr>
        <w:t>Cash Flow Hedges</w:t>
      </w:r>
    </w:p>
    <w:p>
      <w:pPr>
        <w:pStyle w:val="TextBody"/>
        <w:bidi w:val="0"/>
        <w:spacing w:before="180" w:after="283"/>
        <w:jc w:val="both"/>
        <w:rPr>
          <w:rFonts w:ascii="Times New Roman" w:hAnsi="Times New Roman"/>
          <w:sz w:val="20"/>
        </w:rPr>
      </w:pPr>
      <w:r>
        <w:rPr>
          <w:rFonts w:ascii="Arial" w:hAnsi="Arial"/>
          <w:color w:val="000000"/>
          <w:sz w:val="20"/>
        </w:rPr>
        <w:t>The Company’s largest cash flow exposure is in RMB for payments made to merchants in China that use the Wish platform. The Company hedges these cash flow exposures to reduce the risk that its earnings and cash flows will be adversely affected by changes in exchange rates. The Company recognizes changes in fair value of these cash flow hedges of foreign currency denominated merchants payable in accumulated other comprehensive income in its consolidated balance sheets, until the Company settles its forecasted foreign currency denominated merchants payable. When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income to core marketplace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262626"/>
          <w:sz w:val="20"/>
        </w:rPr>
        <w:t>Non-Designated Hedges</w:t>
      </w:r>
      <w:r>
        <w:rPr>
          <w:rFonts w:ascii="Times New Roman" w:hAnsi="Times New Roman"/>
          <w:color w:val="262626"/>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 xml:space="preserve">The Company’s derivatives not designated as hedging instruments consist of </w:t>
      </w:r>
      <w:r>
        <w:rPr>
          <w:rFonts w:ascii="Arial" w:hAnsi="Arial"/>
          <w:color w:val="262626"/>
          <w:sz w:val="20"/>
        </w:rPr>
        <w:t xml:space="preserve">foreign currency forward contracts to </w:t>
      </w:r>
      <w:r>
        <w:rPr>
          <w:rFonts w:ascii="Arial" w:hAnsi="Arial"/>
          <w:color w:val="000000"/>
          <w:sz w:val="20"/>
        </w:rPr>
        <w:t>reduce the impact of currency exchange rate movements on its monetary assets and liabilities.</w:t>
      </w:r>
      <w:r>
        <w:rPr>
          <w:rFonts w:ascii="Times New Roman" w:hAnsi="Times New Roman"/>
          <w:color w:val="262626"/>
          <w:sz w:val="20"/>
        </w:rPr>
        <w:t xml:space="preserve"> </w:t>
      </w:r>
      <w:r>
        <w:rPr>
          <w:rFonts w:ascii="Arial" w:hAnsi="Arial"/>
          <w:color w:val="000000"/>
          <w:sz w:val="20"/>
        </w:rPr>
        <w:t>These foreign exchange contracts are carried at fair value with changes in fair value of these contracts recognized to other income (expense), net in the Company’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does not use derivative financial instruments for speculative or trading purposes.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Fair Value Measurement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applies fair value accounting for its 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tbl>
      <w:tblPr>
        <w:tblW w:w="10205" w:type="dxa"/>
        <w:jc w:val="left"/>
        <w:tblInd w:w="0" w:type="dxa"/>
        <w:tblLayout w:type="fixed"/>
        <w:tblCellMar>
          <w:top w:w="28" w:type="dxa"/>
          <w:left w:w="28" w:type="dxa"/>
          <w:bottom w:w="28" w:type="dxa"/>
          <w:right w:w="28" w:type="dxa"/>
        </w:tblCellMar>
      </w:tblPr>
      <w:tblGrid>
        <w:gridCol w:w="161"/>
        <w:gridCol w:w="681"/>
        <w:gridCol w:w="9363"/>
      </w:tblGrid>
      <w:tr>
        <w:trPr/>
        <w:tc>
          <w:tcPr>
            <w:tcW w:w="16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36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80" w:after="283"/>
              <w:jc w:val="left"/>
              <w:rPr/>
            </w:pPr>
            <w:r>
              <w:rPr/>
              <w:t> </w:t>
            </w:r>
          </w:p>
        </w:tc>
        <w:tc>
          <w:tcPr>
            <w:tcW w:w="68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sz w:val="20"/>
              </w:rPr>
            </w:pPr>
            <w:r>
              <w:rPr>
                <w:rFonts w:ascii="Arial" w:hAnsi="Arial"/>
                <w:i/>
                <w:color w:val="000000"/>
                <w:sz w:val="20"/>
              </w:rPr>
              <w:t>Level 1</w:t>
            </w:r>
            <w:r>
              <w:rPr>
                <w:rFonts w:ascii="Times New Roman" w:hAnsi="Times New Roman"/>
                <w:color w:val="000000"/>
                <w:sz w:val="20"/>
              </w:rPr>
              <w:t>—</w:t>
            </w:r>
          </w:p>
        </w:tc>
        <w:tc>
          <w:tcPr>
            <w:tcW w:w="9363" w:type="dxa"/>
            <w:tcBorders/>
            <w:tcMar>
              <w:top w:w="0" w:type="dxa"/>
              <w:left w:w="0" w:type="dxa"/>
              <w:bottom w:w="0" w:type="dxa"/>
              <w:right w:w="0" w:type="dxa"/>
            </w:tcMar>
            <w:vAlign w:val="center"/>
          </w:tcPr>
          <w:p>
            <w:pPr>
              <w:pStyle w:val="TableContents"/>
              <w:bidi w:val="0"/>
              <w:spacing w:before="180" w:after="283"/>
              <w:jc w:val="both"/>
              <w:rPr>
                <w:rFonts w:ascii="Times New Roman" w:hAnsi="Times New Roman"/>
                <w:sz w:val="20"/>
              </w:rPr>
            </w:pPr>
            <w:r>
              <w:rPr>
                <w:rFonts w:ascii="Arial" w:hAnsi="Arial"/>
                <w:color w:val="000000"/>
                <w:sz w:val="20"/>
              </w:rPr>
              <w:t>Quoted prices in active markets for identical assets or liabilities.</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80" w:after="283"/>
              <w:jc w:val="left"/>
              <w:rPr/>
            </w:pPr>
            <w:r>
              <w:rPr/>
              <w:t> </w:t>
            </w:r>
          </w:p>
        </w:tc>
        <w:tc>
          <w:tcPr>
            <w:tcW w:w="68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sz w:val="20"/>
              </w:rPr>
            </w:pPr>
            <w:r>
              <w:rPr>
                <w:rFonts w:ascii="Arial" w:hAnsi="Arial"/>
                <w:i/>
                <w:color w:val="000000"/>
                <w:sz w:val="20"/>
              </w:rPr>
              <w:t>Level 2</w:t>
            </w:r>
            <w:r>
              <w:rPr>
                <w:rFonts w:ascii="Times New Roman" w:hAnsi="Times New Roman"/>
                <w:color w:val="000000"/>
                <w:sz w:val="20"/>
              </w:rPr>
              <w:t>—</w:t>
            </w:r>
          </w:p>
        </w:tc>
        <w:tc>
          <w:tcPr>
            <w:tcW w:w="9363"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sz w:val="20"/>
              </w:rPr>
            </w:pPr>
            <w:r>
              <w:rPr>
                <w:rFonts w:ascii="Arial" w:hAnsi="Arial"/>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80" w:after="283"/>
              <w:jc w:val="left"/>
              <w:rPr/>
            </w:pPr>
            <w:r>
              <w:rPr/>
              <w:t> </w:t>
            </w:r>
          </w:p>
        </w:tc>
        <w:tc>
          <w:tcPr>
            <w:tcW w:w="68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sz w:val="20"/>
              </w:rPr>
            </w:pPr>
            <w:r>
              <w:rPr>
                <w:rFonts w:ascii="Arial" w:hAnsi="Arial"/>
                <w:i/>
                <w:color w:val="000000"/>
                <w:sz w:val="20"/>
              </w:rPr>
              <w:t>Level 3</w:t>
            </w:r>
            <w:r>
              <w:rPr>
                <w:rFonts w:ascii="Times New Roman" w:hAnsi="Times New Roman"/>
                <w:color w:val="000000"/>
                <w:sz w:val="20"/>
              </w:rPr>
              <w:t>—</w:t>
            </w:r>
          </w:p>
        </w:tc>
        <w:tc>
          <w:tcPr>
            <w:tcW w:w="9363"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sz w:val="20"/>
              </w:rPr>
            </w:pPr>
            <w:r>
              <w:rPr>
                <w:rFonts w:ascii="Arial" w:hAnsi="Arial"/>
                <w:color w:val="000000"/>
                <w:sz w:val="20"/>
              </w:rPr>
              <w:t>Inputs that are generally unobservable and typically reflect management’s estimate of assumptions that market participants would use in pricing the asset or liability.</w:t>
            </w:r>
            <w:r>
              <w:rPr>
                <w:rFonts w:ascii="Times New Roman" w:hAnsi="Times New Roman"/>
                <w:color w:val="000000"/>
                <w:sz w:val="20"/>
              </w:rPr>
              <w:t xml:space="preserve"> </w:t>
            </w:r>
          </w:p>
        </w:tc>
      </w:tr>
    </w:tbl>
    <w:p>
      <w:pPr>
        <w:pStyle w:val="TextBody"/>
        <w:bidi w:val="0"/>
        <w:spacing w:before="180" w:after="283"/>
        <w:jc w:val="both"/>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It is the Company’s policy to include penalties and interest expense related to income taxes as a component of interest and other income, net as necessary.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Comprehensive Loss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Comprehensive loss is comprised of two components: net loss and other comprehensive loss. Other comprehensive loss consists of unrealized holding gains or losses related to derivative instruments, unrealized gains or losses on marketable securities, and foreign currency translation adjustments.</w:t>
      </w:r>
    </w:p>
    <w:p>
      <w:pPr>
        <w:pStyle w:val="TextBody"/>
        <w:bidi w:val="0"/>
        <w:spacing w:before="18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80" w:after="283"/>
        <w:jc w:val="both"/>
        <w:rPr>
          <w:rFonts w:ascii="Arial" w:hAnsi="Arial"/>
          <w:color w:val="000000"/>
          <w:sz w:val="20"/>
        </w:rPr>
      </w:pPr>
      <w:r>
        <w:rPr>
          <w:rFonts w:ascii="Arial" w:hAnsi="Arial"/>
          <w:color w:val="000000"/>
          <w:sz w:val="20"/>
        </w:rPr>
        <w:t>The Company has reviewed recent accounting pronouncements and concluded as follows:</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Accounting Standards Update ("ASU") No. 2023-07, Segment Reporting (Topic 280): Improvements to Reportable Segment Disclosures (ASU 2023-07), which requires additional segment-related disclosures on an annual and interim basis, to enable investors in developing more informed and actionable analyses.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We do not expect the adoption of this guidance to have a material impact on our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December 2023, the FASB issued ASU No. 2023-09, Income Taxes (Topic 740): Improvements to Income Tax Disclosures (ASU 2023-09),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This guidance will be effective for annual periods beginning after December 15, 2024. Early adoption is permitted. Upon adoption, the guidance can be applied prospectively or retrospectively. We are evaluating the impact this amended guidance may have on the footnotes to our consolidated statements.</w:t>
      </w:r>
    </w:p>
    <w:p>
      <w:pPr>
        <w:pStyle w:val="TextBody"/>
        <w:bidi w:val="0"/>
        <w:spacing w:before="180" w:after="283"/>
        <w:jc w:val="both"/>
        <w:rPr>
          <w:rFonts w:ascii="Arial" w:hAnsi="Arial"/>
          <w:b/>
          <w:caps/>
          <w:color w:val="000000"/>
          <w:sz w:val="20"/>
        </w:rPr>
      </w:pPr>
      <w:r>
        <w:rPr>
          <w:rFonts w:ascii="Arial" w:hAnsi="Arial"/>
          <w:b/>
          <w:caps/>
          <w:color w:val="000000"/>
          <w:sz w:val="20"/>
        </w:rPr>
        <w:t>3. FINANCIAL INSTRUMENTS AND FAIR VALUE MEASUREMENT</w:t>
      </w:r>
    </w:p>
    <w:p>
      <w:pPr>
        <w:pStyle w:val="TextBody"/>
        <w:bidi w:val="0"/>
        <w:spacing w:before="180" w:after="283"/>
        <w:jc w:val="both"/>
        <w:rPr>
          <w:rFonts w:ascii="Times New Roman" w:hAnsi="Times New Roman"/>
          <w:sz w:val="20"/>
        </w:rPr>
      </w:pPr>
      <w:r>
        <w:rPr>
          <w:rFonts w:ascii="Arial" w:hAnsi="Arial"/>
          <w:color w:val="000000"/>
          <w:sz w:val="20"/>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Assets and liabilities recognized at fair value on a recurring basis in the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Financial assets and liabilities subject to fair value measurements on a recurring basis and the level of inputs used in such measurements are as follows:</w:t>
      </w:r>
      <w:r>
        <w:rPr>
          <w:rFonts w:ascii="Times New Roman" w:hAnsi="Times New Roman"/>
          <w:color w:val="000000"/>
          <w:sz w:val="20"/>
        </w:rPr>
        <w:t xml:space="preserve"> </w:t>
      </w:r>
    </w:p>
    <w:p>
      <w:pPr>
        <w:pStyle w:val="TextBody"/>
        <w:bidi w:val="0"/>
        <w:jc w:val="both"/>
        <w:rPr/>
      </w:pPr>
      <w:r>
        <w:rPr/>
        <w:t> </w:t>
      </w:r>
    </w:p>
    <w:tbl>
      <w:tblPr>
        <w:tblW w:w="7716"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716"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contractual maturities of the Company’s marketable securities:</w:t>
      </w:r>
    </w:p>
    <w:p>
      <w:pPr>
        <w:pStyle w:val="TextBody"/>
        <w:bidi w:val="0"/>
        <w:jc w:val="both"/>
        <w:rPr/>
      </w:pPr>
      <w:r>
        <w:rPr/>
        <w:t> </w:t>
      </w:r>
    </w:p>
    <w:tbl>
      <w:tblPr>
        <w:tblW w:w="8481" w:type="dxa"/>
        <w:jc w:val="left"/>
        <w:tblInd w:w="0" w:type="dxa"/>
        <w:tblLayout w:type="fixed"/>
        <w:tblCellMar>
          <w:top w:w="28" w:type="dxa"/>
          <w:left w:w="28" w:type="dxa"/>
          <w:bottom w:w="28" w:type="dxa"/>
          <w:right w:w="28" w:type="dxa"/>
        </w:tblCellMar>
      </w:tblPr>
      <w:tblGrid>
        <w:gridCol w:w="2756"/>
        <w:gridCol w:w="146"/>
        <w:gridCol w:w="355"/>
        <w:gridCol w:w="711"/>
        <w:gridCol w:w="146"/>
        <w:gridCol w:w="146"/>
        <w:gridCol w:w="349"/>
        <w:gridCol w:w="701"/>
        <w:gridCol w:w="146"/>
        <w:gridCol w:w="146"/>
        <w:gridCol w:w="355"/>
        <w:gridCol w:w="711"/>
        <w:gridCol w:w="146"/>
        <w:gridCol w:w="146"/>
        <w:gridCol w:w="349"/>
        <w:gridCol w:w="701"/>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2023 and 2022 were immaterial.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aps/>
          <w:color w:val="000000"/>
          <w:sz w:val="20"/>
        </w:rPr>
        <w:t>4. BALANCE SHEET COMPONENTS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Accrued Liabilities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Accrued liabilities consist of the following:</w:t>
      </w:r>
    </w:p>
    <w:tbl>
      <w:tblPr>
        <w:tblW w:w="5879" w:type="dxa"/>
        <w:jc w:val="left"/>
        <w:tblInd w:w="0" w:type="dxa"/>
        <w:tblLayout w:type="fixed"/>
        <w:tblCellMar>
          <w:top w:w="28" w:type="dxa"/>
          <w:left w:w="28" w:type="dxa"/>
          <w:bottom w:w="28" w:type="dxa"/>
          <w:right w:w="28" w:type="dxa"/>
        </w:tblCellMar>
      </w:tblPr>
      <w:tblGrid>
        <w:gridCol w:w="3811"/>
        <w:gridCol w:w="146"/>
        <w:gridCol w:w="211"/>
        <w:gridCol w:w="316"/>
        <w:gridCol w:w="146"/>
        <w:gridCol w:w="146"/>
        <w:gridCol w:w="211"/>
        <w:gridCol w:w="421"/>
        <w:gridCol w:w="47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Logistics costs</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Deferred revenue and customer deposits</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Wish Cash liability</w:t>
            </w:r>
            <w:r>
              <w:rPr>
                <w:rFonts w:ascii="Arial" w:hAnsi="Arial"/>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Sales and indirect taxes</w:t>
            </w:r>
            <w:r>
              <w:rPr>
                <w:rFonts w:ascii="Arial" w:hAnsi="Arial"/>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Logistics costs decreased by $19</w:t>
      </w:r>
      <w:r>
        <w:rPr>
          <w:rFonts w:ascii="Arial" w:hAnsi="Arial"/>
          <w:color w:val="000000"/>
          <w:sz w:val="20"/>
        </w:rPr>
        <w:t xml:space="preserve"> </w:t>
      </w:r>
      <w:r>
        <w:rPr>
          <w:rFonts w:ascii="Arial" w:hAnsi="Arial"/>
          <w:color w:val="000000"/>
          <w:sz w:val="16"/>
        </w:rPr>
        <w:t>million or 43% primarily due to lower shipping volumes during 2023 compared to 2022.</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Deferred revenue and customer deposits decreased by $6</w:t>
      </w:r>
      <w:r>
        <w:rPr>
          <w:rFonts w:ascii="Arial" w:hAnsi="Arial"/>
          <w:color w:val="000000"/>
          <w:sz w:val="20"/>
        </w:rPr>
        <w:t xml:space="preserve"> </w:t>
      </w:r>
      <w:r>
        <w:rPr>
          <w:rFonts w:ascii="Arial" w:hAnsi="Arial"/>
          <w:color w:val="000000"/>
          <w:sz w:val="16"/>
        </w:rPr>
        <w:t>million or 33% primarily due to lower logistics volumes during 2023 compared to 2022.</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sz w:val="20"/>
        </w:rPr>
      </w:pPr>
      <w:r>
        <w:rPr>
          <w:rFonts w:ascii="Arial" w:hAnsi="Arial"/>
          <w:color w:val="000000"/>
          <w:sz w:val="16"/>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years ended December 31, 2023 and 2022 was $3</w:t>
      </w:r>
      <w:r>
        <w:rPr>
          <w:rFonts w:ascii="Arial" w:hAnsi="Arial"/>
          <w:color w:val="000000"/>
          <w:sz w:val="20"/>
        </w:rPr>
        <w:t xml:space="preserve"> </w:t>
      </w:r>
      <w:r>
        <w:rPr>
          <w:rFonts w:ascii="Arial" w:hAnsi="Arial"/>
          <w:color w:val="000000"/>
          <w:sz w:val="16"/>
        </w:rPr>
        <w:t>million and $4</w:t>
      </w:r>
      <w:r>
        <w:rPr>
          <w:rFonts w:ascii="Arial" w:hAnsi="Arial"/>
          <w:color w:val="000000"/>
          <w:sz w:val="20"/>
        </w:rPr>
        <w:t xml:space="preserve"> </w:t>
      </w:r>
      <w:r>
        <w:rPr>
          <w:rFonts w:ascii="Arial" w:hAnsi="Arial"/>
          <w:color w:val="000000"/>
          <w:sz w:val="16"/>
        </w:rPr>
        <w:t>million, respectively.</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sz w:val="20"/>
        </w:rPr>
      </w:pPr>
      <w:r>
        <w:rPr>
          <w:rFonts w:ascii="Arial" w:hAnsi="Arial"/>
          <w:color w:val="000000"/>
          <w:sz w:val="16"/>
        </w:rPr>
        <w:t>Sales and indirect taxes decreased by $3</w:t>
      </w:r>
      <w:r>
        <w:rPr>
          <w:rFonts w:ascii="Arial" w:hAnsi="Arial"/>
          <w:color w:val="000000"/>
          <w:sz w:val="20"/>
        </w:rPr>
        <w:t xml:space="preserve"> </w:t>
      </w:r>
      <w:r>
        <w:rPr>
          <w:rFonts w:ascii="Arial" w:hAnsi="Arial"/>
          <w:color w:val="000000"/>
          <w:sz w:val="16"/>
        </w:rPr>
        <w:t>million or 20% primarily due to less taxes in connection with lower order volumes during 2023 compared to 2022.</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aps/>
          <w:color w:val="000000"/>
          <w:sz w:val="20"/>
        </w:rPr>
      </w:pPr>
      <w:r>
        <w:rPr>
          <w:rFonts w:ascii="Arial" w:hAnsi="Arial"/>
          <w:b/>
          <w:caps/>
          <w:color w:val="000000"/>
          <w:sz w:val="20"/>
        </w:rPr>
        <w:t>5. Derivative Financial Instruments</w:t>
      </w:r>
    </w:p>
    <w:p>
      <w:pPr>
        <w:pStyle w:val="TextBody"/>
        <w:bidi w:val="0"/>
        <w:spacing w:before="180" w:after="283"/>
        <w:jc w:val="both"/>
        <w:rPr>
          <w:rFonts w:ascii="Arial" w:hAnsi="Arial"/>
          <w:i/>
          <w:color w:val="000000"/>
          <w:sz w:val="20"/>
        </w:rPr>
      </w:pPr>
      <w:r>
        <w:rPr>
          <w:rFonts w:ascii="Arial" w:hAnsi="Arial"/>
          <w:i/>
          <w:color w:val="000000"/>
          <w:sz w:val="20"/>
        </w:rPr>
        <w:t>Volume of Derivative Activity</w:t>
      </w:r>
    </w:p>
    <w:p>
      <w:pPr>
        <w:pStyle w:val="TextBody"/>
        <w:bidi w:val="0"/>
        <w:spacing w:before="180" w:after="283"/>
        <w:jc w:val="both"/>
        <w:rPr>
          <w:rFonts w:ascii="Times New Roman" w:hAnsi="Times New Roman"/>
          <w:sz w:val="20"/>
        </w:rPr>
      </w:pPr>
      <w:r>
        <w:rPr>
          <w:rFonts w:ascii="Arial" w:hAnsi="Arial"/>
          <w:color w:val="000000"/>
          <w:sz w:val="20"/>
        </w:rPr>
        <w:t>Total gross notional amounts for outstanding derivatives (recognized at fair value) as of the end of period consist of the following:</w:t>
      </w:r>
      <w:r>
        <w:rPr>
          <w:rFonts w:ascii="Times New Roman" w:hAnsi="Times New Roman"/>
          <w:color w:val="000000"/>
          <w:sz w:val="20"/>
        </w:rPr>
        <w:t xml:space="preserve"> </w:t>
      </w:r>
    </w:p>
    <w:p>
      <w:pPr>
        <w:pStyle w:val="TextBody"/>
        <w:bidi w:val="0"/>
        <w:jc w:val="both"/>
        <w:rPr/>
      </w:pPr>
      <w:r>
        <w:rPr/>
        <w:t> </w:t>
      </w:r>
    </w:p>
    <w:tbl>
      <w:tblPr>
        <w:tblW w:w="5800" w:type="dxa"/>
        <w:jc w:val="left"/>
        <w:tblInd w:w="0" w:type="dxa"/>
        <w:tblLayout w:type="fixed"/>
        <w:tblCellMar>
          <w:top w:w="28" w:type="dxa"/>
          <w:left w:w="28" w:type="dxa"/>
          <w:bottom w:w="28" w:type="dxa"/>
          <w:right w:w="28" w:type="dxa"/>
        </w:tblCellMar>
      </w:tblPr>
      <w:tblGrid>
        <w:gridCol w:w="2161"/>
        <w:gridCol w:w="146"/>
        <w:gridCol w:w="545"/>
        <w:gridCol w:w="820"/>
        <w:gridCol w:w="146"/>
        <w:gridCol w:w="146"/>
        <w:gridCol w:w="454"/>
        <w:gridCol w:w="911"/>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flow hedges</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47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Non-designated hedges</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Fair Value of Derivative Financial Instruments</w:t>
      </w:r>
    </w:p>
    <w:p>
      <w:pPr>
        <w:pStyle w:val="TextBody"/>
        <w:bidi w:val="0"/>
        <w:jc w:val="both"/>
        <w:rPr/>
      </w:pPr>
      <w:r>
        <w:rPr/>
        <w:t> </w:t>
      </w:r>
    </w:p>
    <w:tbl>
      <w:tblPr>
        <w:tblW w:w="10083" w:type="dxa"/>
        <w:jc w:val="left"/>
        <w:tblInd w:w="0" w:type="dxa"/>
        <w:tblLayout w:type="fixed"/>
        <w:tblCellMar>
          <w:top w:w="28" w:type="dxa"/>
          <w:left w:w="28" w:type="dxa"/>
          <w:bottom w:w="28" w:type="dxa"/>
          <w:right w:w="28" w:type="dxa"/>
        </w:tblCellMar>
      </w:tblPr>
      <w:tblGrid>
        <w:gridCol w:w="4411"/>
        <w:gridCol w:w="146"/>
        <w:gridCol w:w="335"/>
        <w:gridCol w:w="550"/>
        <w:gridCol w:w="148"/>
        <w:gridCol w:w="148"/>
        <w:gridCol w:w="448"/>
        <w:gridCol w:w="737"/>
        <w:gridCol w:w="146"/>
        <w:gridCol w:w="146"/>
        <w:gridCol w:w="443"/>
        <w:gridCol w:w="443"/>
        <w:gridCol w:w="163"/>
        <w:gridCol w:w="163"/>
        <w:gridCol w:w="448"/>
        <w:gridCol w:w="737"/>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December 31,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December 31, </w:t>
              <w:b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55"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flow hedges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not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derivatives</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6"/>
        </w:rPr>
        <w:t>(1) Derivative assets are included in prepaid and other current assets</w:t>
      </w:r>
      <w:r>
        <w:rPr>
          <w:rFonts w:ascii="Times New Roman" w:hAnsi="Times New Roman"/>
          <w:color w:val="000000"/>
          <w:sz w:val="20"/>
        </w:rPr>
        <w:t xml:space="preserve"> </w:t>
      </w:r>
      <w:r>
        <w:rPr>
          <w:rFonts w:ascii="Arial" w:hAnsi="Arial"/>
          <w:color w:val="000000"/>
          <w:sz w:val="16"/>
        </w:rPr>
        <w:t>in the consolidated balance sheet.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6"/>
        </w:rPr>
        <w:t>(2) Derivative liabilities are included in accrued liabilities</w:t>
      </w:r>
      <w:r>
        <w:rPr>
          <w:rFonts w:ascii="Times New Roman" w:hAnsi="Times New Roman"/>
          <w:color w:val="000000"/>
          <w:sz w:val="20"/>
        </w:rPr>
        <w:t xml:space="preserve"> </w:t>
      </w:r>
      <w:r>
        <w:rPr>
          <w:rFonts w:ascii="Arial" w:hAnsi="Arial"/>
          <w:color w:val="000000"/>
          <w:sz w:val="16"/>
        </w:rPr>
        <w:t>in the consolidated balance sheet.</w:t>
      </w:r>
    </w:p>
    <w:p>
      <w:pPr>
        <w:pStyle w:val="TextBody"/>
        <w:bidi w:val="0"/>
        <w:spacing w:before="180" w:after="283"/>
        <w:jc w:val="both"/>
        <w:rPr>
          <w:rFonts w:ascii="Arial" w:hAnsi="Arial"/>
          <w:i/>
          <w:color w:val="000000"/>
          <w:sz w:val="20"/>
        </w:rPr>
      </w:pPr>
      <w:r>
        <w:rPr>
          <w:rFonts w:ascii="Arial" w:hAnsi="Arial"/>
          <w:i/>
          <w:color w:val="000000"/>
          <w:sz w:val="20"/>
        </w:rPr>
        <w:t>Derivatives in Cash Flow Hedging Relationships</w:t>
      </w:r>
    </w:p>
    <w:p>
      <w:pPr>
        <w:pStyle w:val="TextBody"/>
        <w:bidi w:val="0"/>
        <w:spacing w:before="180" w:after="283"/>
        <w:jc w:val="both"/>
        <w:rPr>
          <w:rFonts w:ascii="Arial" w:hAnsi="Arial"/>
          <w:color w:val="262626"/>
          <w:sz w:val="20"/>
        </w:rPr>
      </w:pPr>
      <w:r>
        <w:rPr>
          <w:rFonts w:ascii="Arial" w:hAnsi="Arial"/>
          <w:color w:val="262626"/>
          <w:sz w:val="20"/>
        </w:rPr>
        <w:t>The changes in accumulated other comprehensive income resulting from cash flow hedging were as follows:</w:t>
      </w:r>
    </w:p>
    <w:tbl>
      <w:tblPr>
        <w:tblW w:w="10205" w:type="dxa"/>
        <w:jc w:val="left"/>
        <w:tblInd w:w="0" w:type="dxa"/>
        <w:tblLayout w:type="fixed"/>
        <w:tblCellMar>
          <w:top w:w="28" w:type="dxa"/>
          <w:left w:w="28" w:type="dxa"/>
          <w:bottom w:w="28" w:type="dxa"/>
          <w:right w:w="28" w:type="dxa"/>
        </w:tblCellMar>
      </w:tblPr>
      <w:tblGrid>
        <w:gridCol w:w="6802"/>
        <w:gridCol w:w="146"/>
        <w:gridCol w:w="536"/>
        <w:gridCol w:w="690"/>
        <w:gridCol w:w="166"/>
        <w:gridCol w:w="146"/>
        <w:gridCol w:w="536"/>
        <w:gridCol w:w="690"/>
        <w:gridCol w:w="493"/>
      </w:tblGrid>
      <w:tr>
        <w:trPr/>
        <w:tc>
          <w:tcPr>
            <w:tcW w:w="6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8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93" w:type="dxa"/>
            <w:tcBorders/>
            <w:shd w:fill="FFFFFF" w:val="clear"/>
            <w:vAlign w:val="center"/>
          </w:tcPr>
          <w:p>
            <w:pPr>
              <w:pStyle w:val="TableContents"/>
              <w:bidi w:val="0"/>
              <w:spacing w:before="0" w:after="283"/>
              <w:jc w:val="center"/>
              <w:rPr/>
            </w:pPr>
            <w:r>
              <w:rPr/>
              <w:t> </w:t>
            </w:r>
          </w:p>
        </w:tc>
      </w:tr>
      <w:tr>
        <w:trPr/>
        <w:tc>
          <w:tcPr>
            <w:tcW w:w="68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3" w:type="dxa"/>
            <w:tcBorders/>
            <w:shd w:fill="FFFFFF" w:val="clear"/>
            <w:vAlign w:val="center"/>
          </w:tcPr>
          <w:p>
            <w:pPr>
              <w:pStyle w:val="TableContents"/>
              <w:bidi w:val="0"/>
              <w:spacing w:before="0" w:after="283"/>
              <w:jc w:val="center"/>
              <w:rPr/>
            </w:pPr>
            <w:r>
              <w:rPr/>
              <w:t> </w:t>
            </w:r>
          </w:p>
        </w:tc>
      </w:tr>
      <w:tr>
        <w:trPr/>
        <w:tc>
          <w:tcPr>
            <w:tcW w:w="68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3" w:type="dxa"/>
            <w:tcBorders/>
            <w:shd w:fill="CFF0FC" w:val="clear"/>
            <w:vAlign w:val="center"/>
          </w:tcPr>
          <w:p>
            <w:pPr>
              <w:pStyle w:val="TableContents"/>
              <w:bidi w:val="0"/>
              <w:spacing w:before="0" w:after="283"/>
              <w:ind w:left="0" w:right="0" w:firstLine="280"/>
              <w:jc w:val="left"/>
              <w:rPr/>
            </w:pPr>
            <w:r>
              <w:rPr/>
              <w:t> </w:t>
            </w:r>
          </w:p>
        </w:tc>
      </w:tr>
      <w:tr>
        <w:trPr/>
        <w:tc>
          <w:tcPr>
            <w:tcW w:w="680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comprehensive loss before reclassifications</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0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recognized in core marketplace revenue and reclassified out of 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Derivatives Not Designated as Hedging Instruments</w:t>
      </w:r>
    </w:p>
    <w:p>
      <w:pPr>
        <w:pStyle w:val="TextBody"/>
        <w:bidi w:val="0"/>
        <w:spacing w:before="180" w:after="283"/>
        <w:jc w:val="both"/>
        <w:rPr>
          <w:rFonts w:ascii="Times New Roman" w:hAnsi="Times New Roman"/>
          <w:sz w:val="20"/>
        </w:rPr>
      </w:pPr>
      <w:r>
        <w:rPr>
          <w:rFonts w:ascii="Arial" w:hAnsi="Arial"/>
          <w:color w:val="000000"/>
          <w:sz w:val="20"/>
        </w:rPr>
        <w:t>The changes in fair value of the Company’s foreign exchange forward contracts not designated as hedging instruments were approximately a $3</w:t>
      </w:r>
      <w:r>
        <w:rPr>
          <w:rFonts w:ascii="Times New Roman" w:hAnsi="Times New Roman"/>
          <w:color w:val="000000"/>
          <w:sz w:val="20"/>
        </w:rPr>
        <w:t xml:space="preserve"> </w:t>
      </w:r>
      <w:r>
        <w:rPr>
          <w:rFonts w:ascii="Arial" w:hAnsi="Arial"/>
          <w:color w:val="000000"/>
          <w:sz w:val="20"/>
        </w:rPr>
        <w:t>million net loss and a $7</w:t>
      </w:r>
      <w:r>
        <w:rPr>
          <w:rFonts w:ascii="Times New Roman" w:hAnsi="Times New Roman"/>
          <w:color w:val="000000"/>
          <w:sz w:val="20"/>
        </w:rPr>
        <w:t xml:space="preserve"> </w:t>
      </w:r>
      <w:r>
        <w:rPr>
          <w:rFonts w:ascii="Arial" w:hAnsi="Arial"/>
          <w:color w:val="000000"/>
          <w:sz w:val="20"/>
        </w:rPr>
        <w:t>million net loss for the years ended December 31, 2023 and 2022, respectively, and were recognized in other income (expense), net in the consolidated statements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aps/>
          <w:color w:val="000000"/>
          <w:sz w:val="20"/>
        </w:rPr>
        <w:t>6. OPERATING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Company leases its facilities and data center colocations under operating leases with various expiration dates through 2027.</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the Company’s lease costs were as follows:</w:t>
      </w:r>
    </w:p>
    <w:p>
      <w:pPr>
        <w:pStyle w:val="TextBody"/>
        <w:bidi w:val="0"/>
        <w:jc w:val="both"/>
        <w:rPr/>
      </w:pPr>
      <w:r>
        <w:rPr/>
        <w:t> </w:t>
      </w:r>
    </w:p>
    <w:tbl>
      <w:tblPr>
        <w:tblW w:w="4143" w:type="dxa"/>
        <w:jc w:val="left"/>
        <w:tblInd w:w="0" w:type="dxa"/>
        <w:tblLayout w:type="fixed"/>
        <w:tblCellMar>
          <w:top w:w="28" w:type="dxa"/>
          <w:left w:w="28" w:type="dxa"/>
          <w:bottom w:w="28" w:type="dxa"/>
          <w:right w:w="28" w:type="dxa"/>
        </w:tblCellMar>
      </w:tblPr>
      <w:tblGrid>
        <w:gridCol w:w="2101"/>
        <w:gridCol w:w="146"/>
        <w:gridCol w:w="263"/>
        <w:gridCol w:w="263"/>
        <w:gridCol w:w="160"/>
        <w:gridCol w:w="160"/>
        <w:gridCol w:w="232"/>
        <w:gridCol w:w="347"/>
        <w:gridCol w:w="4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b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costs</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costs</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As of December 31, 2023 and 2022, the Company’s consolidated balance sheet included ROU assets in the amount of $5</w:t>
      </w:r>
      <w:r>
        <w:rPr>
          <w:rFonts w:ascii="Times New Roman" w:hAnsi="Times New Roman"/>
          <w:color w:val="000000"/>
          <w:sz w:val="20"/>
        </w:rPr>
        <w:t xml:space="preserve"> </w:t>
      </w:r>
      <w:r>
        <w:rPr>
          <w:rFonts w:ascii="Arial" w:hAnsi="Arial"/>
          <w:color w:val="000000"/>
          <w:sz w:val="20"/>
        </w:rPr>
        <w:t>million and $9</w:t>
      </w:r>
      <w:r>
        <w:rPr>
          <w:rFonts w:ascii="Times New Roman" w:hAnsi="Times New Roman"/>
          <w:color w:val="000000"/>
          <w:sz w:val="20"/>
        </w:rPr>
        <w:t xml:space="preserve"> </w:t>
      </w:r>
      <w:r>
        <w:rPr>
          <w:rFonts w:ascii="Arial" w:hAnsi="Arial"/>
          <w:color w:val="000000"/>
          <w:sz w:val="20"/>
        </w:rPr>
        <w:t>million, respectively, and lease liabilities in the amount of $7</w:t>
      </w:r>
      <w:r>
        <w:rPr>
          <w:rFonts w:ascii="Times New Roman" w:hAnsi="Times New Roman"/>
          <w:color w:val="000000"/>
          <w:sz w:val="20"/>
        </w:rPr>
        <w:t xml:space="preserve"> </w:t>
      </w:r>
      <w:r>
        <w:rPr>
          <w:rFonts w:ascii="Arial" w:hAnsi="Arial"/>
          <w:color w:val="000000"/>
          <w:sz w:val="20"/>
        </w:rPr>
        <w:t>million and $7</w:t>
      </w:r>
      <w:r>
        <w:rPr>
          <w:rFonts w:ascii="Times New Roman" w:hAnsi="Times New Roman"/>
          <w:color w:val="000000"/>
          <w:sz w:val="20"/>
        </w:rPr>
        <w:t xml:space="preserve"> </w:t>
      </w:r>
      <w:r>
        <w:rPr>
          <w:rFonts w:ascii="Arial" w:hAnsi="Arial"/>
          <w:color w:val="000000"/>
          <w:sz w:val="20"/>
        </w:rPr>
        <w:t>million in accrued liabilities, respectively, and $6</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in lease liabilities, non-current,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February 2022, the Company’s Board of Directors ("the Board") approved a restructuring plan, which included exiting various office leases. As a result, the Company ceased using certain office spaces. As the carrying value of the related right-of-use assets and leasehold improvements exceeded the estimated fair value, the Company recognized an immaterial impairment loss related to the impairment of operating ROU assets for the year ended December 31, 2023. See Note 12. Reductions in Workforce for more information about the Company’s restructuring plan.</w:t>
      </w:r>
    </w:p>
    <w:p>
      <w:pPr>
        <w:pStyle w:val="TextBody"/>
        <w:bidi w:val="0"/>
        <w:spacing w:before="180" w:after="283"/>
        <w:jc w:val="both"/>
        <w:rPr>
          <w:rFonts w:ascii="Times New Roman" w:hAnsi="Times New Roman"/>
          <w:sz w:val="20"/>
        </w:rPr>
      </w:pPr>
      <w:r>
        <w:rPr>
          <w:rFonts w:ascii="Arial" w:hAnsi="Arial"/>
          <w:color w:val="000000"/>
          <w:sz w:val="20"/>
        </w:rPr>
        <w:t>As of December 31, 2023 and 2022, the weighted-average remaining lease term was 2</w:t>
      </w:r>
      <w:r>
        <w:rPr>
          <w:rFonts w:ascii="Times New Roman" w:hAnsi="Times New Roman"/>
          <w:color w:val="000000"/>
          <w:sz w:val="20"/>
        </w:rPr>
        <w:t xml:space="preserve"> </w:t>
      </w:r>
      <w:r>
        <w:rPr>
          <w:rFonts w:ascii="Arial" w:hAnsi="Arial"/>
          <w:color w:val="000000"/>
          <w:sz w:val="20"/>
        </w:rPr>
        <w:t>and 3</w:t>
      </w:r>
      <w:r>
        <w:rPr>
          <w:rFonts w:ascii="Times New Roman" w:hAnsi="Times New Roman"/>
          <w:color w:val="000000"/>
          <w:sz w:val="20"/>
        </w:rPr>
        <w:t xml:space="preserve"> </w:t>
      </w:r>
      <w:r>
        <w:rPr>
          <w:rFonts w:ascii="Arial" w:hAnsi="Arial"/>
          <w:color w:val="000000"/>
          <w:sz w:val="20"/>
        </w:rPr>
        <w:t>years and the weighted-average discount rate used to determine the net present value of the lease liabilities was 6% for both periods.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Supplemental cash flow information for the Company’s operating leases were as follows:</w:t>
      </w:r>
    </w:p>
    <w:tbl>
      <w:tblPr>
        <w:tblW w:w="8323" w:type="dxa"/>
        <w:jc w:val="left"/>
        <w:tblInd w:w="0" w:type="dxa"/>
        <w:tblLayout w:type="fixed"/>
        <w:tblCellMar>
          <w:top w:w="28" w:type="dxa"/>
          <w:left w:w="28" w:type="dxa"/>
          <w:bottom w:w="28" w:type="dxa"/>
          <w:right w:w="28" w:type="dxa"/>
        </w:tblCellMar>
      </w:tblPr>
      <w:tblGrid>
        <w:gridCol w:w="6271"/>
        <w:gridCol w:w="146"/>
        <w:gridCol w:w="226"/>
        <w:gridCol w:w="371"/>
        <w:gridCol w:w="156"/>
        <w:gridCol w:w="156"/>
        <w:gridCol w:w="263"/>
        <w:gridCol w:w="263"/>
        <w:gridCol w:w="47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b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6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597" w:type="dxa"/>
            <w:gridSpan w:val="2"/>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shd w:fill="FFFFFF" w:val="cle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new lease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1" w:type="dxa"/>
            <w:tcBorders/>
            <w:shd w:fill="CFF0FC" w:val="clear"/>
            <w:vAlign w:val="center"/>
          </w:tcPr>
          <w:p>
            <w:pPr>
              <w:pStyle w:val="TableContents"/>
              <w:bidi w:val="0"/>
              <w:spacing w:before="0" w:after="283"/>
              <w:jc w:val="right"/>
              <w:rPr>
                <w:color w:val="000000"/>
              </w:rPr>
            </w:pPr>
            <w:r>
              <w:rPr>
                <w:color w:val="000000"/>
              </w:rPr>
              <w:t>—</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71"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maturities of the Company’s operating lease liabilities are as follows:</w:t>
      </w:r>
    </w:p>
    <w:tbl>
      <w:tblPr>
        <w:tblW w:w="5723" w:type="dxa"/>
        <w:jc w:val="left"/>
        <w:tblInd w:w="0" w:type="dxa"/>
        <w:tblLayout w:type="fixed"/>
        <w:tblCellMar>
          <w:top w:w="28" w:type="dxa"/>
          <w:left w:w="28" w:type="dxa"/>
          <w:bottom w:w="28" w:type="dxa"/>
          <w:right w:w="28" w:type="dxa"/>
        </w:tblCellMar>
      </w:tblPr>
      <w:tblGrid>
        <w:gridCol w:w="3441"/>
        <w:gridCol w:w="146"/>
        <w:gridCol w:w="545"/>
        <w:gridCol w:w="820"/>
        <w:gridCol w:w="771"/>
      </w:tblGrid>
      <w:tr>
        <w:trP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1" w:type="dxa"/>
            <w:tcBorders/>
            <w:shd w:fill="FFFFFF" w:val="clear"/>
            <w:vAlign w:val="center"/>
          </w:tcPr>
          <w:p>
            <w:pPr>
              <w:pStyle w:val="TableContents"/>
              <w:bidi w:val="0"/>
              <w:spacing w:before="0" w:after="283"/>
              <w:jc w:val="center"/>
              <w:rPr/>
            </w:pPr>
            <w:r>
              <w:rPr/>
              <w:t> </w:t>
            </w:r>
          </w:p>
        </w:tc>
      </w:tr>
      <w:tr>
        <w:trPr/>
        <w:tc>
          <w:tcPr>
            <w:tcW w:w="3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FFFFFF" w:val="cle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Year ending December 31,</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71" w:type="dxa"/>
            <w:tcBorders/>
            <w:shd w:fill="FFFFFF" w:val="clear"/>
            <w:vAlign w:val="center"/>
          </w:tcPr>
          <w:p>
            <w:pPr>
              <w:pStyle w:val="TableContents"/>
              <w:bidi w:val="0"/>
              <w:spacing w:before="0" w:after="283"/>
              <w:ind w:left="0" w:right="0" w:firstLine="280"/>
              <w:jc w:val="center"/>
              <w:rPr/>
            </w:pPr>
            <w:r>
              <w:rPr/>
              <w:t> </w:t>
            </w:r>
          </w:p>
        </w:tc>
      </w:tr>
      <w:tr>
        <w:trPr/>
        <w:tc>
          <w:tcPr>
            <w:tcW w:w="34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3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34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3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3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44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aps/>
          <w:color w:val="000000"/>
          <w:sz w:val="20"/>
        </w:rPr>
        <w:t>7. COMMITMENTS AND CONTINGENCIES</w:t>
      </w:r>
      <w:r>
        <w:rPr>
          <w:rFonts w:ascii="Times New Roman" w:hAnsi="Times New Roman"/>
          <w:color w:val="000000"/>
          <w:sz w:val="20"/>
        </w:rPr>
        <w:t xml:space="preserve"> </w:t>
      </w:r>
    </w:p>
    <w:p>
      <w:pPr>
        <w:pStyle w:val="TextBody"/>
        <w:bidi w:val="0"/>
        <w:spacing w:before="180" w:after="283"/>
        <w:jc w:val="left"/>
        <w:rPr>
          <w:rFonts w:ascii="Arial" w:hAnsi="Arial"/>
          <w:b/>
          <w:i/>
          <w:color w:val="000000"/>
          <w:sz w:val="20"/>
        </w:rPr>
      </w:pPr>
      <w:r>
        <w:rPr>
          <w:rFonts w:ascii="Arial" w:hAnsi="Arial"/>
          <w:b/>
          <w:i/>
          <w:color w:val="000000"/>
          <w:sz w:val="20"/>
        </w:rPr>
        <w:t>Revolving Credit Facility</w:t>
      </w:r>
    </w:p>
    <w:p>
      <w:pPr>
        <w:pStyle w:val="TextBody"/>
        <w:bidi w:val="0"/>
        <w:spacing w:before="180" w:after="283"/>
        <w:jc w:val="both"/>
        <w:rPr>
          <w:rFonts w:ascii="Times New Roman" w:hAnsi="Times New Roman"/>
          <w:sz w:val="20"/>
        </w:rPr>
      </w:pPr>
      <w:r>
        <w:rPr>
          <w:rFonts w:ascii="Arial" w:hAnsi="Arial"/>
          <w:color w:val="000000"/>
          <w:sz w:val="20"/>
        </w:rPr>
        <w:t>In November 2020, the Company entered into a five-year</w:t>
      </w:r>
      <w:r>
        <w:rPr>
          <w:rFonts w:ascii="Times New Roman" w:hAnsi="Times New Roman"/>
          <w:color w:val="000000"/>
          <w:sz w:val="20"/>
        </w:rPr>
        <w:t xml:space="preserve"> </w:t>
      </w:r>
      <w:r>
        <w:rPr>
          <w:rFonts w:ascii="Arial" w:hAnsi="Arial"/>
          <w:color w:val="000000"/>
          <w:sz w:val="20"/>
        </w:rPr>
        <w:t>$280</w:t>
      </w:r>
      <w:r>
        <w:rPr>
          <w:rFonts w:ascii="Times New Roman" w:hAnsi="Times New Roman"/>
          <w:color w:val="000000"/>
          <w:sz w:val="20"/>
        </w:rPr>
        <w:t xml:space="preserve"> </w:t>
      </w:r>
      <w:r>
        <w:rPr>
          <w:rFonts w:ascii="Arial" w:hAnsi="Arial"/>
          <w:color w:val="000000"/>
          <w:sz w:val="20"/>
        </w:rPr>
        <w:t>million senior secured revolving credit facility (the “Revolving Credit Facility”). If the Company is able to secure additional lender commitments and satisfy certain other conditions, the aggregate facility commitments can be increased by up to $100</w:t>
      </w:r>
      <w:r>
        <w:rPr>
          <w:rFonts w:ascii="Times New Roman" w:hAnsi="Times New Roman"/>
          <w:color w:val="000000"/>
          <w:sz w:val="20"/>
        </w:rPr>
        <w:t xml:space="preserve"> </w:t>
      </w:r>
      <w:r>
        <w:rPr>
          <w:rFonts w:ascii="Arial" w:hAnsi="Arial"/>
          <w:color w:val="000000"/>
          <w:sz w:val="20"/>
        </w:rPr>
        <w:t>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pStyle w:val="TextBody"/>
        <w:bidi w:val="0"/>
        <w:spacing w:before="180" w:after="283"/>
        <w:jc w:val="both"/>
        <w:rPr>
          <w:rFonts w:ascii="Times New Roman" w:hAnsi="Times New Roman"/>
          <w:sz w:val="20"/>
        </w:rPr>
      </w:pPr>
      <w:r>
        <w:rPr>
          <w:rFonts w:ascii="Arial" w:hAnsi="Arial"/>
          <w:color w:val="000000"/>
          <w:sz w:val="20"/>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w:t>
      </w:r>
      <w:r>
        <w:rPr>
          <w:rFonts w:ascii="Times New Roman" w:hAnsi="Times New Roman"/>
          <w:color w:val="000000"/>
          <w:sz w:val="20"/>
        </w:rPr>
        <w:t xml:space="preserve"> </w:t>
      </w:r>
      <w:r>
        <w:rPr>
          <w:rFonts w:ascii="Arial" w:hAnsi="Arial"/>
          <w:color w:val="000000"/>
          <w:sz w:val="20"/>
        </w:rPr>
        <w:t>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w:t>
      </w:r>
      <w:r>
        <w:rPr>
          <w:rFonts w:ascii="Times New Roman" w:hAnsi="Times New Roman"/>
          <w:color w:val="000000"/>
          <w:sz w:val="20"/>
        </w:rPr>
        <w:t xml:space="preserve"> </w:t>
      </w:r>
      <w:r>
        <w:rPr>
          <w:rFonts w:ascii="Arial" w:hAnsi="Arial"/>
          <w:color w:val="000000"/>
          <w:sz w:val="20"/>
        </w:rPr>
        <w:t>million has been issued under the Revolving Credit Facility in conjunction with the lease of the Company’s headquarters in San Francisco, California. As of December 31, 2023, the Company had not made any borrowings under the Revolving Credit Facility and it was in compliance with the related financial covenants. Fees incurred under the Revolving Credit Facility were insignificant for the years ended December 31, 2023 and 2022.</w:t>
      </w:r>
    </w:p>
    <w:p>
      <w:pPr>
        <w:pStyle w:val="TextBody"/>
        <w:bidi w:val="0"/>
        <w:spacing w:before="180" w:after="283"/>
        <w:jc w:val="left"/>
        <w:rPr>
          <w:rFonts w:ascii="Arial" w:hAnsi="Arial"/>
          <w:b/>
          <w:i/>
          <w:color w:val="000000"/>
          <w:sz w:val="20"/>
        </w:rPr>
      </w:pPr>
      <w:r>
        <w:rPr>
          <w:rFonts w:ascii="Arial" w:hAnsi="Arial"/>
          <w:b/>
          <w:i/>
          <w:color w:val="000000"/>
          <w:sz w:val="20"/>
        </w:rPr>
        <w:t>Purchase Obligations</w:t>
      </w:r>
    </w:p>
    <w:p>
      <w:pPr>
        <w:pStyle w:val="TextBody"/>
        <w:bidi w:val="0"/>
        <w:spacing w:before="180" w:after="283"/>
        <w:jc w:val="both"/>
        <w:rPr>
          <w:rFonts w:ascii="Times New Roman" w:hAnsi="Times New Roman"/>
          <w:sz w:val="20"/>
        </w:rPr>
      </w:pPr>
      <w:r>
        <w:rPr>
          <w:rFonts w:ascii="Arial" w:hAnsi="Arial"/>
          <w:color w:val="000000"/>
          <w:sz w:val="20"/>
        </w:rPr>
        <w:t>Effective September 1, 2022, the Company entered into an amendment to a colocation and cloud services arrangement committing the Company to make payments of $85</w:t>
      </w:r>
      <w:r>
        <w:rPr>
          <w:rFonts w:ascii="Times New Roman" w:hAnsi="Times New Roman"/>
          <w:color w:val="000000"/>
          <w:sz w:val="20"/>
        </w:rPr>
        <w:t xml:space="preserve"> </w:t>
      </w:r>
      <w:r>
        <w:rPr>
          <w:rFonts w:ascii="Arial" w:hAnsi="Arial"/>
          <w:color w:val="000000"/>
          <w:sz w:val="20"/>
        </w:rPr>
        <w:t>million for services over 3</w:t>
      </w:r>
      <w:r>
        <w:rPr>
          <w:rFonts w:ascii="Times New Roman" w:hAnsi="Times New Roman"/>
          <w:color w:val="000000"/>
          <w:sz w:val="20"/>
        </w:rPr>
        <w:t xml:space="preserve"> </w:t>
      </w:r>
      <w:r>
        <w:rPr>
          <w:rFonts w:ascii="Arial" w:hAnsi="Arial"/>
          <w:color w:val="000000"/>
          <w:sz w:val="20"/>
        </w:rPr>
        <w:t>years. As of December 31, 2023, the remaining commitment under this amended agreement was approximately $45</w:t>
      </w:r>
      <w:r>
        <w:rPr>
          <w:rFonts w:ascii="Times New Roman" w:hAnsi="Times New Roman"/>
          <w:color w:val="000000"/>
          <w:sz w:val="20"/>
        </w:rPr>
        <w:t xml:space="preserve"> </w:t>
      </w:r>
      <w:r>
        <w:rPr>
          <w:rFonts w:ascii="Arial" w:hAnsi="Arial"/>
          <w:color w:val="000000"/>
          <w:sz w:val="20"/>
        </w:rPr>
        <w:t>million and is payable within the next 1 year and 8 months.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Legal Contingencies and Proceedings</w:t>
      </w:r>
    </w:p>
    <w:p>
      <w:pPr>
        <w:pStyle w:val="TextBody"/>
        <w:bidi w:val="0"/>
        <w:spacing w:before="180" w:after="283"/>
        <w:jc w:val="both"/>
        <w:rPr>
          <w:rFonts w:ascii="Times New Roman" w:hAnsi="Times New Roman"/>
          <w:sz w:val="20"/>
        </w:rPr>
      </w:pPr>
      <w:r>
        <w:rPr>
          <w:rFonts w:ascii="Arial" w:hAnsi="Arial"/>
          <w:color w:val="000000"/>
          <w:sz w:val="20"/>
        </w:rPr>
        <w:t>Beginning in May 2021, four</w:t>
      </w:r>
      <w:r>
        <w:rPr>
          <w:rFonts w:ascii="Times New Roman" w:hAnsi="Times New Roman"/>
          <w:color w:val="000000"/>
          <w:sz w:val="20"/>
        </w:rPr>
        <w:t xml:space="preserve"> </w:t>
      </w:r>
      <w:r>
        <w:rPr>
          <w:rFonts w:ascii="Arial" w:hAnsi="Arial"/>
          <w:color w:val="000000"/>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color w:val="000000"/>
          <w:sz w:val="20"/>
        </w:rPr>
        <w:t xml:space="preserve"> </w:t>
      </w:r>
      <w:r>
        <w:rPr>
          <w:rFonts w:ascii="Arial" w:hAnsi="Arial"/>
          <w:color w:val="000000"/>
          <w:sz w:val="20"/>
        </w:rPr>
        <w:t>of these cases has since been dismissed by the plaintiff and the remaining three</w:t>
      </w:r>
      <w:r>
        <w:rPr>
          <w:rFonts w:ascii="Times New Roman" w:hAnsi="Times New Roman"/>
          <w:color w:val="000000"/>
          <w:sz w:val="20"/>
        </w:rPr>
        <w:t xml:space="preserve"> </w:t>
      </w:r>
      <w:r>
        <w:rPr>
          <w:rFonts w:ascii="Arial" w:hAnsi="Arial"/>
          <w:color w:val="000000"/>
          <w:sz w:val="20"/>
        </w:rPr>
        <w:t>have been coordinated and consolidated. In May 2022, the Court appointed lead plaintiffs, who subsequently filed an amended consolidated class action complaint pursuant to Sections 11 and 15 of the Securities Act and Sections 10(b) and 20(a) of the Exchange Act. In April 2023, the plaintiffs filed an amended complaint and assert only claims made under Sections 11 and 15 of the Securities Act. In December 2023, the Court granted Defendants’ motion to dismiss with leave to amend. The Company believes these lawsuits are without merit and intends to vigorously defend them. Based on the preliminary nature of the proceedings in these cases, the Company cannot estimate a range of potential losses at this point in time.</w:t>
      </w:r>
    </w:p>
    <w:p>
      <w:pPr>
        <w:pStyle w:val="TextBody"/>
        <w:bidi w:val="0"/>
        <w:spacing w:before="180" w:after="283"/>
        <w:jc w:val="both"/>
        <w:rPr>
          <w:rFonts w:ascii="Arial" w:hAnsi="Arial"/>
          <w:color w:val="000000"/>
          <w:sz w:val="20"/>
        </w:rPr>
      </w:pPr>
      <w:r>
        <w:rPr>
          <w:rFonts w:ascii="Arial" w:hAnsi="Arial"/>
          <w:color w:val="000000"/>
          <w:sz w:val="20"/>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pStyle w:val="TextBody"/>
        <w:bidi w:val="0"/>
        <w:spacing w:before="180" w:after="283"/>
        <w:jc w:val="both"/>
        <w:rPr>
          <w:rFonts w:ascii="Times New Roman" w:hAnsi="Times New Roman"/>
          <w:sz w:val="20"/>
        </w:rPr>
      </w:pPr>
      <w:r>
        <w:rPr>
          <w:rFonts w:ascii="Arial" w:hAnsi="Arial"/>
          <w:color w:val="000000"/>
          <w:sz w:val="20"/>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On March 10, 2023, the DGCCRF determined that the Company is in compliance with the injunction and applicable regulatory requirements, and lifted the injunction. As a result, the Company has been relisted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and has returned to the application stores, such as Google Play and the Apple App Store, and search engines, such as Google, Bing and Qwant, in France. Although the underlying case reviewing the legal question of whether the agency has the power to delist any company remains pending, the Company no longer believes there is a reasonable possibility of a material loss.</w:t>
      </w:r>
    </w:p>
    <w:p>
      <w:pPr>
        <w:pStyle w:val="TextBody"/>
        <w:bidi w:val="0"/>
        <w:spacing w:before="180" w:after="283"/>
        <w:jc w:val="both"/>
        <w:rPr>
          <w:rFonts w:ascii="Arial" w:hAnsi="Arial"/>
          <w:color w:val="000000"/>
          <w:sz w:val="20"/>
        </w:rPr>
      </w:pPr>
      <w:r>
        <w:rPr>
          <w:rFonts w:ascii="Arial" w:hAnsi="Arial"/>
          <w:color w:val="000000"/>
          <w:sz w:val="20"/>
        </w:rPr>
        <w:t>As of December 31, 2023,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bidi w:val="0"/>
        <w:spacing w:before="180" w:after="283"/>
        <w:jc w:val="both"/>
        <w:rPr>
          <w:rFonts w:ascii="Times New Roman" w:hAnsi="Times New Roman"/>
          <w:sz w:val="20"/>
        </w:rPr>
      </w:pPr>
      <w:r>
        <w:rPr>
          <w:rFonts w:ascii="Arial" w:hAnsi="Arial"/>
          <w:b/>
          <w:caps/>
          <w:color w:val="000000"/>
          <w:sz w:val="20"/>
        </w:rPr>
        <w:t>8. COMMON STOCK and STOCK-based compensation</w:t>
      </w:r>
      <w:r>
        <w:rPr>
          <w:rFonts w:ascii="Times New Roman" w:hAnsi="Times New Roman"/>
          <w:caps/>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Common Stock and Elimination of Dual-Class Structure</w:t>
      </w:r>
    </w:p>
    <w:p>
      <w:pPr>
        <w:pStyle w:val="TextBody"/>
        <w:bidi w:val="0"/>
        <w:spacing w:before="180" w:after="283"/>
        <w:jc w:val="both"/>
        <w:rPr>
          <w:rFonts w:ascii="Times New Roman" w:hAnsi="Times New Roman"/>
          <w:sz w:val="20"/>
        </w:rPr>
      </w:pPr>
      <w:r>
        <w:rPr>
          <w:rFonts w:ascii="Arial" w:hAnsi="Arial"/>
          <w:color w:val="000000"/>
          <w:sz w:val="20"/>
        </w:rPr>
        <w:t>Prior to August 9, 2022, the Company had two classes of authorized common stock, Class A common stock and Class B common stock. Holders of Class A common stock are entitled to one</w:t>
      </w:r>
      <w:r>
        <w:rPr>
          <w:rFonts w:ascii="Times New Roman" w:hAnsi="Times New Roman"/>
          <w:color w:val="000000"/>
          <w:sz w:val="20"/>
        </w:rPr>
        <w:t xml:space="preserve"> </w:t>
      </w:r>
      <w:r>
        <w:rPr>
          <w:rFonts w:ascii="Arial" w:hAnsi="Arial"/>
          <w:color w:val="000000"/>
          <w:sz w:val="20"/>
        </w:rPr>
        <w:t>vote for each share of Class A common stock held on all matters submitted to a vote of stockholders. Holders of Class B common stock were entitled to 20</w:t>
      </w:r>
      <w:r>
        <w:rPr>
          <w:rFonts w:ascii="Times New Roman" w:hAnsi="Times New Roman"/>
          <w:color w:val="000000"/>
          <w:sz w:val="20"/>
        </w:rPr>
        <w:t xml:space="preserve"> </w:t>
      </w:r>
      <w:r>
        <w:rPr>
          <w:rFonts w:ascii="Arial" w:hAnsi="Arial"/>
          <w:color w:val="000000"/>
          <w:sz w:val="20"/>
        </w:rPr>
        <w:t>votes for each share of Class B common stock held on all matters submitted to a vote of stockholders. Except with respect to voting, the rights of the holders of Class A and Class B common stock were identical. Shares of Class B common stock were voluntarily convertible into shares of Class A common stock at the option of the holder and were automatically converted into shares of Class A common stock upon a sale or transfer, subject to certain exemptions.</w:t>
      </w:r>
    </w:p>
    <w:p>
      <w:pPr>
        <w:pStyle w:val="TextBody"/>
        <w:bidi w:val="0"/>
        <w:spacing w:before="180" w:after="283"/>
        <w:jc w:val="both"/>
        <w:rPr>
          <w:rFonts w:ascii="Arial" w:hAnsi="Arial"/>
          <w:color w:val="000000"/>
          <w:sz w:val="20"/>
        </w:rPr>
      </w:pPr>
      <w:r>
        <w:rPr>
          <w:rFonts w:ascii="Arial" w:hAnsi="Arial"/>
          <w:color w:val="000000"/>
          <w:sz w:val="20"/>
        </w:rPr>
        <w:t>On August 4, 2022, Piotr Szulczewski provided notice of his intention to resign as a member of the Company's Board, effective August 9, 2022. In tandem with his resignation notice, Mr. Szulczewski submitted a conversion notice to convert (the “Conversion”) all shares of Class B common stock of the Company he held into the same number of shares of Class A common stock of the Company, also effective August 9, 2022. In accordance with the Company’s Amended and Restated Certificate of Incorporation, as the remaining outstanding shares of Class B common stock represented less than five percent (5%) of the aggregate number of outstanding shares of Class A common stock and Class B common stock outstanding after the Conversion, all remaining shares of Class B common stock were automatically converted into Class A common stock immediately following the Conversion on a one-to-one basis and no further Class B common stock will be issued. The Company filed a certificate with the Secretary of State of the State of Delaware effecting the retirement and cancellation of the shares of Class B Common Stock.</w:t>
      </w:r>
    </w:p>
    <w:p>
      <w:pPr>
        <w:pStyle w:val="TextBody"/>
        <w:bidi w:val="0"/>
        <w:spacing w:before="180" w:after="283"/>
        <w:jc w:val="both"/>
        <w:rPr>
          <w:rFonts w:ascii="Arial" w:hAnsi="Arial"/>
          <w:color w:val="000000"/>
          <w:sz w:val="20"/>
        </w:rPr>
      </w:pPr>
      <w:r>
        <w:rPr>
          <w:rFonts w:ascii="Arial" w:hAnsi="Arial"/>
          <w:color w:val="000000"/>
          <w:sz w:val="20"/>
        </w:rPr>
        <w:t>Until the Class B conversion, Class B shares of common stock were issued in connection with the settlement or exercise of equity awards granted under the 2010 Equity Stock Plan (the “2010 Plan”) and Class A shares of common stock were issued in connection with the settlement or exercise of equity awards granted under the 2020 Equity Stock Plan (the “2020 Plan”) or shares purchased under the 2020 Employee Stock Purchase Plan (the “2020 ESPP”). Effective August 9, 2022, Class A shares of common stock are issued under all equity plans. Additionally, all shares issuable pursuant to outstanding awards under the Company’s 2010 Stock Plan will be issuable for Class A common stock.</w:t>
      </w:r>
    </w:p>
    <w:p>
      <w:pPr>
        <w:pStyle w:val="TextBody"/>
        <w:bidi w:val="0"/>
        <w:spacing w:before="180" w:after="283"/>
        <w:jc w:val="both"/>
        <w:rPr>
          <w:rFonts w:ascii="Times New Roman" w:hAnsi="Times New Roman"/>
          <w:sz w:val="20"/>
        </w:rPr>
      </w:pPr>
      <w:r>
        <w:rPr>
          <w:rFonts w:ascii="Arial" w:hAnsi="Arial"/>
          <w:b/>
          <w:i/>
          <w:color w:val="000000"/>
          <w:sz w:val="20"/>
        </w:rPr>
        <w:t>2010 Equity Incentive Plan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Under the 2010 Plan, the Company granted RSUs to employees, which generally expire 7</w:t>
      </w:r>
      <w:r>
        <w:rPr>
          <w:rFonts w:ascii="Times New Roman" w:hAnsi="Times New Roman"/>
          <w:color w:val="000000"/>
          <w:sz w:val="20"/>
        </w:rPr>
        <w:t xml:space="preserve"> </w:t>
      </w:r>
      <w:r>
        <w:rPr>
          <w:rFonts w:ascii="Arial" w:hAnsi="Arial"/>
          <w:color w:val="000000"/>
          <w:sz w:val="20"/>
        </w:rPr>
        <w:t>years from the date of grant and vest upon the achievement of both a service condition and a liquidity condition. The service condition for these awards is satisfied over four</w:t>
      </w:r>
      <w:r>
        <w:rPr>
          <w:rFonts w:ascii="Times New Roman" w:hAnsi="Times New Roman"/>
          <w:color w:val="000000"/>
          <w:sz w:val="20"/>
        </w:rPr>
        <w:t xml:space="preserve"> </w:t>
      </w:r>
      <w:r>
        <w:rPr>
          <w:rFonts w:ascii="Arial" w:hAnsi="Arial"/>
          <w:color w:val="000000"/>
          <w:sz w:val="20"/>
        </w:rPr>
        <w:t>or five years. The liquidity condition was satisfied upon the occurrence of the Company’s IPO in December 2020.</w:t>
      </w:r>
    </w:p>
    <w:p>
      <w:pPr>
        <w:pStyle w:val="TextBody"/>
        <w:bidi w:val="0"/>
        <w:spacing w:before="180" w:after="283"/>
        <w:jc w:val="both"/>
        <w:rPr>
          <w:rFonts w:ascii="Arial" w:hAnsi="Arial"/>
          <w:color w:val="000000"/>
          <w:sz w:val="20"/>
        </w:rPr>
      </w:pPr>
      <w:r>
        <w:rPr>
          <w:rFonts w:ascii="Arial" w:hAnsi="Arial"/>
          <w:color w:val="000000"/>
          <w:sz w:val="20"/>
        </w:rPr>
        <w:t>The 2010 Plan was terminated in December 2020 in connection with the Company’s IPO but continues to govern the terms of outstanding awards under the 2010 Plan. No further equity awards will be granted under the 2010 Plan. With the establishment of the 2020 Plan as further discussed below, upon the expiration, forfeiture or cancellation of any shares of Class A (Class B prior to the Conversion) common stock underlying outstanding stock-based awards granted under the 2010 Plan, an equal number of shares of Class A common stock will become available for grant under the 2020 Plan.</w:t>
      </w:r>
    </w:p>
    <w:p>
      <w:pPr>
        <w:pStyle w:val="TextBody"/>
        <w:bidi w:val="0"/>
        <w:spacing w:before="180" w:after="283"/>
        <w:jc w:val="both"/>
        <w:rPr>
          <w:rFonts w:ascii="Times New Roman" w:hAnsi="Times New Roman"/>
          <w:sz w:val="20"/>
        </w:rPr>
      </w:pPr>
      <w:r>
        <w:rPr>
          <w:rFonts w:ascii="Arial" w:hAnsi="Arial"/>
          <w:b/>
          <w:i/>
          <w:color w:val="000000"/>
          <w:sz w:val="20"/>
        </w:rPr>
        <w:t>2020 Equity Incentive Plan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of the prior fiscal year; or (b) the number of shares determined by the Board of Directors. As of December 31, 2023, 2</w:t>
      </w:r>
      <w:r>
        <w:rPr>
          <w:rFonts w:ascii="Times New Roman" w:hAnsi="Times New Roman"/>
          <w:color w:val="000000"/>
          <w:sz w:val="20"/>
        </w:rPr>
        <w:t xml:space="preserve"> </w:t>
      </w:r>
      <w:r>
        <w:rPr>
          <w:rFonts w:ascii="Arial" w:hAnsi="Arial"/>
          <w:color w:val="000000"/>
          <w:sz w:val="20"/>
        </w:rPr>
        <w:t>million shares under the 2020 Plan remained available for grant.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2020 Employee Stock Purchase Plan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November 19, 2020, the Company’s Board of Directors adopted and approved the 2020 ESPP, which became effective on the IPO Date. The 2020 ESPP reserve for issuance will increase automatically on the first day of each fiscal year, commencing in 2022 and ending in 2040, by a number equal to the lesser of: (a) approximately 267</w:t>
      </w:r>
      <w:r>
        <w:rPr>
          <w:rFonts w:ascii="Times New Roman" w:hAnsi="Times New Roman"/>
          <w:color w:val="000000"/>
          <w:sz w:val="20"/>
        </w:rPr>
        <w:t xml:space="preserve"> </w:t>
      </w:r>
      <w:r>
        <w:rPr>
          <w:rFonts w:ascii="Arial" w:hAnsi="Arial"/>
          <w:color w:val="000000"/>
          <w:sz w:val="20"/>
        </w:rPr>
        <w:t>thousand shares of common stock; (b) 1% of the shares of common stock outstanding on the last day of the prior fiscal year; or (c) the number of shares of common stock determined by the Company’s Board of Directors. As of December 31, 2023, 1</w:t>
      </w:r>
      <w:r>
        <w:rPr>
          <w:rFonts w:ascii="Times New Roman" w:hAnsi="Times New Roman"/>
          <w:color w:val="000000"/>
          <w:sz w:val="20"/>
        </w:rPr>
        <w:t xml:space="preserve"> </w:t>
      </w:r>
      <w:r>
        <w:rPr>
          <w:rFonts w:ascii="Arial" w:hAnsi="Arial"/>
          <w:color w:val="000000"/>
          <w:sz w:val="20"/>
        </w:rPr>
        <w:t>million shares under the 2020 ESPP remained available for issuance.</w:t>
      </w:r>
    </w:p>
    <w:p>
      <w:pPr>
        <w:pStyle w:val="TextBody"/>
        <w:bidi w:val="0"/>
        <w:spacing w:before="180" w:after="283"/>
        <w:jc w:val="both"/>
        <w:rPr>
          <w:rFonts w:ascii="Times New Roman" w:hAnsi="Times New Roman"/>
          <w:sz w:val="20"/>
        </w:rPr>
      </w:pPr>
      <w:r>
        <w:rPr>
          <w:rFonts w:ascii="Arial" w:hAnsi="Arial"/>
          <w:color w:val="000000"/>
          <w:sz w:val="20"/>
        </w:rPr>
        <w:t>The 2020 ESPP allows eligible employees to purchase shares of the Company’s Class A common stock at a discount through payroll deductions of up to 15% of eligible compensation, subject to caps of $25,000</w:t>
      </w:r>
      <w:r>
        <w:rPr>
          <w:rFonts w:ascii="Times New Roman" w:hAnsi="Times New Roman"/>
          <w:color w:val="000000"/>
          <w:sz w:val="20"/>
        </w:rPr>
        <w:t xml:space="preserve"> </w:t>
      </w:r>
      <w:r>
        <w:rPr>
          <w:rFonts w:ascii="Arial" w:hAnsi="Arial"/>
          <w:color w:val="000000"/>
          <w:sz w:val="20"/>
        </w:rPr>
        <w:t>in any calendar year and 166</w:t>
      </w:r>
      <w:r>
        <w:rPr>
          <w:rFonts w:ascii="Times New Roman" w:hAnsi="Times New Roman"/>
          <w:color w:val="000000"/>
          <w:sz w:val="20"/>
        </w:rPr>
        <w:t xml:space="preserve"> </w:t>
      </w:r>
      <w:r>
        <w:rPr>
          <w:rFonts w:ascii="Arial" w:hAnsi="Arial"/>
          <w:color w:val="000000"/>
          <w:sz w:val="20"/>
        </w:rPr>
        <w:t>shares. The 2020 ESPP provides for 24-month offering periods, generally beginning in November and May of each year, and each offering period consists of four six-month purchase periods.</w:t>
      </w:r>
      <w:r>
        <w:rPr>
          <w:rFonts w:ascii="Times New Roman" w:hAnsi="Times New Roman"/>
          <w:color w:val="000000"/>
          <w:sz w:val="20"/>
        </w:rPr>
        <w:t xml:space="preserve"> </w:t>
      </w:r>
      <w:r>
        <w:rPr>
          <w:rFonts w:ascii="Arial" w:hAnsi="Arial"/>
          <w:color w:val="000000"/>
          <w:sz w:val="20"/>
        </w:rPr>
        <w:t>During the year ended December 31, 2023, approximately 42</w:t>
      </w:r>
      <w:r>
        <w:rPr>
          <w:rFonts w:ascii="Times New Roman" w:hAnsi="Times New Roman"/>
          <w:color w:val="000000"/>
          <w:sz w:val="20"/>
        </w:rPr>
        <w:t xml:space="preserve"> </w:t>
      </w:r>
      <w:r>
        <w:rPr>
          <w:rFonts w:ascii="Arial" w:hAnsi="Arial"/>
          <w:color w:val="000000"/>
          <w:sz w:val="20"/>
        </w:rPr>
        <w:t>thousand shares of common stock were purchased under the ESPP for an aggregate amount of $252</w:t>
      </w:r>
      <w:r>
        <w:rPr>
          <w:rFonts w:ascii="Times New Roman" w:hAnsi="Times New Roman"/>
          <w:color w:val="000000"/>
          <w:sz w:val="20"/>
        </w:rPr>
        <w:t xml:space="preserve"> </w:t>
      </w:r>
      <w:r>
        <w:rPr>
          <w:rFonts w:ascii="Arial" w:hAnsi="Arial"/>
          <w:color w:val="000000"/>
          <w:sz w:val="20"/>
        </w:rPr>
        <w:t>thousand.</w:t>
      </w:r>
    </w:p>
    <w:p>
      <w:pPr>
        <w:pStyle w:val="TextBody"/>
        <w:bidi w:val="0"/>
        <w:spacing w:before="180" w:after="283"/>
        <w:jc w:val="both"/>
        <w:rPr>
          <w:rFonts w:ascii="Times New Roman" w:hAnsi="Times New Roman"/>
          <w:sz w:val="20"/>
        </w:rPr>
      </w:pPr>
      <w:r>
        <w:rPr>
          <w:rFonts w:ascii="Arial" w:hAnsi="Arial"/>
          <w:color w:val="000000"/>
          <w:sz w:val="20"/>
        </w:rPr>
        <w:t>On each purchase date, participating employees will purchase Class A common stock at a price per share equal to 85% of the lesser of the fair market value of the Company’s Class A common stock on (i) the first trading day of the applicable offering period and (2)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year ended December 31, 2023, there was an ESPP reset at the end of both May and November purchase periods, resulting in an additional expense of approximately $2</w:t>
      </w:r>
      <w:r>
        <w:rPr>
          <w:rFonts w:ascii="Times New Roman" w:hAnsi="Times New Roman"/>
          <w:color w:val="000000"/>
          <w:sz w:val="20"/>
        </w:rPr>
        <w:t xml:space="preserve"> </w:t>
      </w:r>
      <w:r>
        <w:rPr>
          <w:rFonts w:ascii="Arial" w:hAnsi="Arial"/>
          <w:color w:val="000000"/>
          <w:sz w:val="20"/>
        </w:rPr>
        <w:t>million, which is being recognized on a straight-line basis through November 20, 2025.</w:t>
      </w:r>
    </w:p>
    <w:p>
      <w:pPr>
        <w:pStyle w:val="TextBody"/>
        <w:bidi w:val="0"/>
        <w:spacing w:before="180" w:after="283"/>
        <w:jc w:val="both"/>
        <w:rPr>
          <w:rFonts w:ascii="Arial" w:hAnsi="Arial"/>
          <w:b/>
          <w:i/>
          <w:color w:val="000000"/>
          <w:sz w:val="20"/>
        </w:rPr>
      </w:pPr>
      <w:r>
        <w:rPr>
          <w:rFonts w:ascii="Arial" w:hAnsi="Arial"/>
          <w:b/>
          <w:i/>
          <w:color w:val="000000"/>
          <w:sz w:val="20"/>
        </w:rPr>
        <w:t>2022 Inducement Plan</w:t>
      </w:r>
    </w:p>
    <w:p>
      <w:pPr>
        <w:pStyle w:val="TextBody"/>
        <w:bidi w:val="0"/>
        <w:spacing w:before="180" w:after="283"/>
        <w:jc w:val="both"/>
        <w:rPr>
          <w:rFonts w:ascii="Arial" w:hAnsi="Arial"/>
          <w:color w:val="000000"/>
          <w:sz w:val="20"/>
        </w:rPr>
      </w:pPr>
      <w:r>
        <w:rPr>
          <w:rFonts w:ascii="Arial" w:hAnsi="Arial"/>
          <w:color w:val="000000"/>
          <w:sz w:val="20"/>
        </w:rPr>
        <w:t>In January 2022, the Company’s Board adopted and approved the 2022 Inducement Plan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w:t>
      </w:r>
    </w:p>
    <w:p>
      <w:pPr>
        <w:pStyle w:val="TextBody"/>
        <w:bidi w:val="0"/>
        <w:spacing w:before="180" w:after="283"/>
        <w:jc w:val="both"/>
        <w:rPr>
          <w:rFonts w:ascii="Times New Roman" w:hAnsi="Times New Roman"/>
          <w:sz w:val="20"/>
        </w:rPr>
      </w:pPr>
      <w:r>
        <w:rPr>
          <w:rFonts w:ascii="Arial" w:hAnsi="Arial"/>
          <w:color w:val="000000"/>
          <w:sz w:val="20"/>
        </w:rPr>
        <w:t>As of December 31, 2023, 350</w:t>
      </w:r>
      <w:r>
        <w:rPr>
          <w:rFonts w:ascii="Times New Roman" w:hAnsi="Times New Roman"/>
          <w:color w:val="000000"/>
          <w:sz w:val="20"/>
        </w:rPr>
        <w:t xml:space="preserve"> </w:t>
      </w:r>
      <w:r>
        <w:rPr>
          <w:rFonts w:ascii="Arial" w:hAnsi="Arial"/>
          <w:color w:val="000000"/>
          <w:sz w:val="20"/>
        </w:rPr>
        <w:t>thousand shares under the 2022 Plan remained available for grant.</w:t>
      </w:r>
    </w:p>
    <w:p>
      <w:pPr>
        <w:pStyle w:val="TextBody"/>
        <w:bidi w:val="0"/>
        <w:spacing w:before="180" w:after="283"/>
        <w:jc w:val="both"/>
        <w:rPr>
          <w:rFonts w:ascii="Times New Roman" w:hAnsi="Times New Roman"/>
          <w:sz w:val="20"/>
        </w:rPr>
      </w:pPr>
      <w:r>
        <w:rPr>
          <w:rFonts w:ascii="Arial" w:hAnsi="Arial"/>
          <w:b/>
          <w:i/>
          <w:color w:val="000000"/>
          <w:sz w:val="20"/>
        </w:rPr>
        <w:t>Equity Award Activity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summary of activity under the equity plans and related information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305"/>
        <w:gridCol w:w="876"/>
        <w:gridCol w:w="146"/>
        <w:gridCol w:w="146"/>
        <w:gridCol w:w="259"/>
        <w:gridCol w:w="702"/>
        <w:gridCol w:w="146"/>
        <w:gridCol w:w="146"/>
        <w:gridCol w:w="427"/>
        <w:gridCol w:w="1061"/>
        <w:gridCol w:w="146"/>
        <w:gridCol w:w="146"/>
        <w:gridCol w:w="223"/>
        <w:gridCol w:w="958"/>
        <w:gridCol w:w="166"/>
        <w:gridCol w:w="146"/>
        <w:gridCol w:w="443"/>
        <w:gridCol w:w="1202"/>
        <w:gridCol w:w="195"/>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 Outstanding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Remaining</w:t>
              <w:br/>
              <w:t xml:space="preserve">Contractual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Grant Date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r>
      <w:tr>
        <w:trPr/>
        <w:tc>
          <w:tcPr>
            <w:tcW w:w="2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gridSpan w:val="2"/>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83.88</w:t>
            </w:r>
          </w:p>
        </w:tc>
        <w:tc>
          <w:tcPr>
            <w:tcW w:w="195" w:type="dxa"/>
            <w:tcBorders/>
            <w:shd w:fill="CFF0FC" w:val="clear"/>
            <w:vAlign w:val="center"/>
          </w:tcPr>
          <w:p>
            <w:pPr>
              <w:pStyle w:val="TableContents"/>
              <w:bidi w:val="0"/>
              <w:spacing w:before="0" w:after="283"/>
              <w:jc w:val="left"/>
              <w:rPr/>
            </w:pPr>
            <w:r>
              <w:rPr/>
              <w:t> </w:t>
            </w:r>
          </w:p>
        </w:tc>
      </w:tr>
      <w:tr>
        <w:trPr/>
        <w:tc>
          <w:tcPr>
            <w:tcW w:w="22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195" w:type="dxa"/>
            <w:tcBorders/>
            <w:shd w:fill="FFFFFF" w:val="clear"/>
            <w:vAlign w:val="center"/>
          </w:tcPr>
          <w:p>
            <w:pPr>
              <w:pStyle w:val="TableContents"/>
              <w:bidi w:val="0"/>
              <w:spacing w:before="0" w:after="283"/>
              <w:jc w:val="left"/>
              <w:rPr/>
            </w:pPr>
            <w:r>
              <w:rPr/>
              <w:t> </w:t>
            </w:r>
          </w:p>
        </w:tc>
      </w:tr>
      <w:tr>
        <w:trPr/>
        <w:tc>
          <w:tcPr>
            <w:tcW w:w="2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(1,323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65.26</w:t>
            </w:r>
          </w:p>
        </w:tc>
        <w:tc>
          <w:tcPr>
            <w:tcW w:w="195" w:type="dxa"/>
            <w:tcBorders/>
            <w:shd w:fill="CFF0FC" w:val="clear"/>
            <w:vAlign w:val="center"/>
          </w:tcPr>
          <w:p>
            <w:pPr>
              <w:pStyle w:val="TableContents"/>
              <w:bidi w:val="0"/>
              <w:spacing w:before="0" w:after="283"/>
              <w:jc w:val="left"/>
              <w:rPr/>
            </w:pPr>
            <w:r>
              <w:rPr/>
              <w:t> </w:t>
            </w:r>
          </w:p>
        </w:tc>
      </w:tr>
      <w:tr>
        <w:trPr/>
        <w:tc>
          <w:tcPr>
            <w:tcW w:w="22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Forfeited or cancelled</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95" w:type="dxa"/>
            <w:tcBorders/>
            <w:shd w:fill="FFFFFF" w:val="clear"/>
            <w:vAlign w:val="center"/>
          </w:tcPr>
          <w:p>
            <w:pPr>
              <w:pStyle w:val="TableContents"/>
              <w:bidi w:val="0"/>
              <w:spacing w:before="0" w:after="283"/>
              <w:jc w:val="left"/>
              <w:rPr/>
            </w:pPr>
            <w:r>
              <w:rPr/>
              <w:t> </w:t>
            </w:r>
          </w:p>
        </w:tc>
      </w:tr>
      <w:tr>
        <w:trPr/>
        <w:tc>
          <w:tcPr>
            <w:tcW w:w="2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30.05</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weighted-average grant date fair value of options granted during the years ended December 31, 2023 and 2022 was $11.27</w:t>
      </w:r>
      <w:r>
        <w:rPr>
          <w:rFonts w:ascii="Times New Roman" w:hAnsi="Times New Roman"/>
          <w:color w:val="000000"/>
          <w:sz w:val="20"/>
        </w:rPr>
        <w:t xml:space="preserve"> </w:t>
      </w:r>
      <w:r>
        <w:rPr>
          <w:rFonts w:ascii="Arial" w:hAnsi="Arial"/>
          <w:color w:val="000000"/>
          <w:sz w:val="20"/>
        </w:rPr>
        <w:t>and $47.25</w:t>
      </w:r>
      <w:r>
        <w:rPr>
          <w:rFonts w:ascii="Times New Roman" w:hAnsi="Times New Roman"/>
          <w:color w:val="000000"/>
          <w:sz w:val="20"/>
        </w:rPr>
        <w:t xml:space="preserve"> </w:t>
      </w:r>
      <w:r>
        <w:rPr>
          <w:rFonts w:ascii="Arial" w:hAnsi="Arial"/>
          <w:color w:val="000000"/>
          <w:sz w:val="20"/>
        </w:rPr>
        <w:t>per share. Approximately 180</w:t>
      </w:r>
      <w:r>
        <w:rPr>
          <w:rFonts w:ascii="Times New Roman" w:hAnsi="Times New Roman"/>
          <w:color w:val="000000"/>
          <w:sz w:val="20"/>
        </w:rPr>
        <w:t xml:space="preserve"> </w:t>
      </w:r>
      <w:r>
        <w:rPr>
          <w:rFonts w:ascii="Arial" w:hAnsi="Arial"/>
          <w:color w:val="000000"/>
          <w:sz w:val="20"/>
        </w:rPr>
        <w:t>thousand options as of December 31, 2023 were vested. The vested options have a weighted average exercise price of $21.09, a weighted-average remaining contractual term of 8.90</w:t>
      </w:r>
      <w:r>
        <w:rPr>
          <w:rFonts w:ascii="Times New Roman" w:hAnsi="Times New Roman"/>
          <w:color w:val="000000"/>
          <w:sz w:val="20"/>
        </w:rPr>
        <w:t xml:space="preserve"> </w:t>
      </w:r>
      <w:r>
        <w:rPr>
          <w:rFonts w:ascii="Arial" w:hAnsi="Arial"/>
          <w:color w:val="000000"/>
          <w:sz w:val="20"/>
        </w:rPr>
        <w:t>years, and an aggregate intrinsic value of zero. The aggregate intrinsic value of options exercised during the year ended December 31, 2022 was $24</w:t>
      </w:r>
      <w:r>
        <w:rPr>
          <w:rFonts w:ascii="Times New Roman" w:hAnsi="Times New Roman"/>
          <w:color w:val="000000"/>
          <w:sz w:val="20"/>
        </w:rPr>
        <w:t xml:space="preserve"> </w:t>
      </w:r>
      <w:r>
        <w:rPr>
          <w:rFonts w:ascii="Arial" w:hAnsi="Arial"/>
          <w:color w:val="000000"/>
          <w:sz w:val="20"/>
        </w:rPr>
        <w:t>million. There were no options exercised during the year ended December 31, 2023. The intrinsic value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is the difference between the closing price of the Company’s common stock at the date of exercise and the exercise price for in-the-money options.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weighted-average grant date fair value of RSUs granted during the years ended December 31, 2023, and 2022 was $13.56</w:t>
      </w:r>
      <w:r>
        <w:rPr>
          <w:rFonts w:ascii="Times New Roman" w:hAnsi="Times New Roman"/>
          <w:color w:val="000000"/>
          <w:sz w:val="20"/>
        </w:rPr>
        <w:t xml:space="preserve"> </w:t>
      </w:r>
      <w:r>
        <w:rPr>
          <w:rFonts w:ascii="Arial" w:hAnsi="Arial"/>
          <w:color w:val="000000"/>
          <w:sz w:val="20"/>
        </w:rPr>
        <w:t>and $48.97</w:t>
      </w:r>
      <w:r>
        <w:rPr>
          <w:rFonts w:ascii="Times New Roman" w:hAnsi="Times New Roman"/>
          <w:color w:val="000000"/>
          <w:sz w:val="20"/>
        </w:rPr>
        <w:t xml:space="preserve"> </w:t>
      </w:r>
      <w:r>
        <w:rPr>
          <w:rFonts w:ascii="Arial" w:hAnsi="Arial"/>
          <w:color w:val="000000"/>
          <w:sz w:val="20"/>
        </w:rPr>
        <w:t>per share, respectively. The total intrinsic value of RSUs which were vested and released during the years ended December 31, 2023 and 2022 was $13</w:t>
      </w:r>
      <w:r>
        <w:rPr>
          <w:rFonts w:ascii="Times New Roman" w:hAnsi="Times New Roman"/>
          <w:color w:val="000000"/>
          <w:sz w:val="20"/>
        </w:rPr>
        <w:t xml:space="preserve"> </w:t>
      </w:r>
      <w:r>
        <w:rPr>
          <w:rFonts w:ascii="Arial" w:hAnsi="Arial"/>
          <w:color w:val="000000"/>
          <w:sz w:val="20"/>
        </w:rPr>
        <w:t>million and $42</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aggregate intrinsic value of options and RSUs outstanding as of December 31, 2023 was zero</w:t>
      </w:r>
      <w:r>
        <w:rPr>
          <w:rFonts w:ascii="Times New Roman" w:hAnsi="Times New Roman"/>
          <w:color w:val="000000"/>
          <w:sz w:val="20"/>
        </w:rPr>
        <w:t xml:space="preserve"> </w:t>
      </w:r>
      <w:r>
        <w:rPr>
          <w:rFonts w:ascii="Arial" w:hAnsi="Arial"/>
          <w:color w:val="000000"/>
          <w:sz w:val="20"/>
        </w:rPr>
        <w:t>and $13</w:t>
      </w:r>
      <w:r>
        <w:rPr>
          <w:rFonts w:ascii="Times New Roman" w:hAnsi="Times New Roman"/>
          <w:color w:val="000000"/>
          <w:sz w:val="20"/>
        </w:rPr>
        <w:t xml:space="preserve"> </w:t>
      </w:r>
      <w:r>
        <w:rPr>
          <w:rFonts w:ascii="Arial" w:hAnsi="Arial"/>
          <w:color w:val="000000"/>
          <w:sz w:val="20"/>
        </w:rPr>
        <w:t>million, respectively. The aggregate intrinsic value of options and RSUs outstanding as of December 31, 2022 was zero</w:t>
      </w:r>
      <w:r>
        <w:rPr>
          <w:rFonts w:ascii="Times New Roman" w:hAnsi="Times New Roman"/>
          <w:color w:val="000000"/>
          <w:sz w:val="20"/>
        </w:rPr>
        <w:t xml:space="preserve"> </w:t>
      </w:r>
      <w:r>
        <w:rPr>
          <w:rFonts w:ascii="Arial" w:hAnsi="Arial"/>
          <w:color w:val="000000"/>
          <w:sz w:val="20"/>
        </w:rPr>
        <w:t>and $35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Performance Stock Units</w:t>
      </w:r>
    </w:p>
    <w:p>
      <w:pPr>
        <w:pStyle w:val="TextBody"/>
        <w:bidi w:val="0"/>
        <w:spacing w:before="180" w:after="283"/>
        <w:jc w:val="both"/>
        <w:rPr>
          <w:rFonts w:ascii="Times New Roman" w:hAnsi="Times New Roman"/>
          <w:sz w:val="20"/>
        </w:rPr>
      </w:pPr>
      <w:r>
        <w:rPr>
          <w:rFonts w:ascii="Arial" w:hAnsi="Arial"/>
          <w:color w:val="000000"/>
          <w:sz w:val="20"/>
        </w:rPr>
        <w:t>On January 31, 2022, Mr. Szulczewski resigned from his position as CEO of the Company. Due to his resignation prior to the second anniversary of the Company’s IPO, Mr. Szulczewski is no longer eligible to vest in his PSUs, and as such, the PSUs were canceled. Consequently, the Company reversed $21</w:t>
      </w:r>
      <w:r>
        <w:rPr>
          <w:rFonts w:ascii="Times New Roman" w:hAnsi="Times New Roman"/>
          <w:color w:val="000000"/>
          <w:sz w:val="20"/>
        </w:rPr>
        <w:t xml:space="preserve"> </w:t>
      </w:r>
      <w:r>
        <w:rPr>
          <w:rFonts w:ascii="Arial" w:hAnsi="Arial"/>
          <w:color w:val="000000"/>
          <w:sz w:val="20"/>
        </w:rPr>
        <w:t>million of previously recognized stock-based compensation expense related to these PSUs in the first quarter of 2022.</w:t>
      </w:r>
    </w:p>
    <w:p>
      <w:pPr>
        <w:pStyle w:val="TextBody"/>
        <w:bidi w:val="0"/>
        <w:spacing w:before="180" w:after="283"/>
        <w:jc w:val="both"/>
        <w:rPr>
          <w:rFonts w:ascii="Times New Roman" w:hAnsi="Times New Roman"/>
          <w:sz w:val="20"/>
        </w:rPr>
      </w:pPr>
      <w:r>
        <w:rPr>
          <w:rFonts w:ascii="Arial" w:hAnsi="Arial"/>
          <w:color w:val="000000"/>
          <w:sz w:val="20"/>
        </w:rPr>
        <w:t>In February 2022, Jacqueline Reses resigned from her position as Executive Chair. Upon her resignation, Ms. Reses entered into a consulting agreement with the Company and her PSU award was modified to eliminate the market condition, with only continued service until the expiration of the consulting agreement being the sole vesting condition. Consequently, the Company reversed $3</w:t>
      </w:r>
      <w:r>
        <w:rPr>
          <w:rFonts w:ascii="Times New Roman" w:hAnsi="Times New Roman"/>
          <w:color w:val="000000"/>
          <w:sz w:val="20"/>
        </w:rPr>
        <w:t xml:space="preserve"> </w:t>
      </w:r>
      <w:r>
        <w:rPr>
          <w:rFonts w:ascii="Arial" w:hAnsi="Arial"/>
          <w:color w:val="000000"/>
          <w:sz w:val="20"/>
        </w:rPr>
        <w:t>million of previously recognized stock-based compensation expense upon modification and recognized the modified fair value of approximately $2</w:t>
      </w:r>
      <w:r>
        <w:rPr>
          <w:rFonts w:ascii="Times New Roman" w:hAnsi="Times New Roman"/>
          <w:color w:val="000000"/>
          <w:sz w:val="20"/>
        </w:rPr>
        <w:t xml:space="preserve"> </w:t>
      </w:r>
      <w:r>
        <w:rPr>
          <w:rFonts w:ascii="Arial" w:hAnsi="Arial"/>
          <w:color w:val="000000"/>
          <w:sz w:val="20"/>
        </w:rPr>
        <w:t>million from the modification date to the expiration date of the consulting agreement, which was May 16, 2023.</w:t>
      </w:r>
    </w:p>
    <w:p>
      <w:pPr>
        <w:pStyle w:val="TextBody"/>
        <w:bidi w:val="0"/>
        <w:spacing w:before="180" w:after="283"/>
        <w:jc w:val="both"/>
        <w:rPr>
          <w:rFonts w:ascii="Arial" w:hAnsi="Arial"/>
          <w:b/>
          <w:i/>
          <w:color w:val="000000"/>
          <w:sz w:val="20"/>
        </w:rPr>
      </w:pPr>
      <w:r>
        <w:rPr>
          <w:rFonts w:ascii="Arial" w:hAnsi="Arial"/>
          <w:b/>
          <w:i/>
          <w:color w:val="000000"/>
          <w:sz w:val="20"/>
        </w:rPr>
        <w:t>CEO transition</w:t>
      </w:r>
    </w:p>
    <w:p>
      <w:pPr>
        <w:pStyle w:val="TextBody"/>
        <w:bidi w:val="0"/>
        <w:spacing w:before="180" w:after="283"/>
        <w:jc w:val="both"/>
        <w:rPr>
          <w:rFonts w:ascii="Times New Roman" w:hAnsi="Times New Roman"/>
          <w:sz w:val="20"/>
        </w:rPr>
      </w:pPr>
      <w:r>
        <w:rPr>
          <w:rFonts w:ascii="Arial" w:hAnsi="Arial"/>
          <w:color w:val="000000"/>
          <w:sz w:val="20"/>
        </w:rPr>
        <w:t>In January 2022, the Company entered into an employment agreement with Vijay Talwar, as the Company’s new CEO, with employment commencing on February 1, 2022. As an inducement of employment, Mr. Talwar was granted, i) 154</w:t>
      </w:r>
      <w:r>
        <w:rPr>
          <w:rFonts w:ascii="Times New Roman" w:hAnsi="Times New Roman"/>
          <w:color w:val="000000"/>
          <w:sz w:val="20"/>
        </w:rPr>
        <w:t xml:space="preserve"> </w:t>
      </w:r>
      <w:r>
        <w:rPr>
          <w:rFonts w:ascii="Arial" w:hAnsi="Arial"/>
          <w:color w:val="000000"/>
          <w:sz w:val="20"/>
        </w:rPr>
        <w:t>thousand RSUs with an aggregate grant date fair value of $13</w:t>
      </w:r>
      <w:r>
        <w:rPr>
          <w:rFonts w:ascii="Times New Roman" w:hAnsi="Times New Roman"/>
          <w:color w:val="000000"/>
          <w:sz w:val="20"/>
        </w:rPr>
        <w:t xml:space="preserve"> </w:t>
      </w:r>
      <w:r>
        <w:rPr>
          <w:rFonts w:ascii="Arial" w:hAnsi="Arial"/>
          <w:color w:val="000000"/>
          <w:sz w:val="20"/>
        </w:rPr>
        <w:t>million and ii) options to purchase 216</w:t>
      </w:r>
      <w:r>
        <w:rPr>
          <w:rFonts w:ascii="Times New Roman" w:hAnsi="Times New Roman"/>
          <w:color w:val="000000"/>
          <w:sz w:val="20"/>
        </w:rPr>
        <w:t xml:space="preserve"> </w:t>
      </w:r>
      <w:r>
        <w:rPr>
          <w:rFonts w:ascii="Arial" w:hAnsi="Arial"/>
          <w:color w:val="000000"/>
          <w:sz w:val="20"/>
        </w:rPr>
        <w:t>thousand shares of the Company’s Class A common stock at an exercise price of $85.80</w:t>
      </w:r>
      <w:r>
        <w:rPr>
          <w:rFonts w:ascii="Times New Roman" w:hAnsi="Times New Roman"/>
          <w:color w:val="000000"/>
          <w:sz w:val="20"/>
        </w:rPr>
        <w:t xml:space="preserve"> </w:t>
      </w:r>
      <w:r>
        <w:rPr>
          <w:rFonts w:ascii="Arial" w:hAnsi="Arial"/>
          <w:color w:val="000000"/>
          <w:sz w:val="20"/>
        </w:rPr>
        <w:t>per share with an aggregate grant date fair value of $12</w:t>
      </w:r>
      <w:r>
        <w:rPr>
          <w:rFonts w:ascii="Times New Roman" w:hAnsi="Times New Roman"/>
          <w:color w:val="000000"/>
          <w:sz w:val="20"/>
        </w:rPr>
        <w:t xml:space="preserve"> </w:t>
      </w:r>
      <w:r>
        <w:rPr>
          <w:rFonts w:ascii="Arial" w:hAnsi="Arial"/>
          <w:color w:val="000000"/>
          <w:sz w:val="20"/>
        </w:rPr>
        <w:t>million. These RSUs and options were granted under the 2022 Plan and would have become vested and exercisable, respectively, in periodic installments over a 4-year term, subject to the CEO’s continued employment with the Company. The option award had a term of 10</w:t>
      </w:r>
      <w:r>
        <w:rPr>
          <w:rFonts w:ascii="Times New Roman" w:hAnsi="Times New Roman"/>
          <w:color w:val="000000"/>
          <w:sz w:val="20"/>
        </w:rPr>
        <w:t xml:space="preserve"> </w:t>
      </w:r>
      <w:r>
        <w:rPr>
          <w:rFonts w:ascii="Arial" w:hAnsi="Arial"/>
          <w:color w:val="000000"/>
          <w:sz w:val="20"/>
        </w:rPr>
        <w:t>years.</w:t>
      </w:r>
    </w:p>
    <w:p>
      <w:pPr>
        <w:pStyle w:val="TextBody"/>
        <w:bidi w:val="0"/>
        <w:spacing w:before="180" w:after="283"/>
        <w:jc w:val="both"/>
        <w:rPr>
          <w:rFonts w:ascii="Times New Roman" w:hAnsi="Times New Roman"/>
          <w:sz w:val="20"/>
        </w:rPr>
      </w:pPr>
      <w:r>
        <w:rPr>
          <w:rFonts w:ascii="Arial" w:hAnsi="Arial"/>
          <w:color w:val="000000"/>
          <w:sz w:val="20"/>
        </w:rPr>
        <w:t>In September 2022, the Company’s Board terminated Mr. Talwar from his position as CEO of the Company. As set forth in his employment agreement with the Company, Mr. Talwar was entitled to certain benefits, which included, accelerated vesting of the unvested portion of his equity awards that would have vested within twelve months of his involuntary termination. Consequently, the Company recognized $6</w:t>
      </w:r>
      <w:r>
        <w:rPr>
          <w:rFonts w:ascii="Times New Roman" w:hAnsi="Times New Roman"/>
          <w:color w:val="000000"/>
          <w:sz w:val="20"/>
        </w:rPr>
        <w:t xml:space="preserve"> </w:t>
      </w:r>
      <w:r>
        <w:rPr>
          <w:rFonts w:ascii="Arial" w:hAnsi="Arial"/>
          <w:color w:val="000000"/>
          <w:sz w:val="20"/>
        </w:rPr>
        <w:t>million of stock-based compensation expense upon the acceleration of Mr. Talwar’s equity awards on his termination date.</w:t>
      </w:r>
    </w:p>
    <w:p>
      <w:pPr>
        <w:pStyle w:val="TextBody"/>
        <w:bidi w:val="0"/>
        <w:spacing w:before="180" w:after="283"/>
        <w:jc w:val="both"/>
        <w:rPr>
          <w:rFonts w:ascii="Times New Roman" w:hAnsi="Times New Roman"/>
          <w:sz w:val="20"/>
        </w:rPr>
      </w:pPr>
      <w:r>
        <w:rPr>
          <w:rFonts w:ascii="Arial" w:hAnsi="Arial"/>
          <w:color w:val="000000"/>
          <w:sz w:val="20"/>
        </w:rPr>
        <w:t>In September 2022, the Company entered into an employment agreement with Jun Yan, as the Company’s then interim CEO, with employment commencing September 27, 2022. As an inducement of employment, Mr. Yan was granted i) 65</w:t>
      </w:r>
      <w:r>
        <w:rPr>
          <w:rFonts w:ascii="Times New Roman" w:hAnsi="Times New Roman"/>
          <w:color w:val="000000"/>
          <w:sz w:val="20"/>
        </w:rPr>
        <w:t xml:space="preserve"> </w:t>
      </w:r>
      <w:r>
        <w:rPr>
          <w:rFonts w:ascii="Arial" w:hAnsi="Arial"/>
          <w:color w:val="000000"/>
          <w:sz w:val="20"/>
        </w:rPr>
        <w:t>thousand RSUs with an aggregate grant date fair value of $2</w:t>
      </w:r>
      <w:r>
        <w:rPr>
          <w:rFonts w:ascii="Times New Roman" w:hAnsi="Times New Roman"/>
          <w:color w:val="000000"/>
          <w:sz w:val="20"/>
        </w:rPr>
        <w:t xml:space="preserve"> </w:t>
      </w:r>
      <w:r>
        <w:rPr>
          <w:rFonts w:ascii="Arial" w:hAnsi="Arial"/>
          <w:color w:val="000000"/>
          <w:sz w:val="20"/>
        </w:rPr>
        <w:t>million and ii) options to purchase 65</w:t>
      </w:r>
      <w:r>
        <w:rPr>
          <w:rFonts w:ascii="Times New Roman" w:hAnsi="Times New Roman"/>
          <w:color w:val="000000"/>
          <w:sz w:val="20"/>
        </w:rPr>
        <w:t xml:space="preserve"> </w:t>
      </w:r>
      <w:r>
        <w:rPr>
          <w:rFonts w:ascii="Arial" w:hAnsi="Arial"/>
          <w:color w:val="000000"/>
          <w:sz w:val="20"/>
        </w:rPr>
        <w:t>thousand shares of the Company’s Class A common stock at an exercise price of $25.85</w:t>
      </w:r>
      <w:r>
        <w:rPr>
          <w:rFonts w:ascii="Times New Roman" w:hAnsi="Times New Roman"/>
          <w:color w:val="000000"/>
          <w:sz w:val="20"/>
        </w:rPr>
        <w:t xml:space="preserve"> </w:t>
      </w:r>
      <w:r>
        <w:rPr>
          <w:rFonts w:ascii="Arial" w:hAnsi="Arial"/>
          <w:color w:val="000000"/>
          <w:sz w:val="20"/>
        </w:rPr>
        <w:t>per share with an aggregate grant date fair value of $1</w:t>
      </w:r>
      <w:r>
        <w:rPr>
          <w:rFonts w:ascii="Times New Roman" w:hAnsi="Times New Roman"/>
          <w:color w:val="000000"/>
          <w:sz w:val="20"/>
        </w:rPr>
        <w:t xml:space="preserve"> </w:t>
      </w:r>
      <w:r>
        <w:rPr>
          <w:rFonts w:ascii="Arial" w:hAnsi="Arial"/>
          <w:color w:val="000000"/>
          <w:sz w:val="20"/>
        </w:rPr>
        <w:t>million. These RSUs and options were granted under the 2022 Plan and will become vested and exercisable, respectively, in periodic installments over an approximate 1-year term, subject to the interim CEO’s continued employment with the Company. The option award has a term of 10</w:t>
      </w:r>
      <w:r>
        <w:rPr>
          <w:rFonts w:ascii="Times New Roman" w:hAnsi="Times New Roman"/>
          <w:color w:val="000000"/>
          <w:sz w:val="20"/>
        </w:rPr>
        <w:t xml:space="preserve"> </w:t>
      </w:r>
      <w:r>
        <w:rPr>
          <w:rFonts w:ascii="Arial" w:hAnsi="Arial"/>
          <w:color w:val="000000"/>
          <w:sz w:val="20"/>
        </w:rPr>
        <w:t>years. If Mr. Yan were to be terminated from his position as interim CEO within six months from his commencement of employment, 50% of both his RSU and options would immediately vest.</w:t>
      </w:r>
    </w:p>
    <w:p>
      <w:pPr>
        <w:pStyle w:val="TextBody"/>
        <w:bidi w:val="0"/>
        <w:spacing w:before="180" w:after="283"/>
        <w:jc w:val="both"/>
        <w:rPr>
          <w:rFonts w:ascii="Times New Roman" w:hAnsi="Times New Roman"/>
          <w:sz w:val="20"/>
        </w:rPr>
      </w:pPr>
      <w:r>
        <w:rPr>
          <w:rFonts w:ascii="Arial" w:hAnsi="Arial"/>
          <w:color w:val="000000"/>
          <w:sz w:val="20"/>
        </w:rPr>
        <w:t>In February 2023, the Board appointed Jun Yan as the Company's CEO, who was then serving as the Company's interim CEO. According to the terms of his new employment agreement, Mr. Yan was granted (i) 167</w:t>
      </w:r>
      <w:r>
        <w:rPr>
          <w:rFonts w:ascii="Times New Roman" w:hAnsi="Times New Roman"/>
          <w:color w:val="000000"/>
          <w:sz w:val="20"/>
        </w:rPr>
        <w:t xml:space="preserve"> </w:t>
      </w:r>
      <w:r>
        <w:rPr>
          <w:rFonts w:ascii="Arial" w:hAnsi="Arial"/>
          <w:color w:val="000000"/>
          <w:sz w:val="20"/>
        </w:rPr>
        <w:t>thousand RSUs with an aggregate grant date fair value of $3</w:t>
      </w:r>
      <w:r>
        <w:rPr>
          <w:rFonts w:ascii="Times New Roman" w:hAnsi="Times New Roman"/>
          <w:color w:val="000000"/>
          <w:sz w:val="20"/>
        </w:rPr>
        <w:t xml:space="preserve"> </w:t>
      </w:r>
      <w:r>
        <w:rPr>
          <w:rFonts w:ascii="Arial" w:hAnsi="Arial"/>
          <w:color w:val="000000"/>
          <w:sz w:val="20"/>
        </w:rPr>
        <w:t>million and (ii) options to purchase 299</w:t>
      </w:r>
      <w:r>
        <w:rPr>
          <w:rFonts w:ascii="Times New Roman" w:hAnsi="Times New Roman"/>
          <w:color w:val="000000"/>
          <w:sz w:val="20"/>
        </w:rPr>
        <w:t xml:space="preserve"> </w:t>
      </w:r>
      <w:r>
        <w:rPr>
          <w:rFonts w:ascii="Arial" w:hAnsi="Arial"/>
          <w:color w:val="000000"/>
          <w:sz w:val="20"/>
        </w:rPr>
        <w:t>thousand shares of the Company's common stock at an exercise price $15.03</w:t>
      </w:r>
      <w:r>
        <w:rPr>
          <w:rFonts w:ascii="Times New Roman" w:hAnsi="Times New Roman"/>
          <w:color w:val="000000"/>
          <w:sz w:val="20"/>
        </w:rPr>
        <w:t xml:space="preserve"> </w:t>
      </w:r>
      <w:r>
        <w:rPr>
          <w:rFonts w:ascii="Arial" w:hAnsi="Arial"/>
          <w:color w:val="000000"/>
          <w:sz w:val="20"/>
        </w:rPr>
        <w:t>per share with an aggregate grant date fair value of $3</w:t>
      </w:r>
      <w:r>
        <w:rPr>
          <w:rFonts w:ascii="Times New Roman" w:hAnsi="Times New Roman"/>
          <w:color w:val="000000"/>
          <w:sz w:val="20"/>
        </w:rPr>
        <w:t xml:space="preserve"> </w:t>
      </w:r>
      <w:r>
        <w:rPr>
          <w:rFonts w:ascii="Arial" w:hAnsi="Arial"/>
          <w:color w:val="000000"/>
          <w:sz w:val="20"/>
        </w:rPr>
        <w:t>million. These RSUs and options will become vested and exercisable, respectively, in periodic installments over a 2-year term, subject to the CEO's continued service with the Company. The option award has a term of 10</w:t>
      </w:r>
      <w:r>
        <w:rPr>
          <w:rFonts w:ascii="Times New Roman" w:hAnsi="Times New Roman"/>
          <w:color w:val="000000"/>
          <w:sz w:val="20"/>
        </w:rPr>
        <w:t xml:space="preserve"> </w:t>
      </w:r>
      <w:r>
        <w:rPr>
          <w:rFonts w:ascii="Arial" w:hAnsi="Arial"/>
          <w:color w:val="000000"/>
          <w:sz w:val="20"/>
        </w:rPr>
        <w:t>years. The vesting of Mr. Yan's equity awards granted under his previous employment agreement as interim CEO was accelerated upon Mr. Yan’s appointment to the Company’s CEO. As of December 31, 2023, those RSU and option awards are fully vested.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Stock Option Valuation</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fair value of options is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risk-free interest rate was based on the interest rate payable on the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dividend yield was zero because the Company has not historically paid and does not expect to pay a dividend on its ordinary shares in the foreseeable future.</w:t>
      </w:r>
    </w:p>
    <w:p>
      <w:pPr>
        <w:pStyle w:val="TextBody"/>
        <w:bidi w:val="0"/>
        <w:spacing w:before="180" w:after="283"/>
        <w:jc w:val="both"/>
        <w:rPr>
          <w:rFonts w:ascii="Arial" w:hAnsi="Arial"/>
          <w:color w:val="000000"/>
          <w:sz w:val="20"/>
        </w:rPr>
      </w:pPr>
      <w:r>
        <w:rPr>
          <w:rFonts w:ascii="Arial" w:hAnsi="Arial"/>
          <w:color w:val="000000"/>
          <w:sz w:val="20"/>
        </w:rPr>
        <w:t>A summary of the weighted-average assumptions used in the Black-Scholes option pricing model to determine the fair value of the options granted during the years ended December 31, 2023 and 2022 is as follows:</w:t>
      </w:r>
    </w:p>
    <w:p>
      <w:pPr>
        <w:pStyle w:val="TextBody"/>
        <w:bidi w:val="0"/>
        <w:jc w:val="both"/>
        <w:rPr/>
      </w:pPr>
      <w:r>
        <w:rPr/>
        <w:t> </w:t>
      </w:r>
    </w:p>
    <w:tbl>
      <w:tblPr>
        <w:tblW w:w="4639"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5.93</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75.53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Total stock-based compensation expense included in the consolidated statements of operations is as follows:</w:t>
      </w:r>
    </w:p>
    <w:p>
      <w:pPr>
        <w:pStyle w:val="TextBody"/>
        <w:bidi w:val="0"/>
        <w:jc w:val="both"/>
        <w:rPr/>
      </w:pPr>
      <w:r>
        <w:rPr/>
        <w:t> </w:t>
      </w:r>
    </w:p>
    <w:tbl>
      <w:tblPr>
        <w:tblW w:w="5528" w:type="dxa"/>
        <w:jc w:val="left"/>
        <w:tblInd w:w="0" w:type="dxa"/>
        <w:tblLayout w:type="fixed"/>
        <w:tblCellMar>
          <w:top w:w="28" w:type="dxa"/>
          <w:left w:w="28" w:type="dxa"/>
          <w:bottom w:w="28" w:type="dxa"/>
          <w:right w:w="28" w:type="dxa"/>
        </w:tblCellMar>
      </w:tblPr>
      <w:tblGrid>
        <w:gridCol w:w="3401"/>
        <w:gridCol w:w="146"/>
        <w:gridCol w:w="146"/>
        <w:gridCol w:w="214"/>
        <w:gridCol w:w="320"/>
        <w:gridCol w:w="148"/>
        <w:gridCol w:w="148"/>
        <w:gridCol w:w="214"/>
        <w:gridCol w:w="320"/>
        <w:gridCol w:w="47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w:t>
            </w:r>
          </w:p>
        </w:tc>
        <w:tc>
          <w:tcPr>
            <w:tcW w:w="471" w:type="dxa"/>
            <w:tcBorders/>
            <w:shd w:fill="FFFFFF" w:val="clear"/>
            <w:vAlign w:val="center"/>
          </w:tcPr>
          <w:p>
            <w:pPr>
              <w:pStyle w:val="TableContents"/>
              <w:bidi w:val="0"/>
              <w:spacing w:before="0" w:after="283"/>
              <w:jc w:val="center"/>
              <w:rPr/>
            </w:pPr>
            <w:r>
              <w:rPr/>
              <w:t> </w:t>
            </w:r>
          </w:p>
        </w:tc>
      </w:tr>
      <w:tr>
        <w:trPr/>
        <w:tc>
          <w:tcPr>
            <w:tcW w:w="3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71" w:type="dxa"/>
            <w:tcBorders/>
            <w:shd w:fill="FFFFFF" w:val="clear"/>
            <w:vAlign w:val="center"/>
          </w:tcPr>
          <w:p>
            <w:pPr>
              <w:pStyle w:val="TableContents"/>
              <w:bidi w:val="0"/>
              <w:spacing w:before="0" w:after="283"/>
              <w:jc w:val="left"/>
              <w:rPr/>
            </w:pPr>
            <w:r>
              <w:rPr/>
              <w:t> </w:t>
            </w:r>
          </w:p>
        </w:tc>
      </w:tr>
      <w:tr>
        <w:trPr/>
        <w:tc>
          <w:tcPr>
            <w:tcW w:w="3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71"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0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Total stock-based compensation</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Total stock-based compensation expense for the year ended December 31, 2023 decreased by $8</w:t>
      </w:r>
      <w:r>
        <w:rPr>
          <w:rFonts w:ascii="Arial" w:hAnsi="Arial"/>
          <w:color w:val="000000"/>
          <w:sz w:val="20"/>
        </w:rPr>
        <w:t xml:space="preserve"> </w:t>
      </w:r>
      <w:r>
        <w:rPr>
          <w:rFonts w:ascii="Arial" w:hAnsi="Arial"/>
          <w:color w:val="000000"/>
          <w:sz w:val="16"/>
        </w:rPr>
        <w:t>million compared to the year ended December 31, 2022 primarily because stock-based compensation of outstanding equity awards during 2023 was based off a lower weighted average grant date fair value compared to that of outstanding equity awards from the 2022 and the impacts of the reductions in force during the first and third quarters of 2023, partially offset by the impacts of PSU reversals and equity modifications during the year ended December 31, 2022.</w:t>
      </w:r>
    </w:p>
    <w:p>
      <w:pPr>
        <w:pStyle w:val="TextBody"/>
        <w:bidi w:val="0"/>
        <w:spacing w:before="180" w:after="283"/>
        <w:jc w:val="both"/>
        <w:rPr>
          <w:rFonts w:ascii="Times New Roman" w:hAnsi="Times New Roman"/>
          <w:sz w:val="20"/>
        </w:rPr>
      </w:pPr>
      <w:r>
        <w:rPr>
          <w:rFonts w:ascii="Arial" w:hAnsi="Arial"/>
          <w:color w:val="000000"/>
          <w:sz w:val="20"/>
        </w:rPr>
        <w:t>The Company will recognize the remaining $2</w:t>
      </w:r>
      <w:r>
        <w:rPr>
          <w:rFonts w:ascii="Times New Roman" w:hAnsi="Times New Roman"/>
          <w:color w:val="000000"/>
          <w:sz w:val="20"/>
        </w:rPr>
        <w:t xml:space="preserve"> </w:t>
      </w:r>
      <w:r>
        <w:rPr>
          <w:rFonts w:ascii="Arial" w:hAnsi="Arial"/>
          <w:color w:val="000000"/>
          <w:sz w:val="20"/>
        </w:rPr>
        <w:t>million and $55</w:t>
      </w:r>
      <w:r>
        <w:rPr>
          <w:rFonts w:ascii="Times New Roman" w:hAnsi="Times New Roman"/>
          <w:color w:val="000000"/>
          <w:sz w:val="20"/>
        </w:rPr>
        <w:t xml:space="preserve"> </w:t>
      </w:r>
      <w:r>
        <w:rPr>
          <w:rFonts w:ascii="Arial" w:hAnsi="Arial"/>
          <w:color w:val="000000"/>
          <w:sz w:val="20"/>
        </w:rPr>
        <w:t>million of unrecognized stock-based compensation expense over a weighted-average period of approximately 1.1</w:t>
      </w:r>
      <w:r>
        <w:rPr>
          <w:rFonts w:ascii="Times New Roman" w:hAnsi="Times New Roman"/>
          <w:color w:val="000000"/>
          <w:sz w:val="20"/>
        </w:rPr>
        <w:t xml:space="preserve"> </w:t>
      </w:r>
      <w:r>
        <w:rPr>
          <w:rFonts w:ascii="Arial" w:hAnsi="Arial"/>
          <w:color w:val="000000"/>
          <w:sz w:val="20"/>
        </w:rPr>
        <w:t>years and 1.9</w:t>
      </w:r>
      <w:r>
        <w:rPr>
          <w:rFonts w:ascii="Times New Roman" w:hAnsi="Times New Roman"/>
          <w:color w:val="000000"/>
          <w:sz w:val="20"/>
        </w:rPr>
        <w:t xml:space="preserve"> </w:t>
      </w:r>
      <w:r>
        <w:rPr>
          <w:rFonts w:ascii="Arial" w:hAnsi="Arial"/>
          <w:color w:val="000000"/>
          <w:sz w:val="20"/>
        </w:rPr>
        <w:t>years related to options and RSUs,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aps/>
          <w:color w:val="000000"/>
          <w:sz w:val="20"/>
        </w:rPr>
        <w:t>9. INCOME TAXES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loss before provision for income taxes are as follows:</w:t>
      </w:r>
    </w:p>
    <w:tbl>
      <w:tblPr>
        <w:tblW w:w="6916" w:type="dxa"/>
        <w:jc w:val="left"/>
        <w:tblInd w:w="0" w:type="dxa"/>
        <w:tblLayout w:type="fixed"/>
        <w:tblCellMar>
          <w:top w:w="28" w:type="dxa"/>
          <w:left w:w="28" w:type="dxa"/>
          <w:bottom w:w="28" w:type="dxa"/>
          <w:right w:w="28" w:type="dxa"/>
        </w:tblCellMar>
      </w:tblPr>
      <w:tblGrid>
        <w:gridCol w:w="3776"/>
        <w:gridCol w:w="146"/>
        <w:gridCol w:w="335"/>
        <w:gridCol w:w="669"/>
        <w:gridCol w:w="263"/>
        <w:gridCol w:w="232"/>
        <w:gridCol w:w="335"/>
        <w:gridCol w:w="669"/>
        <w:gridCol w:w="49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1" w:type="dxa"/>
            <w:tcBorders/>
            <w:shd w:fill="FFFFFF" w:val="clear"/>
            <w:vAlign w:val="center"/>
          </w:tcPr>
          <w:p>
            <w:pPr>
              <w:pStyle w:val="TableContents"/>
              <w:bidi w:val="0"/>
              <w:spacing w:before="0" w:after="283"/>
              <w:jc w:val="center"/>
              <w:rPr/>
            </w:pPr>
            <w:r>
              <w:rPr/>
              <w:t> </w:t>
            </w:r>
          </w:p>
        </w:tc>
      </w:tr>
      <w:tr>
        <w:trPr/>
        <w:tc>
          <w:tcPr>
            <w:tcW w:w="37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263"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491" w:type="dxa"/>
            <w:tcBorders/>
            <w:shd w:fill="CFF0FC"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2"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provision for income taxes consisted of the following:</w:t>
      </w:r>
    </w:p>
    <w:p>
      <w:pPr>
        <w:pStyle w:val="TextBody"/>
        <w:bidi w:val="0"/>
        <w:jc w:val="both"/>
        <w:rPr/>
      </w:pPr>
      <w:r>
        <w:rPr/>
        <w:t> </w:t>
      </w:r>
    </w:p>
    <w:tbl>
      <w:tblPr>
        <w:tblW w:w="6591" w:type="dxa"/>
        <w:jc w:val="left"/>
        <w:tblInd w:w="0" w:type="dxa"/>
        <w:tblLayout w:type="fixed"/>
        <w:tblCellMar>
          <w:top w:w="28" w:type="dxa"/>
          <w:left w:w="28" w:type="dxa"/>
          <w:bottom w:w="28" w:type="dxa"/>
          <w:right w:w="28" w:type="dxa"/>
        </w:tblCellMar>
      </w:tblPr>
      <w:tblGrid>
        <w:gridCol w:w="3191"/>
        <w:gridCol w:w="146"/>
        <w:gridCol w:w="370"/>
        <w:gridCol w:w="608"/>
        <w:gridCol w:w="291"/>
        <w:gridCol w:w="256"/>
        <w:gridCol w:w="370"/>
        <w:gridCol w:w="608"/>
        <w:gridCol w:w="75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978"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978"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1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1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91"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jc w:val="left"/>
              <w:rPr/>
            </w:pPr>
            <w:r>
              <w:rPr/>
              <w:t> </w:t>
            </w:r>
          </w:p>
        </w:tc>
      </w:tr>
      <w:tr>
        <w:trPr/>
        <w:tc>
          <w:tcPr>
            <w:tcW w:w="3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978"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978"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1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19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provision for income taxes</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There has historically been no federal or state provision for income taxes because the Company has historically incurred operating losses and maintains a full valuation allowance against its net deferred tax assets. For the years ended December 31, 2023 and 2022, the Company recognized $5</w:t>
      </w:r>
      <w:r>
        <w:rPr>
          <w:rFonts w:ascii="Times New Roman" w:hAnsi="Times New Roman"/>
          <w:color w:val="000000"/>
          <w:sz w:val="20"/>
        </w:rPr>
        <w:t xml:space="preserve"> </w:t>
      </w:r>
      <w:r>
        <w:rPr>
          <w:rFonts w:ascii="Arial" w:hAnsi="Arial"/>
          <w:color w:val="000000"/>
          <w:sz w:val="20"/>
        </w:rPr>
        <w:t>million and $1</w:t>
      </w:r>
      <w:r>
        <w:rPr>
          <w:rFonts w:ascii="Times New Roman" w:hAnsi="Times New Roman"/>
          <w:color w:val="000000"/>
          <w:sz w:val="20"/>
        </w:rPr>
        <w:t xml:space="preserve"> </w:t>
      </w:r>
      <w:r>
        <w:rPr>
          <w:rFonts w:ascii="Arial" w:hAnsi="Arial"/>
          <w:color w:val="000000"/>
          <w:sz w:val="20"/>
        </w:rPr>
        <w:t>million tax provision expense, respectively, related primarily to foreign income taxes. For the year ended December 31, 2023 there was $6</w:t>
      </w:r>
      <w:r>
        <w:rPr>
          <w:rFonts w:ascii="Times New Roman" w:hAnsi="Times New Roman"/>
          <w:color w:val="000000"/>
          <w:sz w:val="20"/>
        </w:rPr>
        <w:t xml:space="preserve"> </w:t>
      </w:r>
      <w:r>
        <w:rPr>
          <w:rFonts w:ascii="Arial" w:hAnsi="Arial"/>
          <w:color w:val="000000"/>
          <w:sz w:val="20"/>
        </w:rPr>
        <w:t>million of current foreign tax expense offset against $1</w:t>
      </w:r>
      <w:r>
        <w:rPr>
          <w:rFonts w:ascii="Times New Roman" w:hAnsi="Times New Roman"/>
          <w:color w:val="000000"/>
          <w:sz w:val="20"/>
        </w:rPr>
        <w:t xml:space="preserve"> </w:t>
      </w:r>
      <w:r>
        <w:rPr>
          <w:rFonts w:ascii="Arial" w:hAnsi="Arial"/>
          <w:color w:val="000000"/>
          <w:sz w:val="20"/>
        </w:rPr>
        <w:t>million of deferred foreign tax benefit. For the year ended December 31, 2022 there was $1</w:t>
      </w:r>
      <w:r>
        <w:rPr>
          <w:rFonts w:ascii="Times New Roman" w:hAnsi="Times New Roman"/>
          <w:color w:val="000000"/>
          <w:sz w:val="20"/>
        </w:rPr>
        <w:t xml:space="preserve"> </w:t>
      </w:r>
      <w:r>
        <w:rPr>
          <w:rFonts w:ascii="Arial" w:hAnsi="Arial"/>
          <w:color w:val="000000"/>
          <w:sz w:val="20"/>
        </w:rPr>
        <w:t>million of current foreign tax expense offset against $1</w:t>
      </w:r>
      <w:r>
        <w:rPr>
          <w:rFonts w:ascii="Times New Roman" w:hAnsi="Times New Roman"/>
          <w:color w:val="000000"/>
          <w:sz w:val="20"/>
        </w:rPr>
        <w:t xml:space="preserve"> </w:t>
      </w:r>
      <w:r>
        <w:rPr>
          <w:rFonts w:ascii="Arial" w:hAnsi="Arial"/>
          <w:color w:val="000000"/>
          <w:sz w:val="20"/>
        </w:rPr>
        <w:t>million current state tax benefit and $1</w:t>
      </w:r>
      <w:r>
        <w:rPr>
          <w:rFonts w:ascii="Times New Roman" w:hAnsi="Times New Roman"/>
          <w:color w:val="000000"/>
          <w:sz w:val="20"/>
        </w:rPr>
        <w:t xml:space="preserve"> </w:t>
      </w:r>
      <w:r>
        <w:rPr>
          <w:rFonts w:ascii="Arial" w:hAnsi="Arial"/>
          <w:color w:val="000000"/>
          <w:sz w:val="20"/>
        </w:rPr>
        <w:t>million of deferred foreign tax expense.</w:t>
      </w:r>
    </w:p>
    <w:p>
      <w:pPr>
        <w:pStyle w:val="TextBody"/>
        <w:bidi w:val="0"/>
        <w:spacing w:before="180" w:after="283"/>
        <w:jc w:val="both"/>
        <w:rPr>
          <w:rFonts w:ascii="Arial" w:hAnsi="Arial"/>
          <w:color w:val="000000"/>
          <w:sz w:val="20"/>
        </w:rPr>
      </w:pPr>
      <w:r>
        <w:rPr>
          <w:rFonts w:ascii="Arial" w:hAnsi="Arial"/>
          <w:color w:val="000000"/>
          <w:sz w:val="20"/>
        </w:rPr>
        <w:t>The difference between income taxes computed at the statutory federal income tax rate and the provision for income taxes is attributable to the following:</w:t>
      </w:r>
    </w:p>
    <w:tbl>
      <w:tblPr>
        <w:tblW w:w="6446" w:type="dxa"/>
        <w:jc w:val="left"/>
        <w:tblInd w:w="0" w:type="dxa"/>
        <w:tblLayout w:type="fixed"/>
        <w:tblCellMar>
          <w:top w:w="28" w:type="dxa"/>
          <w:left w:w="28" w:type="dxa"/>
          <w:bottom w:w="28" w:type="dxa"/>
          <w:right w:w="28" w:type="dxa"/>
        </w:tblCellMar>
      </w:tblPr>
      <w:tblGrid>
        <w:gridCol w:w="3586"/>
        <w:gridCol w:w="146"/>
        <w:gridCol w:w="355"/>
        <w:gridCol w:w="634"/>
        <w:gridCol w:w="279"/>
        <w:gridCol w:w="246"/>
        <w:gridCol w:w="355"/>
        <w:gridCol w:w="634"/>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Federal benefit at statutory rate</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2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State tax (benefit), net of federal benefit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27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7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rate differential</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7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7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provision for income taxes</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tax provision differs from the benefit that would result from applying statutory rates to losses before income taxes primarily due to the valuation allowance provided on net deferred tax assets. Deferred income taxes reflect the net tax effects of (a) temporary differences between the tax basis of assets and liabilities and their carrying amounts for financial reporting purposes and (b) net operating losses and tax credit carryforwards. The change in valuation allowance is related mainly to the increase in net operating loss carryforwards, partially offset by other changes in the deferred tax assets.</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Stock-based compensation increased the income tax provision by $14</w:t>
      </w:r>
      <w:r>
        <w:rPr>
          <w:rFonts w:ascii="Times New Roman" w:hAnsi="Times New Roman"/>
          <w:color w:val="000000"/>
          <w:sz w:val="20"/>
        </w:rPr>
        <w:t xml:space="preserve"> </w:t>
      </w:r>
      <w:r>
        <w:rPr>
          <w:rFonts w:ascii="Arial" w:hAnsi="Arial"/>
          <w:color w:val="000000"/>
          <w:sz w:val="20"/>
        </w:rPr>
        <w:t>million and $16</w:t>
      </w:r>
      <w:r>
        <w:rPr>
          <w:rFonts w:ascii="Times New Roman" w:hAnsi="Times New Roman"/>
          <w:color w:val="000000"/>
          <w:sz w:val="20"/>
        </w:rPr>
        <w:t xml:space="preserve"> </w:t>
      </w:r>
      <w:r>
        <w:rPr>
          <w:rFonts w:ascii="Arial" w:hAnsi="Arial"/>
          <w:color w:val="000000"/>
          <w:sz w:val="20"/>
        </w:rPr>
        <w:t>million in 2023 and 2022, respectively, due to the Company experiencing a tax shortfall. A tax shortfall occurs when the fair market value of stock on the vest date is lower than the stock price on the grant date, which causes book deductions to exceed deductions allowed for tax purposes.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Deferred tax assets and liabilities are as follows:</w:t>
      </w:r>
    </w:p>
    <w:tbl>
      <w:tblPr>
        <w:tblW w:w="7839" w:type="dxa"/>
        <w:jc w:val="left"/>
        <w:tblInd w:w="0" w:type="dxa"/>
        <w:tblLayout w:type="fixed"/>
        <w:tblCellMar>
          <w:top w:w="28" w:type="dxa"/>
          <w:left w:w="28" w:type="dxa"/>
          <w:bottom w:w="28" w:type="dxa"/>
          <w:right w:w="28" w:type="dxa"/>
        </w:tblCellMar>
      </w:tblPr>
      <w:tblGrid>
        <w:gridCol w:w="5226"/>
        <w:gridCol w:w="146"/>
        <w:gridCol w:w="211"/>
        <w:gridCol w:w="481"/>
        <w:gridCol w:w="166"/>
        <w:gridCol w:w="146"/>
        <w:gridCol w:w="211"/>
        <w:gridCol w:w="481"/>
        <w:gridCol w:w="77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71" w:type="dxa"/>
            <w:tcBorders/>
            <w:shd w:fill="FFFFFF" w:val="clear"/>
            <w:vAlign w:val="center"/>
          </w:tcPr>
          <w:p>
            <w:pPr>
              <w:pStyle w:val="TableContents"/>
              <w:bidi w:val="0"/>
              <w:spacing w:before="0" w:after="283"/>
              <w:jc w:val="center"/>
              <w:rPr/>
            </w:pPr>
            <w:r>
              <w:rPr/>
              <w:t> </w:t>
            </w:r>
          </w:p>
        </w:tc>
      </w:tr>
      <w:tr>
        <w:trPr/>
        <w:tc>
          <w:tcPr>
            <w:tcW w:w="52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22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Capitalization of R&amp;D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22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Reserves and accruals not currently deductible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22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Fixed assets including right of use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2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gross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771" w:type="dxa"/>
            <w:tcBorders/>
            <w:shd w:fill="FFFFFF" w:val="clear"/>
            <w:vAlign w:val="center"/>
          </w:tcPr>
          <w:p>
            <w:pPr>
              <w:pStyle w:val="TableContents"/>
              <w:bidi w:val="0"/>
              <w:spacing w:before="0" w:after="283"/>
              <w:jc w:val="left"/>
              <w:rPr/>
            </w:pPr>
            <w:r>
              <w:rPr/>
              <w:t> </w:t>
            </w:r>
          </w:p>
        </w:tc>
      </w:tr>
      <w:tr>
        <w:trPr/>
        <w:tc>
          <w:tcPr>
            <w:tcW w:w="52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22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deferred tax assets, net of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1" w:type="dxa"/>
            <w:tcBorders/>
            <w:shd w:fill="FFFFFF" w:val="clear"/>
            <w:vAlign w:val="center"/>
          </w:tcPr>
          <w:p>
            <w:pPr>
              <w:pStyle w:val="TableContents"/>
              <w:bidi w:val="0"/>
              <w:spacing w:before="0" w:after="283"/>
              <w:jc w:val="left"/>
              <w:rPr/>
            </w:pPr>
            <w:r>
              <w:rPr/>
              <w:t> </w:t>
            </w:r>
          </w:p>
        </w:tc>
      </w:tr>
      <w:tr>
        <w:trPr/>
        <w:tc>
          <w:tcPr>
            <w:tcW w:w="52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and equipment, including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2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gross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Beginning January 1, 2022, the United States no longer allows research and development (R&amp;D) expenses to be deducted as current expenditures when calculating taxable income. This change is a result of the Tax Cuts and Job Act enacted in 2017. R&amp;D expenses incurred are subject to capitalization with amortization being allowed based on the location of the incurred expense; domestic United States expenses are amortized over a 5-year period and international expenses are amortized over a 15-year period. The $47</w:t>
      </w:r>
      <w:r>
        <w:rPr>
          <w:rFonts w:ascii="Times New Roman" w:hAnsi="Times New Roman"/>
          <w:color w:val="000000"/>
          <w:sz w:val="20"/>
        </w:rPr>
        <w:t xml:space="preserve"> </w:t>
      </w:r>
      <w:r>
        <w:rPr>
          <w:rFonts w:ascii="Arial" w:hAnsi="Arial"/>
          <w:color w:val="000000"/>
          <w:sz w:val="20"/>
        </w:rPr>
        <w:t>million deferred tax asset recognized above is the net impact of capitalization and amortization expense. The deferred tax asset for reserves and accruals not currently deductible decreased by $2</w:t>
      </w:r>
      <w:r>
        <w:rPr>
          <w:rFonts w:ascii="Times New Roman" w:hAnsi="Times New Roman"/>
          <w:color w:val="000000"/>
          <w:sz w:val="20"/>
        </w:rPr>
        <w:t xml:space="preserve"> </w:t>
      </w:r>
      <w:r>
        <w:rPr>
          <w:rFonts w:ascii="Arial" w:hAnsi="Arial"/>
          <w:color w:val="000000"/>
          <w:sz w:val="20"/>
        </w:rPr>
        <w:t>million in 2023. This change was due in large part to certain criteria being met to allow the expense for tax purposes. Net operating losses increased by $51</w:t>
      </w:r>
      <w:r>
        <w:rPr>
          <w:rFonts w:ascii="Times New Roman" w:hAnsi="Times New Roman"/>
          <w:color w:val="000000"/>
          <w:sz w:val="20"/>
        </w:rPr>
        <w:t xml:space="preserve"> </w:t>
      </w:r>
      <w:r>
        <w:rPr>
          <w:rFonts w:ascii="Arial" w:hAnsi="Arial"/>
          <w:color w:val="000000"/>
          <w:sz w:val="20"/>
        </w:rPr>
        <w:t>million in 2023. The Company has not yet experienced any net operating losses expiring before use. The valuation allowance increased by $62</w:t>
      </w:r>
      <w:r>
        <w:rPr>
          <w:rFonts w:ascii="Times New Roman" w:hAnsi="Times New Roman"/>
          <w:color w:val="000000"/>
          <w:sz w:val="20"/>
        </w:rPr>
        <w:t xml:space="preserve"> </w:t>
      </w:r>
      <w:r>
        <w:rPr>
          <w:rFonts w:ascii="Arial" w:hAnsi="Arial"/>
          <w:color w:val="000000"/>
          <w:sz w:val="20"/>
        </w:rPr>
        <w:t>million in 2023. Most of the Company’s deferred tax assets are offset by valuation allowance as of December 31, 2023.</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table below details the activity of the deferred tax asset valuation allowance:</w:t>
      </w:r>
    </w:p>
    <w:tbl>
      <w:tblPr>
        <w:tblW w:w="8972" w:type="dxa"/>
        <w:jc w:val="left"/>
        <w:tblInd w:w="0" w:type="dxa"/>
        <w:tblLayout w:type="fixed"/>
        <w:tblCellMar>
          <w:top w:w="28" w:type="dxa"/>
          <w:left w:w="28" w:type="dxa"/>
          <w:bottom w:w="28" w:type="dxa"/>
          <w:right w:w="28" w:type="dxa"/>
        </w:tblCellMar>
      </w:tblPr>
      <w:tblGrid>
        <w:gridCol w:w="3586"/>
        <w:gridCol w:w="146"/>
        <w:gridCol w:w="355"/>
        <w:gridCol w:w="711"/>
        <w:gridCol w:w="146"/>
        <w:gridCol w:w="146"/>
        <w:gridCol w:w="402"/>
        <w:gridCol w:w="604"/>
        <w:gridCol w:w="146"/>
        <w:gridCol w:w="146"/>
        <w:gridCol w:w="437"/>
        <w:gridCol w:w="719"/>
        <w:gridCol w:w="146"/>
        <w:gridCol w:w="146"/>
        <w:gridCol w:w="314"/>
        <w:gridCol w:w="631"/>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Balance</w:t>
              <w:br/>
              <w:t>at End of</w:t>
              <w:br/>
              <w:t>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49"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10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 valuation allowance</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10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 valuation allowance</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Due to a history of losses, the Company believes it is not more likely than not that its domestic net deferred tax assets will be realized as of December 31, 2023 or 2022. Accordingly, the Company has established a full valuation allowance on its domestic net deferred tax assets. The Company’s valuation allowance increased $62</w:t>
      </w:r>
      <w:r>
        <w:rPr>
          <w:rFonts w:ascii="Times New Roman" w:hAnsi="Times New Roman"/>
          <w:color w:val="000000"/>
          <w:sz w:val="20"/>
        </w:rPr>
        <w:t xml:space="preserve"> </w:t>
      </w:r>
      <w:r>
        <w:rPr>
          <w:rFonts w:ascii="Arial" w:hAnsi="Arial"/>
          <w:color w:val="000000"/>
          <w:sz w:val="20"/>
        </w:rPr>
        <w:t>million and $61</w:t>
      </w:r>
      <w:r>
        <w:rPr>
          <w:rFonts w:ascii="Times New Roman" w:hAnsi="Times New Roman"/>
          <w:color w:val="000000"/>
          <w:sz w:val="20"/>
        </w:rPr>
        <w:t xml:space="preserve"> </w:t>
      </w:r>
      <w:r>
        <w:rPr>
          <w:rFonts w:ascii="Arial" w:hAnsi="Arial"/>
          <w:color w:val="000000"/>
          <w:sz w:val="20"/>
        </w:rPr>
        <w:t>million during the years ended December 31, 2023 and 2022,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intends to reinvest substantially all of its foreign subsidiary earnings indefinitely outside of the U.S. Due to the one-time transition tax and the imposition of the Global Intangible Low-Tax Income provisions, all previously unremitted earnings will no longer be subject to U.S. Federal income tax; however, there could be foreign withholding taxes upon distribution of such unremitted earnings. It is not practical to estimate this liability at this time.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2023, the Company had federal net operating loss carryforwards available to reduce future taxable income, if any, of $886</w:t>
      </w:r>
      <w:r>
        <w:rPr>
          <w:rFonts w:ascii="Times New Roman" w:hAnsi="Times New Roman"/>
          <w:color w:val="000000"/>
          <w:sz w:val="20"/>
        </w:rPr>
        <w:t xml:space="preserve"> </w:t>
      </w:r>
      <w:r>
        <w:rPr>
          <w:rFonts w:ascii="Arial" w:hAnsi="Arial"/>
          <w:color w:val="000000"/>
          <w:sz w:val="20"/>
        </w:rPr>
        <w:t>million that begin to expire in 2030 and continue to expire through 2037 and $1.9</w:t>
      </w:r>
      <w:r>
        <w:rPr>
          <w:rFonts w:ascii="Times New Roman" w:hAnsi="Times New Roman"/>
          <w:color w:val="000000"/>
          <w:sz w:val="20"/>
        </w:rPr>
        <w:t xml:space="preserve"> </w:t>
      </w:r>
      <w:r>
        <w:rPr>
          <w:rFonts w:ascii="Arial" w:hAnsi="Arial"/>
          <w:color w:val="000000"/>
          <w:sz w:val="20"/>
        </w:rPr>
        <w:t>billion that have an unlimited carryover period. As of December 31, 2023, the Company had state net operating loss carryforwards available to reduce future taxable income, if any, of $7.0</w:t>
      </w:r>
      <w:r>
        <w:rPr>
          <w:rFonts w:ascii="Times New Roman" w:hAnsi="Times New Roman"/>
          <w:color w:val="000000"/>
          <w:sz w:val="20"/>
        </w:rPr>
        <w:t xml:space="preserve"> </w:t>
      </w:r>
      <w:r>
        <w:rPr>
          <w:rFonts w:ascii="Arial" w:hAnsi="Arial"/>
          <w:color w:val="000000"/>
          <w:sz w:val="20"/>
        </w:rPr>
        <w:t>billion that begin to expire in 2026 and continue to expire through 2043 and $2.0</w:t>
      </w:r>
      <w:r>
        <w:rPr>
          <w:rFonts w:ascii="Times New Roman" w:hAnsi="Times New Roman"/>
          <w:color w:val="000000"/>
          <w:sz w:val="20"/>
        </w:rPr>
        <w:t xml:space="preserve"> </w:t>
      </w:r>
      <w:r>
        <w:rPr>
          <w:rFonts w:ascii="Arial" w:hAnsi="Arial"/>
          <w:color w:val="000000"/>
          <w:sz w:val="20"/>
        </w:rPr>
        <w:t>billion that have an unlimited carryover period.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Utilization of net operating loss carryforwards may be subject to future annual limitations due to the ownership change limitations provided by Section 382 of the Internal Revenue Code and similar state provisions.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reconciliation of the beginning and ending amount of unrecognized tax benefits is as follows:</w:t>
      </w:r>
    </w:p>
    <w:p>
      <w:pPr>
        <w:pStyle w:val="TextBody"/>
        <w:bidi w:val="0"/>
        <w:jc w:val="both"/>
        <w:rPr/>
      </w:pPr>
      <w:r>
        <w:rPr/>
        <w:t> </w:t>
      </w:r>
    </w:p>
    <w:tbl>
      <w:tblPr>
        <w:tblW w:w="7105" w:type="dxa"/>
        <w:jc w:val="left"/>
        <w:tblInd w:w="0" w:type="dxa"/>
        <w:tblLayout w:type="fixed"/>
        <w:tblCellMar>
          <w:top w:w="28" w:type="dxa"/>
          <w:left w:w="28" w:type="dxa"/>
          <w:bottom w:w="28" w:type="dxa"/>
          <w:right w:w="28" w:type="dxa"/>
        </w:tblCellMar>
      </w:tblPr>
      <w:tblGrid>
        <w:gridCol w:w="3986"/>
        <w:gridCol w:w="146"/>
        <w:gridCol w:w="391"/>
        <w:gridCol w:w="502"/>
        <w:gridCol w:w="307"/>
        <w:gridCol w:w="270"/>
        <w:gridCol w:w="391"/>
        <w:gridCol w:w="641"/>
        <w:gridCol w:w="471"/>
      </w:tblGrid>
      <w:tr>
        <w:trPr/>
        <w:tc>
          <w:tcPr>
            <w:tcW w:w="3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January 1</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0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9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Additions for tax positions of current year</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0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9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Additions for tax positions of prior years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0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9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Decreases for tax positions of prior years</w:t>
            </w:r>
          </w:p>
        </w:tc>
        <w:tc>
          <w:tcPr>
            <w:tcW w:w="146" w:type="dxa"/>
            <w:tcBorders/>
            <w:shd w:fill="FFFFFF" w:val="cle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0" w:type="dxa"/>
            <w:tcBorders/>
            <w:shd w:fill="FFFFFF" w:val="cle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w:t>
            </w:r>
          </w:p>
        </w:tc>
        <w:tc>
          <w:tcPr>
            <w:tcW w:w="146" w:type="dxa"/>
            <w:tcBorders/>
            <w:shd w:fill="CFF0FC" w:val="cle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$4</w:t>
      </w:r>
      <w:r>
        <w:rPr>
          <w:rFonts w:ascii="Times New Roman" w:hAnsi="Times New Roman"/>
          <w:color w:val="000000"/>
          <w:sz w:val="20"/>
        </w:rPr>
        <w:t xml:space="preserve"> </w:t>
      </w:r>
      <w:r>
        <w:rPr>
          <w:rFonts w:ascii="Arial" w:hAnsi="Arial"/>
          <w:color w:val="000000"/>
          <w:sz w:val="20"/>
        </w:rPr>
        <w:t>million of unrecognized tax benefit as of December 31, 2023 will impact the Company’s effective tax rate when it is subsequently recognized. The Company had unrecognized tax benefit as of December 31, 2022 of $9</w:t>
      </w:r>
      <w:r>
        <w:rPr>
          <w:rFonts w:ascii="Times New Roman" w:hAnsi="Times New Roman"/>
          <w:color w:val="000000"/>
          <w:sz w:val="20"/>
        </w:rPr>
        <w:t xml:space="preserve"> </w:t>
      </w:r>
      <w:r>
        <w:rPr>
          <w:rFonts w:ascii="Arial" w:hAnsi="Arial"/>
          <w:color w:val="000000"/>
          <w:sz w:val="20"/>
        </w:rPr>
        <w:t>million. Interest and penalties incurred during the year ended December 31, 2023 were insignificant. The Company classifies interest and penalties as part of operating expenses. No</w:t>
      </w:r>
      <w:r>
        <w:rPr>
          <w:rFonts w:ascii="Times New Roman" w:hAnsi="Times New Roman"/>
          <w:color w:val="000000"/>
          <w:sz w:val="20"/>
        </w:rPr>
        <w:t xml:space="preserve"> </w:t>
      </w:r>
      <w:r>
        <w:rPr>
          <w:rFonts w:ascii="Arial" w:hAnsi="Arial"/>
          <w:color w:val="000000"/>
          <w:sz w:val="20"/>
        </w:rPr>
        <w:t>interest or penalties were incurred during the year ended December 31, 2022. The decrease from 2022 to 2023 is due to clarifying guidance issued by the Internal Revenue Service regarding certain costs that may require capitalization. The Company does not anticipate that the amount of unrecognized tax benefit will significantly change within the next twelve months.</w:t>
      </w:r>
    </w:p>
    <w:p>
      <w:pPr>
        <w:pStyle w:val="TextBody"/>
        <w:bidi w:val="0"/>
        <w:spacing w:before="180" w:after="283"/>
        <w:jc w:val="both"/>
        <w:rPr>
          <w:rFonts w:ascii="Times New Roman" w:hAnsi="Times New Roman"/>
          <w:sz w:val="20"/>
        </w:rPr>
      </w:pPr>
      <w:r>
        <w:rPr>
          <w:rFonts w:ascii="Arial" w:hAnsi="Arial"/>
          <w:color w:val="000000"/>
          <w:sz w:val="20"/>
        </w:rPr>
        <w:t>The Company files income tax returns in the U.S. federal jurisdiction, and various state and foreign jurisdictions. The Company is not currently under examination by income tax authorities in federal or other jurisdictions, with the exception of one state.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recent years the United States has enacted new tax legislations (the American Rescue Act, CHIPS and Science Act, and the Inflation Reduction Act). Due to the Company’s net operating losses for both accounting and tax purposes, the new tax legislations do not have a material impact on the Company’s provision for income taxes.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aps/>
          <w:color w:val="000000"/>
          <w:sz w:val="20"/>
        </w:rPr>
        <w:t>10. Net loss per share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August 9, 2022, the Company computed net loss per share attributable to common stockholders using the two-class method required for multiple classes of common stock and participating securities. The rights, including the liquidation and dividend rights, of the holders of Class A and Class B common stock were identical, except with respect to voting. As the liquidation and dividend rights were identical, the Company’s undistributed earnings or losses were allocated on a proportionate basis among the holders of both Class A and Class B common stock. As a result, the net loss per share attributed to common stockholders was, therefore, the same for both Class A and Class B common stock on an individual or combined basis.</w:t>
      </w:r>
    </w:p>
    <w:p>
      <w:pPr>
        <w:pStyle w:val="TextBody"/>
        <w:bidi w:val="0"/>
        <w:spacing w:before="180" w:after="283"/>
        <w:jc w:val="both"/>
        <w:rPr>
          <w:rFonts w:ascii="Arial" w:hAnsi="Arial"/>
          <w:color w:val="000000"/>
          <w:sz w:val="20"/>
        </w:rPr>
      </w:pPr>
      <w:r>
        <w:rPr>
          <w:rFonts w:ascii="Arial" w:hAnsi="Arial"/>
          <w:color w:val="000000"/>
          <w:sz w:val="20"/>
        </w:rPr>
        <w:t>Effective August 9, 2022, all Class B common stock were converted to Class A common stock. Net loss per share for the years ended December 31, 2023 and 2022 were not affected by the conversion.</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computation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5722"/>
        <w:gridCol w:w="146"/>
        <w:gridCol w:w="384"/>
        <w:gridCol w:w="1264"/>
        <w:gridCol w:w="302"/>
        <w:gridCol w:w="265"/>
        <w:gridCol w:w="384"/>
        <w:gridCol w:w="1264"/>
        <w:gridCol w:w="474"/>
      </w:tblGrid>
      <w:tr>
        <w:trPr/>
        <w:tc>
          <w:tcPr>
            <w:tcW w:w="5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474" w:type="dxa"/>
            <w:tcBorders/>
            <w:shd w:fill="FFFFFF" w:val="clear"/>
            <w:vAlign w:val="center"/>
          </w:tcPr>
          <w:p>
            <w:pPr>
              <w:pStyle w:val="TableContents"/>
              <w:bidi w:val="0"/>
              <w:spacing w:before="0" w:after="283"/>
              <w:jc w:val="center"/>
              <w:rPr/>
            </w:pPr>
            <w:r>
              <w:rPr/>
              <w:t> </w:t>
            </w:r>
          </w:p>
        </w:tc>
      </w:tr>
      <w:tr>
        <w:trPr/>
        <w:tc>
          <w:tcPr>
            <w:tcW w:w="572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648" w:type="dxa"/>
            <w:gridSpan w:val="2"/>
            <w:tcBorders/>
            <w:shd w:fill="CFF0FC" w:val="clear"/>
            <w:vAlign w:val="center"/>
          </w:tcPr>
          <w:p>
            <w:pPr>
              <w:pStyle w:val="TableContents"/>
              <w:bidi w:val="0"/>
              <w:spacing w:before="0" w:after="283"/>
              <w:jc w:val="right"/>
              <w:rPr/>
            </w:pPr>
            <w:r>
              <w:rPr/>
              <w:t> </w:t>
            </w:r>
          </w:p>
        </w:tc>
        <w:tc>
          <w:tcPr>
            <w:tcW w:w="302"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1648" w:type="dxa"/>
            <w:gridSpan w:val="2"/>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ind w:left="0" w:right="0" w:firstLine="280"/>
              <w:jc w:val="right"/>
              <w:rPr/>
            </w:pPr>
            <w:r>
              <w:rPr/>
              <w:t> </w:t>
            </w:r>
          </w:p>
        </w:tc>
      </w:tr>
      <w:tr>
        <w:trPr/>
        <w:tc>
          <w:tcPr>
            <w:tcW w:w="57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2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648" w:type="dxa"/>
            <w:gridSpan w:val="2"/>
            <w:tcBorders/>
            <w:shd w:fill="CFF0FC" w:val="clear"/>
            <w:vAlign w:val="center"/>
          </w:tcPr>
          <w:p>
            <w:pPr>
              <w:pStyle w:val="TableContents"/>
              <w:bidi w:val="0"/>
              <w:spacing w:before="0" w:after="283"/>
              <w:jc w:val="right"/>
              <w:rPr/>
            </w:pPr>
            <w:r>
              <w:rPr/>
              <w:t> </w:t>
            </w:r>
          </w:p>
        </w:tc>
        <w:tc>
          <w:tcPr>
            <w:tcW w:w="302"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1648" w:type="dxa"/>
            <w:gridSpan w:val="2"/>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ind w:left="0" w:right="0" w:firstLine="280"/>
              <w:jc w:val="right"/>
              <w:rPr/>
            </w:pPr>
            <w:r>
              <w:rPr/>
              <w:t> </w:t>
            </w:r>
          </w:p>
        </w:tc>
      </w:tr>
      <w:tr>
        <w:trPr/>
        <w:tc>
          <w:tcPr>
            <w:tcW w:w="57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23,732</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22,415</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(13.36</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shd w:fill="CFF0FC" w:val="cle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(17.13</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color w:val="000000"/>
          <w:sz w:val="20"/>
        </w:rPr>
        <w:t>The following outstanding shares of potentially dilutive securities were excluded from the computation of diluted net loss per share because including them would have had an anti-dilutive effect:</w:t>
      </w:r>
      <w:r>
        <w:rPr>
          <w:rFonts w:ascii="Times New Roman" w:hAnsi="Times New Roman"/>
          <w:color w:val="000000"/>
          <w:sz w:val="20"/>
        </w:rPr>
        <w:t xml:space="preserve"> </w:t>
      </w:r>
    </w:p>
    <w:p>
      <w:pPr>
        <w:pStyle w:val="TextBody"/>
        <w:bidi w:val="0"/>
        <w:jc w:val="both"/>
        <w:rPr/>
      </w:pPr>
      <w:r>
        <w:rPr/>
        <w:t> </w:t>
      </w:r>
    </w:p>
    <w:tbl>
      <w:tblPr>
        <w:tblW w:w="5994" w:type="dxa"/>
        <w:jc w:val="left"/>
        <w:tblInd w:w="0" w:type="dxa"/>
        <w:tblLayout w:type="fixed"/>
        <w:tblCellMar>
          <w:top w:w="28" w:type="dxa"/>
          <w:left w:w="28" w:type="dxa"/>
          <w:bottom w:w="28" w:type="dxa"/>
          <w:right w:w="28" w:type="dxa"/>
        </w:tblCellMar>
      </w:tblPr>
      <w:tblGrid>
        <w:gridCol w:w="3901"/>
        <w:gridCol w:w="146"/>
        <w:gridCol w:w="146"/>
        <w:gridCol w:w="586"/>
        <w:gridCol w:w="146"/>
        <w:gridCol w:w="146"/>
        <w:gridCol w:w="146"/>
        <w:gridCol w:w="58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2,399</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aps/>
          <w:color w:val="000000"/>
          <w:sz w:val="20"/>
        </w:rPr>
        <w:t>11. GEOGRAPHICAL INFORMATION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believes it is relevant to disclose geographical revenue information on both a demand basis, determined by the ship-to address of the user, and on a supply basis, determined by the location of the merchants’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Core marketplace revenue by geographic area based on the ship-to address of the user is as follows:</w:t>
      </w:r>
    </w:p>
    <w:tbl>
      <w:tblPr>
        <w:tblW w:w="6912" w:type="dxa"/>
        <w:jc w:val="left"/>
        <w:tblInd w:w="0" w:type="dxa"/>
        <w:tblLayout w:type="fixed"/>
        <w:tblCellMar>
          <w:top w:w="28" w:type="dxa"/>
          <w:left w:w="28" w:type="dxa"/>
          <w:bottom w:w="28" w:type="dxa"/>
          <w:right w:w="28" w:type="dxa"/>
        </w:tblCellMar>
      </w:tblPr>
      <w:tblGrid>
        <w:gridCol w:w="2846"/>
        <w:gridCol w:w="146"/>
        <w:gridCol w:w="211"/>
        <w:gridCol w:w="316"/>
        <w:gridCol w:w="146"/>
        <w:gridCol w:w="146"/>
        <w:gridCol w:w="146"/>
        <w:gridCol w:w="421"/>
        <w:gridCol w:w="286"/>
        <w:gridCol w:w="146"/>
        <w:gridCol w:w="211"/>
        <w:gridCol w:w="421"/>
        <w:gridCol w:w="146"/>
        <w:gridCol w:w="146"/>
        <w:gridCol w:w="146"/>
        <w:gridCol w:w="421"/>
        <w:gridCol w:w="61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9"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11" w:type="dxa"/>
            <w:tcBorders/>
            <w:shd w:fill="FFFFFF" w:val="clear"/>
            <w:vAlign w:val="center"/>
          </w:tcPr>
          <w:p>
            <w:pPr>
              <w:pStyle w:val="TableContents"/>
              <w:bidi w:val="0"/>
              <w:spacing w:before="0" w:after="283"/>
              <w:jc w:val="center"/>
              <w:rPr/>
            </w:pPr>
            <w:r>
              <w:rPr/>
              <w:t> </w:t>
            </w:r>
          </w:p>
        </w:tc>
      </w:tr>
      <w:tr>
        <w:trPr/>
        <w:tc>
          <w:tcPr>
            <w:tcW w:w="28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North America</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6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South America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46"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Core marketplace revenue</w:t>
            </w:r>
            <w:r>
              <w:rPr>
                <w:rFonts w:ascii="Arial" w:hAnsi="Arial"/>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United States accounted for $22</w:t>
      </w:r>
      <w:r>
        <w:rPr>
          <w:rFonts w:ascii="Arial" w:hAnsi="Arial"/>
          <w:color w:val="000000"/>
          <w:sz w:val="20"/>
        </w:rPr>
        <w:t xml:space="preserve"> </w:t>
      </w:r>
      <w:r>
        <w:rPr>
          <w:rFonts w:ascii="Arial" w:hAnsi="Arial"/>
          <w:color w:val="000000"/>
          <w:sz w:val="16"/>
        </w:rPr>
        <w:t>million and $83</w:t>
      </w:r>
      <w:r>
        <w:rPr>
          <w:rFonts w:ascii="Arial" w:hAnsi="Arial"/>
          <w:color w:val="000000"/>
          <w:sz w:val="20"/>
        </w:rPr>
        <w:t xml:space="preserve"> </w:t>
      </w:r>
      <w:r>
        <w:rPr>
          <w:rFonts w:ascii="Arial" w:hAnsi="Arial"/>
          <w:color w:val="000000"/>
          <w:sz w:val="16"/>
        </w:rPr>
        <w:t>million of core marketplace revenue for the years ended December 31, 2023 and 2022, respectively.</w:t>
      </w:r>
      <w:r>
        <w:rPr>
          <w:rFonts w:ascii="Arial" w:hAnsi="Arial"/>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Core marketplace revenue included a net loss of $3</w:t>
      </w:r>
      <w:r>
        <w:rPr>
          <w:rFonts w:ascii="Arial" w:hAnsi="Arial"/>
          <w:color w:val="000000"/>
          <w:sz w:val="20"/>
        </w:rPr>
        <w:t xml:space="preserve"> </w:t>
      </w:r>
      <w:r>
        <w:rPr>
          <w:rFonts w:ascii="Arial" w:hAnsi="Arial"/>
          <w:color w:val="000000"/>
          <w:sz w:val="16"/>
        </w:rPr>
        <w:t>million for the year ended December 31, 2023 and a net loss of $6</w:t>
      </w:r>
      <w:r>
        <w:rPr>
          <w:rFonts w:ascii="Arial" w:hAnsi="Arial"/>
          <w:color w:val="000000"/>
          <w:sz w:val="20"/>
        </w:rPr>
        <w:t xml:space="preserve"> </w:t>
      </w:r>
      <w:r>
        <w:rPr>
          <w:rFonts w:ascii="Arial" w:hAnsi="Arial"/>
          <w:color w:val="000000"/>
          <w:sz w:val="16"/>
        </w:rPr>
        <w:t>million for the year ended December 31, 2022, from the Company’s cash flow hedging program.</w:t>
      </w:r>
    </w:p>
    <w:p>
      <w:pPr>
        <w:pStyle w:val="TextBody"/>
        <w:bidi w:val="0"/>
        <w:spacing w:before="180" w:after="283"/>
        <w:jc w:val="both"/>
        <w:rPr>
          <w:rFonts w:ascii="Arial" w:hAnsi="Arial"/>
          <w:color w:val="000000"/>
          <w:sz w:val="20"/>
        </w:rPr>
      </w:pPr>
      <w:r>
        <w:rPr>
          <w:rFonts w:ascii="Arial" w:hAnsi="Arial"/>
          <w:color w:val="000000"/>
          <w:sz w:val="20"/>
        </w:rPr>
        <w:t>China accounted for substantially all of marketplace and logistics revenue in 2023 and 2022, respectively, based on the location of the merchants’ operations. Marketplace and logistics revenue from merchants based in the United States was immaterial in all years presented.</w:t>
      </w:r>
    </w:p>
    <w:p>
      <w:pPr>
        <w:pStyle w:val="TextBody"/>
        <w:bidi w:val="0"/>
        <w:spacing w:before="180" w:after="283"/>
        <w:jc w:val="both"/>
        <w:rPr>
          <w:rFonts w:ascii="Arial" w:hAnsi="Arial"/>
          <w:color w:val="000000"/>
          <w:sz w:val="20"/>
        </w:rPr>
      </w:pPr>
      <w:r>
        <w:rPr>
          <w:rFonts w:ascii="Arial" w:hAnsi="Arial"/>
          <w:color w:val="000000"/>
          <w:sz w:val="20"/>
        </w:rPr>
        <w:t>The Company’s long-lived tangible assets, which consist of property and equipment, net, and operating lease right-of-use assets, net, is as follows:</w:t>
      </w:r>
    </w:p>
    <w:p>
      <w:pPr>
        <w:pStyle w:val="TextBody"/>
        <w:bidi w:val="0"/>
        <w:jc w:val="both"/>
        <w:rPr/>
      </w:pPr>
      <w:r>
        <w:rPr/>
        <w:t> </w:t>
      </w:r>
    </w:p>
    <w:tbl>
      <w:tblPr>
        <w:tblW w:w="9372" w:type="dxa"/>
        <w:jc w:val="left"/>
        <w:tblInd w:w="0" w:type="dxa"/>
        <w:tblLayout w:type="fixed"/>
        <w:tblCellMar>
          <w:top w:w="28" w:type="dxa"/>
          <w:left w:w="28" w:type="dxa"/>
          <w:bottom w:w="28" w:type="dxa"/>
          <w:right w:w="28" w:type="dxa"/>
        </w:tblCellMar>
      </w:tblPr>
      <w:tblGrid>
        <w:gridCol w:w="5381"/>
        <w:gridCol w:w="146"/>
        <w:gridCol w:w="211"/>
        <w:gridCol w:w="346"/>
        <w:gridCol w:w="146"/>
        <w:gridCol w:w="146"/>
        <w:gridCol w:w="146"/>
        <w:gridCol w:w="421"/>
        <w:gridCol w:w="286"/>
        <w:gridCol w:w="146"/>
        <w:gridCol w:w="211"/>
        <w:gridCol w:w="316"/>
        <w:gridCol w:w="146"/>
        <w:gridCol w:w="146"/>
        <w:gridCol w:w="146"/>
        <w:gridCol w:w="421"/>
        <w:gridCol w:w="611"/>
      </w:tblGrid>
      <w:tr>
        <w:trPr/>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4"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w:t>
            </w:r>
          </w:p>
        </w:tc>
        <w:tc>
          <w:tcPr>
            <w:tcW w:w="611" w:type="dxa"/>
            <w:tcBorders/>
            <w:shd w:fill="FFFFFF" w:val="clear"/>
            <w:vAlign w:val="center"/>
          </w:tcPr>
          <w:p>
            <w:pPr>
              <w:pStyle w:val="TableContents"/>
              <w:bidi w:val="0"/>
              <w:spacing w:before="0" w:after="283"/>
              <w:jc w:val="center"/>
              <w:rPr/>
            </w:pPr>
            <w:r>
              <w:rPr/>
              <w:t> </w:t>
            </w:r>
          </w:p>
        </w:tc>
      </w:tr>
      <w:tr>
        <w:trPr/>
        <w:tc>
          <w:tcPr>
            <w:tcW w:w="5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3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property and equipment, net and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Other long-lived tangible assets were located in Canada and the Netherlands.</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aps/>
          <w:color w:val="000000"/>
          <w:sz w:val="20"/>
        </w:rPr>
      </w:pPr>
      <w:r>
        <w:rPr>
          <w:rFonts w:ascii="Arial" w:hAnsi="Arial"/>
          <w:b/>
          <w:caps/>
          <w:color w:val="000000"/>
          <w:sz w:val="20"/>
        </w:rPr>
        <w:t>12. ReDUCTIONS IN WORKFORCE</w:t>
      </w:r>
    </w:p>
    <w:p>
      <w:pPr>
        <w:pStyle w:val="TextBody"/>
        <w:bidi w:val="0"/>
        <w:spacing w:before="180" w:after="283"/>
        <w:jc w:val="both"/>
        <w:rPr>
          <w:rFonts w:ascii="Times New Roman" w:hAnsi="Times New Roman"/>
          <w:sz w:val="20"/>
        </w:rPr>
      </w:pPr>
      <w:r>
        <w:rPr>
          <w:rFonts w:ascii="Arial" w:hAnsi="Arial"/>
          <w:color w:val="000000"/>
          <w:sz w:val="20"/>
        </w:rPr>
        <w:t>In February 2022, the Company’s Board approved the February 2022 Restructuring Plan (“2022 Restructuring Plan”) to refocus the Company’s operations to support sustainable long-term growth, better align resources, and improve operational efficiencies. The 2022 Restructuring Plan included i) the reduction of the Company’s headcount by approximately 15% (or approximately 190</w:t>
      </w:r>
      <w:r>
        <w:rPr>
          <w:rFonts w:ascii="Times New Roman" w:hAnsi="Times New Roman"/>
          <w:color w:val="000000"/>
          <w:sz w:val="20"/>
        </w:rPr>
        <w:t xml:space="preserve"> </w:t>
      </w:r>
      <w:r>
        <w:rPr>
          <w:rFonts w:ascii="Arial" w:hAnsi="Arial"/>
          <w:color w:val="000000"/>
          <w:sz w:val="20"/>
        </w:rPr>
        <w:t>positions), ii) the exit from various office leases, and iii) the reduction and realignment of vendor expenditures. In connection with the 2022 Restructuring Plan, the Company incurred charges of approximately $3</w:t>
      </w:r>
      <w:r>
        <w:rPr>
          <w:rFonts w:ascii="Times New Roman" w:hAnsi="Times New Roman"/>
          <w:color w:val="000000"/>
          <w:sz w:val="20"/>
        </w:rPr>
        <w:t xml:space="preserve"> </w:t>
      </w:r>
      <w:r>
        <w:rPr>
          <w:rFonts w:ascii="Arial" w:hAnsi="Arial"/>
          <w:color w:val="000000"/>
          <w:sz w:val="20"/>
        </w:rPr>
        <w:t>million in severance and other personnel reduction costs for terminated employees and $11</w:t>
      </w:r>
      <w:r>
        <w:rPr>
          <w:rFonts w:ascii="Times New Roman" w:hAnsi="Times New Roman"/>
          <w:color w:val="000000"/>
          <w:sz w:val="20"/>
        </w:rPr>
        <w:t xml:space="preserve"> </w:t>
      </w:r>
      <w:r>
        <w:rPr>
          <w:rFonts w:ascii="Arial" w:hAnsi="Arial"/>
          <w:color w:val="000000"/>
          <w:sz w:val="20"/>
        </w:rPr>
        <w:t>million in impairments of leased assets and property and equipment. All related severance payments were paid as of December 31, 2022.</w:t>
      </w:r>
    </w:p>
    <w:p>
      <w:pPr>
        <w:pStyle w:val="TextBody"/>
        <w:bidi w:val="0"/>
        <w:spacing w:before="180" w:after="283"/>
        <w:jc w:val="both"/>
        <w:rPr>
          <w:rFonts w:ascii="Times New Roman" w:hAnsi="Times New Roman"/>
          <w:sz w:val="20"/>
        </w:rPr>
      </w:pPr>
      <w:r>
        <w:rPr>
          <w:rFonts w:ascii="Arial" w:hAnsi="Arial"/>
          <w:color w:val="000000"/>
          <w:sz w:val="20"/>
        </w:rPr>
        <w:t>In January 2023 and August 2023, the Company announced plans to reduce its workforce by up to 150</w:t>
      </w:r>
      <w:r>
        <w:rPr>
          <w:rFonts w:ascii="Times New Roman" w:hAnsi="Times New Roman"/>
          <w:color w:val="000000"/>
          <w:sz w:val="20"/>
        </w:rPr>
        <w:t xml:space="preserve"> </w:t>
      </w:r>
      <w:r>
        <w:rPr>
          <w:rFonts w:ascii="Arial" w:hAnsi="Arial"/>
          <w:color w:val="000000"/>
          <w:sz w:val="20"/>
        </w:rPr>
        <w:t>and 255</w:t>
      </w:r>
      <w:r>
        <w:rPr>
          <w:rFonts w:ascii="Times New Roman" w:hAnsi="Times New Roman"/>
          <w:color w:val="000000"/>
          <w:sz w:val="20"/>
        </w:rPr>
        <w:t xml:space="preserve"> </w:t>
      </w:r>
      <w:r>
        <w:rPr>
          <w:rFonts w:ascii="Arial" w:hAnsi="Arial"/>
          <w:color w:val="000000"/>
          <w:sz w:val="20"/>
        </w:rPr>
        <w:t>employees, respectively, representing approximately 17% and 34%, respectively, of the Company’s then global workforce (“2023 RIFs”). In connection with the 2023 RIFs, the Company incurred charges of approximately $13</w:t>
      </w:r>
      <w:r>
        <w:rPr>
          <w:rFonts w:ascii="Times New Roman" w:hAnsi="Times New Roman"/>
          <w:color w:val="000000"/>
          <w:sz w:val="20"/>
        </w:rPr>
        <w:t xml:space="preserve"> </w:t>
      </w:r>
      <w:r>
        <w:rPr>
          <w:rFonts w:ascii="Arial" w:hAnsi="Arial"/>
          <w:color w:val="000000"/>
          <w:sz w:val="20"/>
        </w:rPr>
        <w:t>million in severance and other personnel reductions costs for terminated employees. The 2023 RIFs were intended to refocus the Company’s operations to support its ongoing business prioritization efforts, better align resources, and improve operational efficiencies. Substantially all related severance payments were paid as of December 31, 2023.</w:t>
      </w:r>
    </w:p>
    <w:p>
      <w:pPr>
        <w:pStyle w:val="TextBody"/>
        <w:bidi w:val="0"/>
        <w:spacing w:before="180" w:after="283"/>
        <w:jc w:val="both"/>
        <w:rPr>
          <w:rFonts w:ascii="Arial" w:hAnsi="Arial"/>
          <w:color w:val="000000"/>
          <w:sz w:val="20"/>
        </w:rPr>
      </w:pPr>
      <w:r>
        <w:rPr>
          <w:rFonts w:ascii="Arial" w:hAnsi="Arial"/>
          <w:color w:val="000000"/>
          <w:sz w:val="20"/>
        </w:rPr>
        <w:t>The 2023 RIFs were intended to refocus the Company’s operations to support its ongoing business prioritization efforts, better align resources, and improve operational efficiencies. Total severance and other personnel reduction costs included in the consolidated statements of operations are as follows:</w:t>
      </w:r>
    </w:p>
    <w:p>
      <w:pPr>
        <w:pStyle w:val="TextBody"/>
        <w:bidi w:val="0"/>
        <w:spacing w:before="180" w:after="283"/>
        <w:jc w:val="both"/>
        <w:rPr/>
      </w:pPr>
      <w:r>
        <w:rPr/>
        <w:t> </w:t>
      </w:r>
    </w:p>
    <w:tbl>
      <w:tblPr>
        <w:tblW w:w="8003" w:type="dxa"/>
        <w:jc w:val="left"/>
        <w:tblInd w:w="0" w:type="dxa"/>
        <w:tblLayout w:type="fixed"/>
        <w:tblCellMar>
          <w:top w:w="28" w:type="dxa"/>
          <w:left w:w="28" w:type="dxa"/>
          <w:bottom w:w="28" w:type="dxa"/>
          <w:right w:w="28" w:type="dxa"/>
        </w:tblCellMar>
      </w:tblPr>
      <w:tblGrid>
        <w:gridCol w:w="4681"/>
        <w:gridCol w:w="146"/>
        <w:gridCol w:w="1193"/>
        <w:gridCol w:w="1792"/>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91"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left"/>
              <w:rPr/>
            </w:pPr>
            <w:r>
              <w:rPr/>
              <w:t> </w:t>
            </w:r>
          </w:p>
        </w:tc>
        <w:tc>
          <w:tcPr>
            <w:tcW w:w="17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9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severance and other personnel reduction costs</w:t>
            </w:r>
          </w:p>
        </w:tc>
        <w:tc>
          <w:tcPr>
            <w:tcW w:w="146" w:type="dxa"/>
            <w:tcBorders/>
            <w:shd w:fill="CFF0FC" w:val="cle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following table is a summary of the changes in severance and other personnel reduction liabilities, included within accrued liabilities on the consolidated balance sheet as of December 31, 2023, in connection with each of the 2023 RIFs:</w:t>
      </w:r>
    </w:p>
    <w:p>
      <w:pPr>
        <w:pStyle w:val="TextBody"/>
        <w:bidi w:val="0"/>
        <w:spacing w:before="180" w:after="283"/>
        <w:jc w:val="both"/>
        <w:rPr/>
      </w:pPr>
      <w:r>
        <w:rPr/>
        <w:t> </w:t>
      </w:r>
    </w:p>
    <w:tbl>
      <w:tblPr>
        <w:tblW w:w="7780" w:type="dxa"/>
        <w:jc w:val="left"/>
        <w:tblInd w:w="0" w:type="dxa"/>
        <w:tblLayout w:type="fixed"/>
        <w:tblCellMar>
          <w:top w:w="28" w:type="dxa"/>
          <w:left w:w="28" w:type="dxa"/>
          <w:bottom w:w="28" w:type="dxa"/>
          <w:right w:w="28" w:type="dxa"/>
        </w:tblCellMar>
      </w:tblPr>
      <w:tblGrid>
        <w:gridCol w:w="4496"/>
        <w:gridCol w:w="146"/>
        <w:gridCol w:w="459"/>
        <w:gridCol w:w="756"/>
        <w:gridCol w:w="166"/>
        <w:gridCol w:w="146"/>
        <w:gridCol w:w="409"/>
        <w:gridCol w:w="731"/>
        <w:gridCol w:w="471"/>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January RIF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August RIF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4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Severance and other personnel reduction costs</w:t>
            </w:r>
          </w:p>
        </w:tc>
        <w:tc>
          <w:tcPr>
            <w:tcW w:w="146"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payments during the period</w:t>
            </w:r>
          </w:p>
        </w:tc>
        <w:tc>
          <w:tcPr>
            <w:tcW w:w="146" w:type="dxa"/>
            <w:tcBorders/>
            <w:shd w:fill="CFF0FC" w:val="cle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Arial" w:hAnsi="Arial"/>
          <w:b/>
          <w:caps/>
          <w:color w:val="000000"/>
          <w:sz w:val="20"/>
        </w:rPr>
      </w:pPr>
      <w:r>
        <w:rPr>
          <w:rFonts w:ascii="Arial" w:hAnsi="Arial"/>
          <w:b/>
          <w:caps/>
          <w:color w:val="000000"/>
          <w:sz w:val="20"/>
        </w:rPr>
        <w:t>13. Subsequent Events</w:t>
      </w:r>
    </w:p>
    <w:p>
      <w:pPr>
        <w:pStyle w:val="TextBody"/>
        <w:bidi w:val="0"/>
        <w:spacing w:before="180" w:after="283"/>
        <w:jc w:val="both"/>
        <w:rPr>
          <w:rFonts w:ascii="Arial" w:hAnsi="Arial"/>
          <w:b/>
          <w:i/>
          <w:color w:val="000000"/>
          <w:sz w:val="20"/>
        </w:rPr>
      </w:pPr>
      <w:r>
        <w:rPr>
          <w:rFonts w:ascii="Arial" w:hAnsi="Arial"/>
          <w:b/>
          <w:i/>
          <w:color w:val="000000"/>
          <w:sz w:val="20"/>
        </w:rPr>
        <w:t>Asset Purchase Agreement</w:t>
      </w:r>
    </w:p>
    <w:p>
      <w:pPr>
        <w:pStyle w:val="TextBody"/>
        <w:bidi w:val="0"/>
        <w:spacing w:before="180" w:after="283"/>
        <w:jc w:val="both"/>
        <w:rPr>
          <w:rFonts w:ascii="Times New Roman" w:hAnsi="Times New Roman"/>
          <w:sz w:val="20"/>
        </w:rPr>
      </w:pPr>
      <w:r>
        <w:rPr>
          <w:rFonts w:ascii="Arial" w:hAnsi="Arial"/>
          <w:color w:val="000000"/>
          <w:sz w:val="20"/>
        </w:rPr>
        <w:t>On February 10, 2024, the Company entered into an asset purchase agreement (the “Asset Purchase Agreement”) with Qoo10 Inc., a Delaware corporation (“Qoo10”), and, for certain specified purposes, Qoo10 Pte. Ltd., a Singapore private limited company, pursuant to which (i) the Company has agreed to sell substantially all of its assets to Qoo10, other than (A) the Company’s NOLs and certain other tax attributes, (B) the Company’s marketable securities held in a specified wealth management account and (C) the Company’s cash and cash equivalents held in that wealth management account, and (ii) Qoo10 has agreed to acquire those assets and assume substantially all of the Company’s liabilities as specified in the Asset Purchase Agreement (the “Asset Sale”). As consideration for the Asset Sale, Qoo10 has agreed to pay to the Company a purchase price equal to $173</w:t>
      </w:r>
      <w:r>
        <w:rPr>
          <w:rFonts w:ascii="Times New Roman" w:hAnsi="Times New Roman"/>
          <w:color w:val="000000"/>
          <w:sz w:val="20"/>
        </w:rPr>
        <w:t xml:space="preserve"> </w:t>
      </w:r>
      <w:r>
        <w:rPr>
          <w:rFonts w:ascii="Arial" w:hAnsi="Arial"/>
          <w:color w:val="000000"/>
          <w:sz w:val="20"/>
        </w:rPr>
        <w:t>million in cash, subject to certain cash adjustments as set forth in the Asset Purchase Agreement. The closing of the Asset Sale is subject to approval by holders of a majority of the outstanding shares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Company’s Class A common stock entitled to vote thereon and other customary closing conditions. The Asset Sale is expected to close in the second quarter of 2024.</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Series A Junior Participating Preferred Stock and Tax Benefits Preservation Plan</w:t>
      </w:r>
    </w:p>
    <w:p>
      <w:pPr>
        <w:pStyle w:val="TextBody"/>
        <w:bidi w:val="0"/>
        <w:spacing w:before="180" w:after="283"/>
        <w:jc w:val="both"/>
        <w:rPr>
          <w:rFonts w:ascii="Times New Roman" w:hAnsi="Times New Roman"/>
          <w:sz w:val="20"/>
        </w:rPr>
      </w:pPr>
      <w:r>
        <w:rPr>
          <w:rFonts w:ascii="Arial" w:hAnsi="Arial"/>
          <w:color w:val="000000"/>
          <w:sz w:val="20"/>
        </w:rPr>
        <w:t>On February 10, 2024, the Company’s Board of Directors adopted a Tax Benefits Preservation Plan and declared a dividend of one right (a “Right”) for each outstanding share of the Company’s Class A common stock to stockholders of record at the close of business on February 22, 2024</w:t>
      </w:r>
      <w:r>
        <w:rPr>
          <w:rFonts w:ascii="Times New Roman" w:hAnsi="Times New Roman"/>
          <w:color w:val="000000"/>
          <w:sz w:val="20"/>
        </w:rPr>
        <w:t xml:space="preserve"> </w:t>
      </w:r>
      <w:r>
        <w:rPr>
          <w:rFonts w:ascii="Arial" w:hAnsi="Arial"/>
          <w:color w:val="000000"/>
          <w:sz w:val="20"/>
        </w:rPr>
        <w:t>(the “Record Date”). Each Right entitles its holder, subject to the terms of the Tax Benefits Preservation Plan, to purchase from the Company one one-thousandth</w:t>
      </w:r>
      <w:r>
        <w:rPr>
          <w:rFonts w:ascii="Times New Roman" w:hAnsi="Times New Roman"/>
          <w:color w:val="000000"/>
          <w:sz w:val="20"/>
        </w:rPr>
        <w:t xml:space="preserve"> </w:t>
      </w:r>
      <w:r>
        <w:rPr>
          <w:rFonts w:ascii="Arial" w:hAnsi="Arial"/>
          <w:color w:val="000000"/>
          <w:sz w:val="20"/>
        </w:rPr>
        <w:t>of a share of Series A Preferred Stock of the Company at an exercise price of $20.00</w:t>
      </w:r>
      <w:r>
        <w:rPr>
          <w:rFonts w:ascii="Times New Roman" w:hAnsi="Times New Roman"/>
          <w:color w:val="000000"/>
          <w:sz w:val="20"/>
        </w:rPr>
        <w:t xml:space="preserve"> </w:t>
      </w:r>
      <w:r>
        <w:rPr>
          <w:rFonts w:ascii="Arial" w:hAnsi="Arial"/>
          <w:color w:val="000000"/>
          <w:sz w:val="20"/>
        </w:rPr>
        <w:t>per Right, subject to adjustment. The description and terms of the Rights are set forth in the Tax Benefits Preservation Plan.</w:t>
      </w:r>
    </w:p>
    <w:p>
      <w:pPr>
        <w:pStyle w:val="TextBody"/>
        <w:bidi w:val="0"/>
        <w:spacing w:before="180" w:after="283"/>
        <w:jc w:val="both"/>
        <w:rPr>
          <w:rFonts w:ascii="Times New Roman" w:hAnsi="Times New Roman"/>
          <w:sz w:val="20"/>
        </w:rPr>
      </w:pPr>
      <w:r>
        <w:rPr>
          <w:rFonts w:ascii="Arial" w:hAnsi="Arial"/>
          <w:color w:val="000000"/>
          <w:sz w:val="20"/>
        </w:rPr>
        <w:t>In connection with the adoption of the Tax Benefits Preservation Plan, on February 12, 2024, the Company filed with the Delaware Secretary of State, a Certificate of Designation designating 3,000,000</w:t>
      </w:r>
      <w:r>
        <w:rPr>
          <w:rFonts w:ascii="Times New Roman" w:hAnsi="Times New Roman"/>
          <w:color w:val="000000"/>
          <w:sz w:val="20"/>
        </w:rPr>
        <w:t xml:space="preserve"> </w:t>
      </w:r>
      <w:r>
        <w:rPr>
          <w:rFonts w:ascii="Arial" w:hAnsi="Arial"/>
          <w:color w:val="000000"/>
          <w:sz w:val="20"/>
        </w:rPr>
        <w:t>shares of Series A Junior Participating Preferred Stock, $0.0001</w:t>
      </w:r>
      <w:r>
        <w:rPr>
          <w:rFonts w:ascii="Times New Roman" w:hAnsi="Times New Roman"/>
          <w:color w:val="000000"/>
          <w:sz w:val="20"/>
        </w:rPr>
        <w:t xml:space="preserve"> </w:t>
      </w:r>
      <w:r>
        <w:rPr>
          <w:rFonts w:ascii="Arial" w:hAnsi="Arial"/>
          <w:color w:val="000000"/>
          <w:sz w:val="20"/>
        </w:rPr>
        <w:t>par value per share (“Series A Preferred Stock”). The Company designated the Series A Preferred Stock in connection with the Company’s Board of Director’s approval of a Tax Benefits Preservation Plan, as discussed below.</w:t>
      </w:r>
    </w:p>
    <w:p>
      <w:pPr>
        <w:pStyle w:val="TextBody"/>
        <w:bidi w:val="0"/>
        <w:spacing w:before="180" w:after="283"/>
        <w:jc w:val="both"/>
        <w:rPr>
          <w:rFonts w:ascii="Arial" w:hAnsi="Arial"/>
          <w:color w:val="000000"/>
          <w:sz w:val="20"/>
        </w:rPr>
      </w:pPr>
      <w:r>
        <w:rPr>
          <w:rFonts w:ascii="Arial" w:hAnsi="Arial"/>
          <w:color w:val="000000"/>
          <w:sz w:val="20"/>
        </w:rPr>
        <w:t>The Company adopted the Tax Benefits Preservation Plan in order to protect against a possible limitation on the Company’s ability to use the Company’s NOLs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“Code”),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such an “ownership change” by deterring any person or group, together with its affiliates and associates, from acquiring beneficial ownership of 4.9% or more of the Company’s securities.</w:t>
      </w:r>
    </w:p>
    <w:p>
      <w:pPr>
        <w:pStyle w:val="TextBody"/>
        <w:bidi w:val="0"/>
        <w:spacing w:before="180" w:after="283"/>
        <w:jc w:val="both"/>
        <w:rPr>
          <w:rFonts w:ascii="Arial" w:hAnsi="Arial"/>
          <w:color w:val="000000"/>
          <w:sz w:val="20"/>
        </w:rPr>
      </w:pPr>
      <w:r>
        <w:rPr>
          <w:rFonts w:ascii="Arial" w:hAnsi="Arial"/>
          <w:color w:val="000000"/>
          <w:sz w:val="20"/>
        </w:rPr>
        <w:t>Subject to certain exceptions, the Rights become exercisable and trade separately from the Company’s Class A common stock only upon the "Distribution Time", which occurs upon the earlier of: (i) the close of business on the tenth day after the “Stock Acquisition Date” (which is (a) the first date of public announcement that any person or group has become an “Acquiring Person,” which is defined as a person or group that, together with its affiliates and associates, beneficially owns 4.9% or more of the outstanding shares of the Company’s Class A common stock (with certain exceptions, including those described below) or (b) such other date, as determined by the Company’s Board of Directors, on which a person or group has become an Acquiring Person), or (ii) the close of business on the tenth business day (or such later date as may be determined by the Company’s Board of Directors prior to such time as any person or group becomes an Acquiring Person) after the commencement of a tender offer or exchange offer that, if consummated, would result in a person or group becoming an Acquiring Person.</w:t>
      </w:r>
    </w:p>
    <w:p>
      <w:pPr>
        <w:pStyle w:val="TextBody"/>
        <w:bidi w:val="0"/>
        <w:spacing w:before="180" w:after="283"/>
        <w:jc w:val="both"/>
        <w:rPr>
          <w:rFonts w:ascii="Times New Roman" w:hAnsi="Times New Roman"/>
          <w:sz w:val="20"/>
        </w:rPr>
      </w:pPr>
      <w:r>
        <w:rPr>
          <w:rFonts w:ascii="Arial" w:hAnsi="Arial"/>
          <w:color w:val="000000"/>
          <w:sz w:val="20"/>
        </w:rPr>
        <w:t>The Rights will expire on the earliest to occur of: (a) the close of business on February 10, 2027; (b) the time at which the Rights are redeemed or exchanged by the Company; (c) upon the closing of any merger or other acquisition transaction involving the Company pursuant to a merger or other acquisition agreement that has been approved by the Company’s Board of Directors before any person or group becomes an Acquiring Person or (d) the time at which the Company’s Board of Directors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Other subsequent events have been evaluated through the date of filing and no other reportable items were identified.</w:t>
      </w:r>
    </w:p>
    <w:p>
      <w:pPr>
        <w:pStyle w:val="TextBody"/>
        <w:bidi w:val="0"/>
        <w:spacing w:before="24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bookmarkStart w:id="24" w:name="item_9_changes_in_disagreements_with_acc"/>
      <w:bookmarkEnd w:id="24"/>
      <w:r>
        <w:rPr>
          <w:rFonts w:ascii="Arial" w:hAnsi="Arial"/>
          <w:b/>
          <w:color w:val="000000"/>
          <w:sz w:val="20"/>
        </w:rPr>
        <w:t>Item 9. Changes in and Disagreements With Accountants on Accounting and Financial Disclosure.</w:t>
      </w:r>
    </w:p>
    <w:p>
      <w:pPr>
        <w:pStyle w:val="TextBody"/>
        <w:bidi w:val="0"/>
        <w:spacing w:before="180" w:after="283"/>
        <w:jc w:val="both"/>
        <w:rPr>
          <w:rFonts w:ascii="Times New Roman" w:hAnsi="Times New Roman"/>
          <w:sz w:val="20"/>
        </w:rPr>
      </w:pPr>
      <w:r>
        <w:rPr>
          <w:rFonts w:ascii="Arial" w:hAnsi="Arial"/>
          <w:color w:val="000000"/>
          <w:sz w:val="20"/>
        </w:rPr>
        <w:t>None.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bookmarkStart w:id="25" w:name="item_9a_controls_procedures"/>
      <w:bookmarkEnd w:id="25"/>
      <w:r>
        <w:rPr>
          <w:rFonts w:ascii="Arial" w:hAnsi="Arial"/>
          <w:b/>
          <w:color w:val="000000"/>
          <w:sz w:val="20"/>
        </w:rPr>
        <w:t>Item 9A. Controls</w:t>
      </w:r>
      <w:r>
        <w:rPr>
          <w:rFonts w:ascii="Times New Roman" w:hAnsi="Times New Roman"/>
          <w:color w:val="000000"/>
          <w:sz w:val="20"/>
        </w:rPr>
        <w:t xml:space="preserve"> </w:t>
      </w:r>
      <w:r>
        <w:rPr>
          <w:rFonts w:ascii="Arial" w:hAnsi="Arial"/>
          <w:b/>
          <w:color w:val="000000"/>
          <w:sz w:val="20"/>
        </w:rPr>
        <w:t>and Procedures.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80" w:after="283"/>
        <w:jc w:val="both"/>
        <w:rPr>
          <w:rFonts w:ascii="Times New Roman" w:hAnsi="Times New Roman"/>
          <w:sz w:val="20"/>
        </w:rPr>
      </w:pPr>
      <w:r>
        <w:rPr>
          <w:rFonts w:ascii="Arial" w:hAnsi="Arial"/>
          <w:color w:val="000000"/>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Chief Executive Officer (“CEO”) and Chief Financial Officer (“CFO”), with assistance from other members of management, have evaluated the effectiveness of our disclosure controls and procedures as of December 31, 2023, and based on their evaluation, have concluded that our disclosure controls and procedures were not effective as of such date due to material weaknesses in internal control over financial reporting, described below.</w:t>
      </w:r>
    </w:p>
    <w:p>
      <w:pPr>
        <w:pStyle w:val="TextBody"/>
        <w:bidi w:val="0"/>
        <w:spacing w:before="180" w:after="283"/>
        <w:jc w:val="left"/>
        <w:rPr>
          <w:rFonts w:ascii="Arial" w:hAnsi="Arial"/>
          <w:b/>
          <w:color w:val="000000"/>
          <w:sz w:val="20"/>
        </w:rPr>
      </w:pPr>
      <w:r>
        <w:rPr>
          <w:rFonts w:ascii="Arial" w:hAnsi="Arial"/>
          <w:b/>
          <w:color w:val="000000"/>
          <w:sz w:val="20"/>
        </w:rPr>
        <w:t>Management’s Report on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Our management is responsible for establishing and maintaining adequate internal control over financial reporting, as defined in Rules 13a-15(f) and 15d-15(f) under the Exchange Act. Management, with the participation of our CEO and CFO, has assessed the effectiveness of our internal control over financial reporting as of December 31, 2023 based on the criteria described in Internal Control – Integrated Framework (2013) issued by the Committee of Sponsoring Organizations of the Treadway Commission (“COSO”). Based on this assessment, management has concluded that our internal control over financial reporting as of December 31, 2023 was not effective due to the material weaknesses identified below.</w:t>
      </w:r>
    </w:p>
    <w:p>
      <w:pPr>
        <w:pStyle w:val="TextBody"/>
        <w:bidi w:val="0"/>
        <w:spacing w:before="180" w:after="160"/>
        <w:jc w:val="both"/>
        <w:rPr>
          <w:rFonts w:ascii="Arial" w:hAnsi="Arial"/>
          <w:color w:val="000000"/>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the following material weaknesses exist:</w:t>
      </w:r>
    </w:p>
    <w:p>
      <w:pPr>
        <w:pStyle w:val="TextBody"/>
        <w:bidi w:val="0"/>
        <w:spacing w:before="120" w:after="160"/>
        <w:jc w:val="both"/>
        <w:rPr>
          <w:color w:val="000000"/>
        </w:rPr>
      </w:pPr>
      <w:r>
        <w:rPr>
          <w:color w:val="000000"/>
        </w:rPr>
        <w:t>•</w:t>
      </w:r>
    </w:p>
    <w:p>
      <w:pPr>
        <w:pStyle w:val="TextBody"/>
        <w:bidi w:val="0"/>
        <w:spacing w:before="120" w:after="160"/>
        <w:jc w:val="both"/>
        <w:rPr>
          <w:rFonts w:ascii="Arial" w:hAnsi="Arial"/>
          <w:color w:val="000000"/>
          <w:sz w:val="20"/>
        </w:rPr>
      </w:pPr>
      <w:r>
        <w:rPr>
          <w:rFonts w:ascii="Arial" w:hAnsi="Arial"/>
          <w:color w:val="000000"/>
          <w:sz w:val="20"/>
        </w:rPr>
        <w:t>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w:t>
      </w:r>
    </w:p>
    <w:p>
      <w:pPr>
        <w:pStyle w:val="TextBody"/>
        <w:bidi w:val="0"/>
        <w:spacing w:before="120" w:after="160"/>
        <w:jc w:val="both"/>
        <w:rPr>
          <w:color w:val="000000"/>
        </w:rPr>
      </w:pPr>
      <w:r>
        <w:rPr>
          <w:color w:val="000000"/>
        </w:rPr>
        <w:t>•</w:t>
      </w:r>
    </w:p>
    <w:p>
      <w:pPr>
        <w:pStyle w:val="TextBody"/>
        <w:bidi w:val="0"/>
        <w:spacing w:before="120" w:after="160"/>
        <w:jc w:val="both"/>
        <w:rPr>
          <w:rFonts w:ascii="Arial" w:hAnsi="Arial"/>
          <w:color w:val="000000"/>
          <w:sz w:val="20"/>
        </w:rPr>
      </w:pPr>
      <w:r>
        <w:rPr>
          <w:rFonts w:ascii="Arial" w:hAnsi="Arial"/>
          <w:color w:val="000000"/>
          <w:sz w:val="20"/>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pStyle w:val="TextBody"/>
        <w:bidi w:val="0"/>
        <w:spacing w:before="180" w:after="160"/>
        <w:jc w:val="both"/>
        <w:rPr>
          <w:rFonts w:ascii="Arial" w:hAnsi="Arial"/>
          <w:color w:val="000000"/>
          <w:sz w:val="20"/>
        </w:rPr>
      </w:pPr>
      <w:r>
        <w:rPr>
          <w:rFonts w:ascii="Arial" w:hAnsi="Arial"/>
          <w:color w:val="000000"/>
          <w:sz w:val="20"/>
        </w:rPr>
        <w:t>Neither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pStyle w:val="TextBody"/>
        <w:bidi w:val="0"/>
        <w:spacing w:before="180" w:after="160"/>
        <w:jc w:val="both"/>
        <w:rPr>
          <w:rFonts w:ascii="Arial" w:hAnsi="Arial"/>
          <w:color w:val="000000"/>
          <w:sz w:val="20"/>
        </w:rPr>
      </w:pPr>
      <w:r>
        <w:rPr>
          <w:rFonts w:ascii="Arial" w:hAnsi="Arial"/>
          <w:color w:val="000000"/>
          <w:sz w:val="20"/>
        </w:rPr>
        <w:t>The effectiveness of our internal control over financial reporting as of December 31, 2023 has been audited by PricewaterhouseCoopers LLP, an independent registered public accounting firm, as stated in their report appearing under "Item 8. Financial Statements and Supplementary Data".</w:t>
      </w:r>
    </w:p>
    <w:p>
      <w:pPr>
        <w:pStyle w:val="TextBody"/>
        <w:bidi w:val="0"/>
        <w:spacing w:before="24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b/>
          <w:color w:val="000000"/>
          <w:sz w:val="20"/>
        </w:rPr>
      </w:pPr>
      <w:r>
        <w:rPr>
          <w:rFonts w:ascii="Arial" w:hAnsi="Arial"/>
          <w:b/>
          <w:color w:val="000000"/>
          <w:sz w:val="20"/>
        </w:rPr>
        <w:t>Management’s Plan to Remediate the Material Weaknesses</w:t>
      </w:r>
    </w:p>
    <w:p>
      <w:pPr>
        <w:pStyle w:val="TextBody"/>
        <w:bidi w:val="0"/>
        <w:spacing w:before="180" w:after="283"/>
        <w:jc w:val="both"/>
        <w:rPr>
          <w:rFonts w:ascii="Arial" w:hAnsi="Arial"/>
          <w:color w:val="000000"/>
          <w:sz w:val="20"/>
        </w:rPr>
      </w:pPr>
      <w:r>
        <w:rPr>
          <w:rFonts w:ascii="Arial" w:hAnsi="Arial"/>
          <w:color w:val="000000"/>
          <w:sz w:val="20"/>
        </w:rPr>
        <w:t>Our remediation efforts are ongoing. As noted in Item 1, Wish entered into an Asset Purchase Agreement with Qoo10 to sell substantially all of its assets, other than (A) the Company’s NOLs and certain other tax attributes, (B) the Company’s marketable securities held in a specified wealth management account and (C) the Company’s cash and cash equivalents held in that wealth management account. The Company will reassess its remediation efforts after the close of this transaction, considering its anticipated minimal operations and future filer status.</w:t>
      </w:r>
    </w:p>
    <w:p>
      <w:pPr>
        <w:pStyle w:val="TextBody"/>
        <w:bidi w:val="0"/>
        <w:spacing w:before="180" w:after="283"/>
        <w:jc w:val="both"/>
        <w:rPr>
          <w:rFonts w:ascii="Arial" w:hAnsi="Arial"/>
          <w:color w:val="000000"/>
          <w:sz w:val="20"/>
        </w:rPr>
      </w:pPr>
      <w:r>
        <w:rPr>
          <w:rFonts w:ascii="Arial" w:hAnsi="Arial"/>
          <w:color w:val="000000"/>
          <w:sz w:val="20"/>
        </w:rPr>
        <w:t>The remediation measures we have taken to date include:</w:t>
      </w:r>
    </w:p>
    <w:p>
      <w:pPr>
        <w:pStyle w:val="TextBody"/>
        <w:bidi w:val="0"/>
        <w:spacing w:before="120" w:after="283"/>
        <w:jc w:val="both"/>
        <w:rPr>
          <w:rFonts w:ascii="Arial" w:hAnsi="Arial"/>
          <w:color w:val="000000"/>
          <w:sz w:val="20"/>
        </w:rPr>
      </w:pPr>
      <w:r>
        <w:rPr>
          <w:rFonts w:ascii="Arial" w:hAnsi="Arial"/>
          <w:color w:val="000000"/>
          <w:sz w:val="20"/>
        </w:rPr>
        <w:t>i.</w:t>
      </w:r>
    </w:p>
    <w:p>
      <w:pPr>
        <w:pStyle w:val="TextBody"/>
        <w:bidi w:val="0"/>
        <w:spacing w:before="120" w:after="283"/>
        <w:jc w:val="both"/>
        <w:rPr>
          <w:rFonts w:ascii="Arial" w:hAnsi="Arial"/>
          <w:color w:val="000000"/>
          <w:sz w:val="20"/>
        </w:rPr>
      </w:pPr>
      <w:r>
        <w:rPr>
          <w:rFonts w:ascii="Arial" w:hAnsi="Arial"/>
          <w:color w:val="000000"/>
          <w:sz w:val="20"/>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pStyle w:val="TextBody"/>
        <w:bidi w:val="0"/>
        <w:spacing w:before="120" w:after="283"/>
        <w:jc w:val="both"/>
        <w:rPr>
          <w:rFonts w:ascii="Arial" w:hAnsi="Arial"/>
          <w:color w:val="000000"/>
          <w:sz w:val="20"/>
        </w:rPr>
      </w:pPr>
      <w:r>
        <w:rPr>
          <w:rFonts w:ascii="Arial" w:hAnsi="Arial"/>
          <w:color w:val="000000"/>
          <w:sz w:val="20"/>
        </w:rPr>
        <w:t>ii.</w:t>
      </w:r>
    </w:p>
    <w:p>
      <w:pPr>
        <w:pStyle w:val="TextBody"/>
        <w:bidi w:val="0"/>
        <w:spacing w:before="120" w:after="283"/>
        <w:jc w:val="both"/>
        <w:rPr>
          <w:rFonts w:ascii="Arial" w:hAnsi="Arial"/>
          <w:color w:val="000000"/>
          <w:sz w:val="20"/>
        </w:rPr>
      </w:pPr>
      <w:r>
        <w:rPr>
          <w:rFonts w:ascii="Arial" w:hAnsi="Arial"/>
          <w:color w:val="000000"/>
          <w:sz w:val="20"/>
        </w:rPr>
        <w:t>providing additional training for our personnel including the appropriate level of documentation to be maintained to support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iii.</w:t>
      </w:r>
    </w:p>
    <w:p>
      <w:pPr>
        <w:pStyle w:val="TextBody"/>
        <w:bidi w:val="0"/>
        <w:spacing w:before="120" w:after="283"/>
        <w:jc w:val="both"/>
        <w:rPr>
          <w:rFonts w:ascii="Arial" w:hAnsi="Arial"/>
          <w:color w:val="000000"/>
          <w:sz w:val="20"/>
        </w:rPr>
      </w:pPr>
      <w:r>
        <w:rPr>
          <w:rFonts w:ascii="Arial" w:hAnsi="Arial"/>
          <w:color w:val="000000"/>
          <w:sz w:val="20"/>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pStyle w:val="TextBody"/>
        <w:bidi w:val="0"/>
        <w:spacing w:before="120" w:after="283"/>
        <w:jc w:val="both"/>
        <w:rPr>
          <w:rFonts w:ascii="Arial" w:hAnsi="Arial"/>
          <w:color w:val="000000"/>
          <w:sz w:val="20"/>
        </w:rPr>
      </w:pPr>
      <w:r>
        <w:rPr>
          <w:rFonts w:ascii="Arial" w:hAnsi="Arial"/>
          <w:color w:val="000000"/>
          <w:sz w:val="20"/>
        </w:rPr>
        <w:t>iv.</w:t>
      </w:r>
    </w:p>
    <w:p>
      <w:pPr>
        <w:pStyle w:val="TextBody"/>
        <w:bidi w:val="0"/>
        <w:spacing w:before="120" w:after="283"/>
        <w:jc w:val="both"/>
        <w:rPr>
          <w:rFonts w:ascii="Arial" w:hAnsi="Arial"/>
          <w:color w:val="000000"/>
          <w:sz w:val="20"/>
        </w:rPr>
      </w:pPr>
      <w:r>
        <w:rPr>
          <w:rFonts w:ascii="Arial" w:hAnsi="Arial"/>
          <w:color w:val="000000"/>
          <w:sz w:val="20"/>
        </w:rPr>
        <w:t>designing and implementing controls to formalize roles and review responsibilities to align with the staff’s skills and experience and to ensure proper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v.</w:t>
      </w:r>
    </w:p>
    <w:p>
      <w:pPr>
        <w:pStyle w:val="TextBody"/>
        <w:bidi w:val="0"/>
        <w:spacing w:before="120" w:after="283"/>
        <w:jc w:val="both"/>
        <w:rPr>
          <w:rFonts w:ascii="Arial" w:hAnsi="Arial"/>
          <w:color w:val="000000"/>
          <w:sz w:val="20"/>
        </w:rPr>
      </w:pPr>
      <w:r>
        <w:rPr>
          <w:rFonts w:ascii="Arial" w:hAnsi="Arial"/>
          <w:color w:val="000000"/>
          <w:sz w:val="20"/>
        </w:rPr>
        <w:t>continuing to enhance processes to monitor critical batch and interface jobs;</w:t>
      </w:r>
    </w:p>
    <w:p>
      <w:pPr>
        <w:pStyle w:val="TextBody"/>
        <w:bidi w:val="0"/>
        <w:spacing w:before="120" w:after="283"/>
        <w:jc w:val="both"/>
        <w:rPr>
          <w:rFonts w:ascii="Arial" w:hAnsi="Arial"/>
          <w:color w:val="000000"/>
          <w:sz w:val="20"/>
        </w:rPr>
      </w:pPr>
      <w:r>
        <w:rPr>
          <w:rFonts w:ascii="Arial" w:hAnsi="Arial"/>
          <w:color w:val="000000"/>
          <w:sz w:val="20"/>
        </w:rPr>
        <w:t>vi.</w:t>
      </w:r>
    </w:p>
    <w:p>
      <w:pPr>
        <w:pStyle w:val="TextBody"/>
        <w:bidi w:val="0"/>
        <w:spacing w:before="120" w:after="283"/>
        <w:jc w:val="both"/>
        <w:rPr>
          <w:rFonts w:ascii="Arial" w:hAnsi="Arial"/>
          <w:color w:val="000000"/>
          <w:sz w:val="20"/>
        </w:rPr>
      </w:pPr>
      <w:r>
        <w:rPr>
          <w:rFonts w:ascii="Arial" w:hAnsi="Arial"/>
          <w:color w:val="000000"/>
          <w:sz w:val="20"/>
        </w:rPr>
        <w:t>holding periodic meetings with the Audit Committee to communicate deficiencies, discuss the overall remediation plan, and discuss progress made against the approved plan;</w:t>
      </w:r>
    </w:p>
    <w:p>
      <w:pPr>
        <w:pStyle w:val="TextBody"/>
        <w:bidi w:val="0"/>
        <w:spacing w:before="120" w:after="283"/>
        <w:jc w:val="both"/>
        <w:rPr>
          <w:rFonts w:ascii="Arial" w:hAnsi="Arial"/>
          <w:color w:val="000000"/>
          <w:sz w:val="20"/>
        </w:rPr>
      </w:pPr>
      <w:r>
        <w:rPr>
          <w:rFonts w:ascii="Arial" w:hAnsi="Arial"/>
          <w:color w:val="000000"/>
          <w:sz w:val="20"/>
        </w:rPr>
        <w:t>vii.</w:t>
      </w:r>
    </w:p>
    <w:p>
      <w:pPr>
        <w:pStyle w:val="TextBody"/>
        <w:bidi w:val="0"/>
        <w:spacing w:before="120" w:after="283"/>
        <w:jc w:val="both"/>
        <w:rPr>
          <w:rFonts w:ascii="Arial" w:hAnsi="Arial"/>
          <w:color w:val="000000"/>
          <w:sz w:val="20"/>
        </w:rPr>
      </w:pPr>
      <w:r>
        <w:rPr>
          <w:rFonts w:ascii="Arial" w:hAnsi="Arial"/>
          <w:color w:val="000000"/>
          <w:sz w:val="20"/>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pStyle w:val="TextBody"/>
        <w:bidi w:val="0"/>
        <w:spacing w:before="120" w:after="283"/>
        <w:jc w:val="both"/>
        <w:rPr>
          <w:rFonts w:ascii="Arial" w:hAnsi="Arial"/>
          <w:color w:val="000000"/>
          <w:sz w:val="20"/>
        </w:rPr>
      </w:pPr>
      <w:r>
        <w:rPr>
          <w:rFonts w:ascii="Arial" w:hAnsi="Arial"/>
          <w:color w:val="000000"/>
          <w:sz w:val="20"/>
        </w:rPr>
        <w:t>viii.</w:t>
      </w:r>
    </w:p>
    <w:p>
      <w:pPr>
        <w:pStyle w:val="TextBody"/>
        <w:bidi w:val="0"/>
        <w:spacing w:before="120" w:after="283"/>
        <w:jc w:val="both"/>
        <w:rPr>
          <w:rFonts w:ascii="Arial" w:hAnsi="Arial"/>
          <w:color w:val="000000"/>
          <w:sz w:val="20"/>
        </w:rPr>
      </w:pPr>
      <w:r>
        <w:rPr>
          <w:rFonts w:ascii="Arial" w:hAnsi="Arial"/>
          <w:color w:val="000000"/>
          <w:sz w:val="20"/>
        </w:rPr>
        <w:t>continuing to enhance and standardize user access reviews and monitoring controls to improve segregation of duties, and more comprehensively review user and privileged access to financial applications, programs and data to appropriate Company personnel;</w:t>
      </w:r>
    </w:p>
    <w:p>
      <w:pPr>
        <w:pStyle w:val="TextBody"/>
        <w:bidi w:val="0"/>
        <w:spacing w:before="120" w:after="283"/>
        <w:jc w:val="both"/>
        <w:rPr>
          <w:rFonts w:ascii="Arial" w:hAnsi="Arial"/>
          <w:color w:val="000000"/>
          <w:sz w:val="20"/>
        </w:rPr>
      </w:pPr>
      <w:r>
        <w:rPr>
          <w:rFonts w:ascii="Arial" w:hAnsi="Arial"/>
          <w:color w:val="000000"/>
          <w:sz w:val="20"/>
        </w:rPr>
        <w:t>ix.</w:t>
      </w:r>
    </w:p>
    <w:p>
      <w:pPr>
        <w:pStyle w:val="TextBody"/>
        <w:bidi w:val="0"/>
        <w:spacing w:before="120" w:after="283"/>
        <w:jc w:val="both"/>
        <w:rPr>
          <w:rFonts w:ascii="Arial" w:hAnsi="Arial"/>
          <w:color w:val="000000"/>
          <w:sz w:val="20"/>
        </w:rPr>
      </w:pPr>
      <w:r>
        <w:rPr>
          <w:rFonts w:ascii="Arial" w:hAnsi="Arial"/>
          <w:color w:val="000000"/>
          <w:sz w:val="20"/>
        </w:rPr>
        <w:t>continuing to enhance the design of computer operations controls related to the monitoring of critical batch and interface jobs;</w:t>
      </w:r>
    </w:p>
    <w:p>
      <w:pPr>
        <w:pStyle w:val="TextBody"/>
        <w:bidi w:val="0"/>
        <w:spacing w:before="120" w:after="283"/>
        <w:jc w:val="both"/>
        <w:rPr>
          <w:rFonts w:ascii="Arial" w:hAnsi="Arial"/>
          <w:color w:val="000000"/>
          <w:sz w:val="20"/>
        </w:rPr>
      </w:pPr>
      <w:r>
        <w:rPr>
          <w:rFonts w:ascii="Arial" w:hAnsi="Arial"/>
          <w:color w:val="000000"/>
          <w:sz w:val="20"/>
        </w:rPr>
        <w:t>x.</w:t>
      </w:r>
    </w:p>
    <w:p>
      <w:pPr>
        <w:pStyle w:val="TextBody"/>
        <w:bidi w:val="0"/>
        <w:spacing w:before="120" w:after="283"/>
        <w:jc w:val="both"/>
        <w:rPr>
          <w:rFonts w:ascii="Arial" w:hAnsi="Arial"/>
          <w:color w:val="000000"/>
          <w:sz w:val="20"/>
        </w:rPr>
      </w:pPr>
      <w:r>
        <w:rPr>
          <w:rFonts w:ascii="Arial" w:hAnsi="Arial"/>
          <w:color w:val="000000"/>
          <w:sz w:val="20"/>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 and</w:t>
      </w:r>
    </w:p>
    <w:p>
      <w:pPr>
        <w:pStyle w:val="TextBody"/>
        <w:bidi w:val="0"/>
        <w:spacing w:before="120" w:after="283"/>
        <w:jc w:val="both"/>
        <w:rPr>
          <w:rFonts w:ascii="Arial" w:hAnsi="Arial"/>
          <w:color w:val="000000"/>
          <w:sz w:val="20"/>
        </w:rPr>
      </w:pPr>
      <w:r>
        <w:rPr>
          <w:rFonts w:ascii="Arial" w:hAnsi="Arial"/>
          <w:color w:val="000000"/>
          <w:sz w:val="20"/>
        </w:rPr>
        <w:t>xi.</w:t>
      </w:r>
    </w:p>
    <w:p>
      <w:pPr>
        <w:pStyle w:val="TextBody"/>
        <w:bidi w:val="0"/>
        <w:spacing w:before="120" w:after="283"/>
        <w:jc w:val="both"/>
        <w:rPr>
          <w:rFonts w:ascii="Arial" w:hAnsi="Arial"/>
          <w:color w:val="000000"/>
          <w:sz w:val="20"/>
        </w:rPr>
      </w:pPr>
      <w:r>
        <w:rPr>
          <w:rFonts w:ascii="Arial" w:hAnsi="Arial"/>
          <w:color w:val="000000"/>
          <w:sz w:val="20"/>
        </w:rPr>
        <w:t>enhanced the oversight and review of non-recurring transactions to include consistent communication between functional areas, support consistent documentation of conclusions reached, and retention of evidence supporting the operation of control activities.</w:t>
      </w:r>
    </w:p>
    <w:p>
      <w:pPr>
        <w:pStyle w:val="TextBody"/>
        <w:bidi w:val="0"/>
        <w:spacing w:before="24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are committed to continuing to implement a strong system of controls and believe that our ongoing remediation efforts will result in significant improvements to our internal control over financial reporting and will remediate the material weaknesses. We will continue to monitor the effectiveness of these remediation measures, and we will make any changes to the design of this plan and take such other actions that we deem appropriate given the circumstances. As noted above, we will reassess our remediation efforts subsequent to the close of the Qoo10 transaction.</w:t>
      </w:r>
    </w:p>
    <w:p>
      <w:pPr>
        <w:pStyle w:val="TextBody"/>
        <w:bidi w:val="0"/>
        <w:spacing w:before="18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180" w:after="283"/>
        <w:jc w:val="both"/>
        <w:rPr>
          <w:rFonts w:ascii="Arial" w:hAnsi="Arial"/>
          <w:b/>
          <w:color w:val="000000"/>
          <w:sz w:val="20"/>
        </w:rPr>
      </w:pPr>
      <w:r>
        <w:rPr>
          <w:rFonts w:ascii="Arial" w:hAnsi="Arial"/>
          <w:b/>
          <w:color w:val="000000"/>
          <w:sz w:val="20"/>
        </w:rPr>
        <w:t>Inherent Limitations on the Effectiveness of Controls and Procedures</w:t>
      </w:r>
    </w:p>
    <w:p>
      <w:pPr>
        <w:pStyle w:val="TextBody"/>
        <w:bidi w:val="0"/>
        <w:spacing w:before="180" w:after="283"/>
        <w:jc w:val="both"/>
        <w:rPr>
          <w:rFonts w:ascii="Arial" w:hAnsi="Arial"/>
          <w:color w:val="000000"/>
          <w:sz w:val="20"/>
        </w:rPr>
      </w:pPr>
      <w:r>
        <w:rPr>
          <w:rFonts w:ascii="Arial" w:hAnsi="Arial"/>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180" w:after="283"/>
        <w:jc w:val="both"/>
        <w:rPr>
          <w:rFonts w:ascii="Times New Roman" w:hAnsi="Times New Roman"/>
          <w:sz w:val="20"/>
        </w:rPr>
      </w:pPr>
      <w:bookmarkStart w:id="26" w:name="item_9b_or_information"/>
      <w:bookmarkEnd w:id="26"/>
      <w:r>
        <w:rPr>
          <w:rFonts w:ascii="Arial" w:hAnsi="Arial"/>
          <w:b/>
          <w:color w:val="000000"/>
          <w:sz w:val="20"/>
        </w:rPr>
        <w:t>Item 9B. Other</w:t>
      </w:r>
      <w:r>
        <w:rPr>
          <w:rFonts w:ascii="Times New Roman" w:hAnsi="Times New Roman"/>
          <w:color w:val="000000"/>
          <w:sz w:val="20"/>
        </w:rPr>
        <w:t xml:space="preserve"> </w:t>
      </w:r>
      <w:r>
        <w:rPr>
          <w:rFonts w:ascii="Arial" w:hAnsi="Arial"/>
          <w:b/>
          <w:color w:val="000000"/>
          <w:sz w:val="20"/>
        </w:rPr>
        <w:t>Information.</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Rule 10b5-1 Trading Plans</w:t>
      </w:r>
    </w:p>
    <w:p>
      <w:pPr>
        <w:pStyle w:val="TextBody"/>
        <w:bidi w:val="0"/>
        <w:spacing w:before="180" w:after="283"/>
        <w:jc w:val="both"/>
        <w:rPr>
          <w:rFonts w:ascii="Times New Roman" w:hAnsi="Times New Roman"/>
          <w:sz w:val="20"/>
        </w:rPr>
      </w:pPr>
      <w:r>
        <w:rPr>
          <w:rFonts w:ascii="Arial" w:hAnsi="Arial"/>
          <w:color w:val="000000"/>
          <w:sz w:val="20"/>
        </w:rPr>
        <w:t>On September 12, 2023, Rachel Wang, our previous Head of Data Science, entered into a pre-arranged trading plan that was intended to satisfy the affirmative defense of Rule 10b5-1(c) of the Exchange Act (the “Plan”). This Plan provided for the sale of up to an aggregate of 5,043</w:t>
      </w:r>
      <w:r>
        <w:rPr>
          <w:rFonts w:ascii="Times New Roman" w:hAnsi="Times New Roman"/>
          <w:color w:val="000000"/>
          <w:sz w:val="20"/>
        </w:rPr>
        <w:t xml:space="preserve"> </w:t>
      </w:r>
      <w:r>
        <w:rPr>
          <w:rFonts w:ascii="Arial" w:hAnsi="Arial"/>
          <w:color w:val="000000"/>
          <w:sz w:val="20"/>
        </w:rPr>
        <w:t>shares of our common stock, plus the total number of shares that would be issued in connection with the settlement of four RSU awards (after mandatory withholding in respect of tax withholding obligations) in connection with various vesting events between September 2023 and February 2025, and terminated</w:t>
      </w:r>
      <w:r>
        <w:rPr>
          <w:rFonts w:ascii="Times New Roman" w:hAnsi="Times New Roman"/>
          <w:color w:val="000000"/>
          <w:sz w:val="20"/>
        </w:rPr>
        <w:t xml:space="preserve"> </w:t>
      </w:r>
      <w:r>
        <w:rPr>
          <w:rFonts w:ascii="Arial" w:hAnsi="Arial"/>
          <w:color w:val="000000"/>
          <w:sz w:val="20"/>
        </w:rPr>
        <w:t>on November 27, 2023, the date of Ms. Wang’s termination.</w:t>
      </w:r>
    </w:p>
    <w:p>
      <w:pPr>
        <w:pStyle w:val="TextBody"/>
        <w:bidi w:val="0"/>
        <w:spacing w:before="180" w:after="283"/>
        <w:jc w:val="both"/>
        <w:rPr>
          <w:rFonts w:ascii="Times New Roman" w:hAnsi="Times New Roman"/>
          <w:sz w:val="20"/>
        </w:rPr>
      </w:pPr>
      <w:r>
        <w:rPr>
          <w:rFonts w:ascii="Arial" w:hAnsi="Arial"/>
          <w:color w:val="000000"/>
          <w:sz w:val="20"/>
        </w:rPr>
        <w:t>No other director or officer, as defined in Rule 16a-1(f),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as defined in Item 408 of Regulation S-K of the Exchange Act during the year ended December 31, 2023.</w:t>
      </w:r>
    </w:p>
    <w:p>
      <w:pPr>
        <w:pStyle w:val="TextBody"/>
        <w:bidi w:val="0"/>
        <w:spacing w:before="180" w:after="283"/>
        <w:jc w:val="both"/>
        <w:rPr>
          <w:rFonts w:ascii="Times New Roman" w:hAnsi="Times New Roman"/>
          <w:sz w:val="20"/>
        </w:rPr>
      </w:pPr>
      <w:bookmarkStart w:id="27" w:name="item_9c_disclosure_regarding_foreign"/>
      <w:bookmarkEnd w:id="27"/>
      <w:r>
        <w:rPr>
          <w:rFonts w:ascii="Arial" w:hAnsi="Arial"/>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28" w:name="part_iii"/>
      <w:bookmarkEnd w:id="28"/>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III</w:t>
      </w:r>
    </w:p>
    <w:p>
      <w:pPr>
        <w:pStyle w:val="TextBody"/>
        <w:bidi w:val="0"/>
        <w:spacing w:before="180" w:after="283"/>
        <w:jc w:val="both"/>
        <w:rPr>
          <w:rFonts w:ascii="Times New Roman" w:hAnsi="Times New Roman"/>
          <w:sz w:val="20"/>
        </w:rPr>
      </w:pPr>
      <w:bookmarkStart w:id="29" w:name="item_10_directors_executive_ficers_corpo"/>
      <w:bookmarkEnd w:id="29"/>
      <w:r>
        <w:rPr>
          <w:rFonts w:ascii="Arial" w:hAnsi="Arial"/>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maintain a Code of Business Conduct and Ethics that incorporates our code of ethics applicable to all employees, including all directors and executive officers. Our Code of Business Conduct and Ethics is published on our Investor Relations website at https://ir.wish.com/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bidi w:val="0"/>
        <w:spacing w:before="180" w:after="283"/>
        <w:jc w:val="both"/>
        <w:rPr>
          <w:rFonts w:ascii="Arial" w:hAnsi="Arial"/>
          <w:color w:val="000000"/>
          <w:sz w:val="20"/>
        </w:rPr>
      </w:pPr>
      <w:r>
        <w:rPr>
          <w:rFonts w:ascii="Arial" w:hAnsi="Arial"/>
          <w:color w:val="000000"/>
          <w:sz w:val="20"/>
        </w:rPr>
        <w:t>The remaining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80" w:after="283"/>
        <w:jc w:val="both"/>
        <w:rPr>
          <w:rFonts w:ascii="Times New Roman" w:hAnsi="Times New Roman"/>
          <w:sz w:val="20"/>
        </w:rPr>
      </w:pPr>
      <w:bookmarkStart w:id="30" w:name="item_11_executive_compensation"/>
      <w:bookmarkEnd w:id="30"/>
      <w:r>
        <w:rPr>
          <w:rFonts w:ascii="Arial" w:hAnsi="Arial"/>
          <w:b/>
          <w:color w:val="000000"/>
          <w:sz w:val="20"/>
        </w:rPr>
        <w:t>Item 11. Executive Compensation.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80" w:after="283"/>
        <w:jc w:val="both"/>
        <w:rPr>
          <w:rFonts w:ascii="Times New Roman" w:hAnsi="Times New Roman"/>
          <w:sz w:val="20"/>
        </w:rPr>
      </w:pPr>
      <w:bookmarkStart w:id="31" w:name="item_12_security_ownership_certain_benef"/>
      <w:bookmarkEnd w:id="31"/>
      <w:r>
        <w:rPr>
          <w:rFonts w:ascii="Arial" w:hAnsi="Arial"/>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80" w:after="283"/>
        <w:jc w:val="both"/>
        <w:rPr>
          <w:rFonts w:ascii="Times New Roman" w:hAnsi="Times New Roman"/>
          <w:sz w:val="20"/>
        </w:rPr>
      </w:pPr>
      <w:bookmarkStart w:id="32" w:name="item_13_certain_relationships_related_tr"/>
      <w:bookmarkEnd w:id="32"/>
      <w:r>
        <w:rPr>
          <w:rFonts w:ascii="Arial" w:hAnsi="Arial"/>
          <w:b/>
          <w:color w:val="000000"/>
          <w:sz w:val="20"/>
        </w:rPr>
        <w:t>Item 13. Certain Relationships and Related</w:t>
      </w:r>
      <w:r>
        <w:rPr>
          <w:rFonts w:ascii="Times New Roman" w:hAnsi="Times New Roman"/>
          <w:color w:val="000000"/>
          <w:sz w:val="20"/>
        </w:rPr>
        <w:t xml:space="preserve"> </w:t>
      </w:r>
      <w:r>
        <w:rPr>
          <w:rFonts w:ascii="Arial" w:hAnsi="Arial"/>
          <w:b/>
          <w:color w:val="000000"/>
          <w:sz w:val="20"/>
        </w:rPr>
        <w:t>Transactions, and Director Independence.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80" w:after="283"/>
        <w:jc w:val="both"/>
        <w:rPr>
          <w:rFonts w:ascii="Times New Roman" w:hAnsi="Times New Roman"/>
          <w:sz w:val="20"/>
        </w:rPr>
      </w:pPr>
      <w:bookmarkStart w:id="33" w:name="item_14_principal_accounting_fees_servic"/>
      <w:bookmarkEnd w:id="33"/>
      <w:r>
        <w:rPr>
          <w:rFonts w:ascii="Arial" w:hAnsi="Arial"/>
          <w:b/>
          <w:color w:val="000000"/>
          <w:sz w:val="20"/>
        </w:rPr>
        <w:t>Item 14. Principal Accounting Fees and Services.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24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34" w:name="part_iv"/>
      <w:bookmarkEnd w:id="34"/>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IV</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35" w:name="item_15_exhibits_financial_statement_sch"/>
      <w:bookmarkEnd w:id="35"/>
      <w:r>
        <w:rPr>
          <w:rFonts w:ascii="Arial" w:hAnsi="Arial"/>
          <w:b/>
          <w:color w:val="000000"/>
          <w:sz w:val="20"/>
        </w:rPr>
        <w:t>Item 15. Exhibits, Financial Statement Schedules.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1.</w:t>
      </w:r>
    </w:p>
    <w:p>
      <w:pPr>
        <w:pStyle w:val="TextBody"/>
        <w:bidi w:val="0"/>
        <w:spacing w:before="180" w:after="283"/>
        <w:jc w:val="both"/>
        <w:rPr>
          <w:rFonts w:ascii="Arial" w:hAnsi="Arial"/>
          <w:b/>
          <w:color w:val="000000"/>
          <w:sz w:val="20"/>
        </w:rPr>
      </w:pPr>
      <w:r>
        <w:rPr>
          <w:rFonts w:ascii="Arial" w:hAnsi="Arial"/>
          <w:b/>
          <w:color w:val="000000"/>
          <w:sz w:val="20"/>
        </w:rPr>
        <w:t>Consolidated Financial Statements</w:t>
      </w:r>
    </w:p>
    <w:p>
      <w:pPr>
        <w:pStyle w:val="TextBody"/>
        <w:bidi w:val="0"/>
        <w:spacing w:before="180" w:after="283"/>
        <w:jc w:val="both"/>
        <w:rPr>
          <w:rFonts w:ascii="Arial" w:hAnsi="Arial"/>
          <w:color w:val="000000"/>
          <w:sz w:val="20"/>
        </w:rPr>
      </w:pPr>
      <w:r>
        <w:rPr>
          <w:rFonts w:ascii="Arial" w:hAnsi="Arial"/>
          <w:color w:val="000000"/>
          <w:sz w:val="20"/>
        </w:rPr>
        <w:t>We have filed the consolidated financial statements listed in the Index to Consolidated Financial Statements, Schedules, and Exhibits included in Part II, Item 8, “Financial Statements and Supplementary Data” of this Annual Report on Form 10-K.</w:t>
      </w:r>
    </w:p>
    <w:p>
      <w:pPr>
        <w:pStyle w:val="TextBody"/>
        <w:bidi w:val="0"/>
        <w:spacing w:before="180" w:after="283"/>
        <w:jc w:val="both"/>
        <w:rPr>
          <w:rFonts w:ascii="Arial" w:hAnsi="Arial"/>
          <w:b/>
          <w:color w:val="000000"/>
          <w:sz w:val="20"/>
        </w:rPr>
      </w:pPr>
      <w:r>
        <w:rPr>
          <w:rFonts w:ascii="Arial" w:hAnsi="Arial"/>
          <w:b/>
          <w:color w:val="000000"/>
          <w:sz w:val="20"/>
        </w:rPr>
        <w:t>2.</w:t>
      </w:r>
    </w:p>
    <w:p>
      <w:pPr>
        <w:pStyle w:val="TextBody"/>
        <w:bidi w:val="0"/>
        <w:spacing w:before="180" w:after="283"/>
        <w:jc w:val="both"/>
        <w:rPr>
          <w:rFonts w:ascii="Arial" w:hAnsi="Arial"/>
          <w:b/>
          <w:color w:val="000000"/>
          <w:sz w:val="20"/>
        </w:rPr>
      </w:pPr>
      <w:r>
        <w:rPr>
          <w:rFonts w:ascii="Arial" w:hAnsi="Arial"/>
          <w:b/>
          <w:color w:val="000000"/>
          <w:sz w:val="20"/>
        </w:rPr>
        <w:t>Financial Statement Schedules</w:t>
      </w:r>
    </w:p>
    <w:p>
      <w:pPr>
        <w:pStyle w:val="TextBody"/>
        <w:bidi w:val="0"/>
        <w:spacing w:before="180" w:after="283"/>
        <w:jc w:val="both"/>
        <w:rPr>
          <w:rFonts w:ascii="Arial" w:hAnsi="Arial"/>
          <w:color w:val="000000"/>
          <w:sz w:val="20"/>
        </w:rPr>
      </w:pPr>
      <w:r>
        <w:rPr>
          <w:rFonts w:ascii="Arial" w:hAnsi="Arial"/>
          <w:color w:val="000000"/>
          <w:sz w:val="20"/>
        </w:rPr>
        <w:t>All financial statement schedules have been omitted because they are not applicable, not material, or the required information is shown in the consolidated financial statements or the notes thereto.</w:t>
      </w:r>
    </w:p>
    <w:p>
      <w:pPr>
        <w:pStyle w:val="TextBody"/>
        <w:bidi w:val="0"/>
        <w:spacing w:before="180" w:after="283"/>
        <w:jc w:val="both"/>
        <w:rPr>
          <w:rFonts w:ascii="Arial" w:hAnsi="Arial"/>
          <w:b/>
          <w:color w:val="000000"/>
          <w:sz w:val="20"/>
        </w:rPr>
      </w:pPr>
      <w:r>
        <w:rPr>
          <w:rFonts w:ascii="Arial" w:hAnsi="Arial"/>
          <w:b/>
          <w:color w:val="000000"/>
          <w:sz w:val="20"/>
        </w:rPr>
        <w:t>3.</w:t>
      </w:r>
    </w:p>
    <w:p>
      <w:pPr>
        <w:pStyle w:val="TextBody"/>
        <w:bidi w:val="0"/>
        <w:spacing w:before="180" w:after="283"/>
        <w:jc w:val="both"/>
        <w:rPr>
          <w:rFonts w:ascii="Arial" w:hAnsi="Arial"/>
          <w:b/>
          <w:color w:val="000000"/>
          <w:sz w:val="20"/>
        </w:rPr>
      </w:pPr>
      <w:r>
        <w:rPr>
          <w:rFonts w:ascii="Arial" w:hAnsi="Arial"/>
          <w:b/>
          <w:color w:val="000000"/>
          <w:sz w:val="20"/>
        </w:rPr>
        <w:t>Exhibit Listing</w:t>
      </w:r>
    </w:p>
    <w:tbl>
      <w:tblPr>
        <w:tblW w:w="10205" w:type="dxa"/>
        <w:jc w:val="left"/>
        <w:tblInd w:w="0" w:type="dxa"/>
        <w:tblLayout w:type="fixed"/>
        <w:tblCellMar>
          <w:top w:w="28" w:type="dxa"/>
          <w:left w:w="28" w:type="dxa"/>
          <w:bottom w:w="28" w:type="dxa"/>
          <w:right w:w="28" w:type="dxa"/>
        </w:tblCellMar>
      </w:tblPr>
      <w:tblGrid>
        <w:gridCol w:w="674"/>
        <w:gridCol w:w="146"/>
        <w:gridCol w:w="6325"/>
        <w:gridCol w:w="146"/>
        <w:gridCol w:w="442"/>
        <w:gridCol w:w="146"/>
        <w:gridCol w:w="564"/>
        <w:gridCol w:w="146"/>
        <w:gridCol w:w="601"/>
        <w:gridCol w:w="146"/>
        <w:gridCol w:w="869"/>
      </w:tblGrid>
      <w:tr>
        <w:trPr/>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Incorporated by 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Filed Herewith</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2.1</w:t>
            </w:r>
          </w:p>
        </w:tc>
        <w:tc>
          <w:tcPr>
            <w:tcW w:w="146" w:type="dxa"/>
            <w:tcBorders/>
            <w:shd w:fill="FFFFFF" w:val="clear"/>
            <w:vAlign w:val="center"/>
          </w:tcPr>
          <w:p>
            <w:pPr>
              <w:pStyle w:val="TableContents"/>
              <w:bidi w:val="0"/>
              <w:spacing w:before="0" w:after="283"/>
              <w:jc w:val="left"/>
              <w:rPr/>
            </w:pPr>
            <w:r>
              <w:rPr/>
              <w:t> </w:t>
            </w:r>
          </w:p>
        </w:tc>
        <w:tc>
          <w:tcPr>
            <w:tcW w:w="6325" w:type="dxa"/>
            <w:tcBorders/>
            <w:shd w:fill="FFFFFF" w:val="clear"/>
            <w:vAlign w:val="center"/>
          </w:tcPr>
          <w:p>
            <w:pPr>
              <w:pStyle w:val="TableContents"/>
              <w:bidi w:val="0"/>
              <w:spacing w:before="0" w:after="283"/>
              <w:jc w:val="left"/>
              <w:rPr/>
            </w:pPr>
            <w:hyperlink r:id="rId2">
              <w:r>
                <w:rPr>
                  <w:rStyle w:val="InternetLink"/>
                  <w:rFonts w:ascii="Arial" w:hAnsi="Arial"/>
                  <w:color w:val="0000FF"/>
                  <w:sz w:val="14"/>
                  <w:u w:val="single"/>
                </w:rPr>
                <w:t>Asset Purchase Agreement, dated February 10, 2024, by and between by and between ContextLogic Inc., Qoo10 Inc. and Qoo10 Pte. Ltd.*</w:t>
              </w:r>
            </w:hyperlink>
            <w:r>
              <w:rPr>
                <w:rFonts w:ascii="Times New Roman" w:hAnsi="Times New Roman"/>
                <w:color w:val="000000"/>
                <w:sz w:val="14"/>
              </w:rPr>
              <w:t xml:space="preserve"> </w:t>
            </w:r>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8-K</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02/12/2024</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2.1</w:t>
            </w:r>
          </w:p>
        </w:tc>
        <w:tc>
          <w:tcPr>
            <w:tcW w:w="14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3">
              <w:r>
                <w:rPr>
                  <w:rStyle w:val="InternetLink"/>
                  <w:rFonts w:ascii="Arial" w:hAnsi="Arial"/>
                  <w:color w:val="0000FF"/>
                  <w:sz w:val="14"/>
                  <w:u w:val="single"/>
                </w:rPr>
                <w:t>Restated Certificate of Incorporation, as amended through April 23, 2023.</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05/04/2023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4">
              <w:r>
                <w:rPr>
                  <w:rStyle w:val="InternetLink"/>
                  <w:rFonts w:ascii="Arial" w:hAnsi="Arial"/>
                  <w:color w:val="0000FF"/>
                  <w:sz w:val="14"/>
                  <w:u w:val="single"/>
                </w:rPr>
                <w:t>Amended and Restated Bylaws, effective as of December 5, 2023.</w:t>
              </w:r>
            </w:hyperlink>
            <w:hyperlink r:id="rId5">
              <w:r>
                <w:rPr>
                  <w:rStyle w:val="InternetLink"/>
                  <w:rFonts w:ascii="Times New Roman" w:hAnsi="Times New Roman"/>
                  <w:color w:val="0000FF"/>
                  <w:sz w:val="14"/>
                </w:rPr>
                <w:t xml:space="preserve"> </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12/05/2023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3.3</w:t>
            </w:r>
          </w:p>
        </w:tc>
        <w:tc>
          <w:tcPr>
            <w:tcW w:w="146" w:type="dxa"/>
            <w:tcBorders/>
            <w:shd w:fill="FFFFFF" w:val="clear"/>
            <w:vAlign w:val="center"/>
          </w:tcPr>
          <w:p>
            <w:pPr>
              <w:pStyle w:val="TableContents"/>
              <w:bidi w:val="0"/>
              <w:spacing w:before="0" w:after="283"/>
              <w:jc w:val="left"/>
              <w:rPr/>
            </w:pPr>
            <w:r>
              <w:rPr/>
              <w:t> </w:t>
            </w:r>
          </w:p>
        </w:tc>
        <w:tc>
          <w:tcPr>
            <w:tcW w:w="6325" w:type="dxa"/>
            <w:tcBorders/>
            <w:shd w:fill="FFFFFF" w:val="clear"/>
            <w:vAlign w:val="center"/>
          </w:tcPr>
          <w:p>
            <w:pPr>
              <w:pStyle w:val="TableContents"/>
              <w:bidi w:val="0"/>
              <w:spacing w:before="0" w:after="283"/>
              <w:jc w:val="left"/>
              <w:rPr/>
            </w:pPr>
            <w:hyperlink r:id="rId6">
              <w:r>
                <w:rPr>
                  <w:rStyle w:val="InternetLink"/>
                  <w:rFonts w:ascii="Arial" w:hAnsi="Arial"/>
                  <w:color w:val="0000FF"/>
                  <w:sz w:val="14"/>
                  <w:u w:val="single"/>
                </w:rPr>
                <w:t>Certificate of Designation of the Series A Junior Participating Preferred Stock of the Company, dated February 10, 2024</w:t>
              </w:r>
            </w:hyperlink>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8-K</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02/12/2024</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3.1</w:t>
            </w:r>
          </w:p>
        </w:tc>
        <w:tc>
          <w:tcPr>
            <w:tcW w:w="14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7">
              <w:r>
                <w:rPr>
                  <w:rStyle w:val="InternetLink"/>
                  <w:rFonts w:ascii="Arial" w:hAnsi="Arial"/>
                  <w:color w:val="0000FF"/>
                  <w:sz w:val="14"/>
                  <w:u w:val="single"/>
                </w:rPr>
                <w:t>Form of Registrant’s Class A common stock certificate.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8">
              <w:r>
                <w:rPr>
                  <w:rStyle w:val="InternetLink"/>
                  <w:rFonts w:ascii="Arial" w:hAnsi="Arial"/>
                  <w:color w:val="0000FF"/>
                  <w:sz w:val="14"/>
                  <w:u w:val="single"/>
                </w:rPr>
                <w:t>Amended and Restated Investors’ Rights Agreement, dated March 18, 2019 by and among the Registrant and the other parties thereto.</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11/20/2020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4.3</w:t>
            </w:r>
          </w:p>
        </w:tc>
        <w:tc>
          <w:tcPr>
            <w:tcW w:w="146" w:type="dxa"/>
            <w:tcBorders/>
            <w:shd w:fill="FFFFFF" w:val="clear"/>
            <w:vAlign w:val="center"/>
          </w:tcPr>
          <w:p>
            <w:pPr>
              <w:pStyle w:val="TableContents"/>
              <w:bidi w:val="0"/>
              <w:spacing w:before="0" w:after="283"/>
              <w:jc w:val="left"/>
              <w:rPr/>
            </w:pPr>
            <w:r>
              <w:rPr/>
              <w:t> </w:t>
            </w:r>
          </w:p>
        </w:tc>
        <w:tc>
          <w:tcPr>
            <w:tcW w:w="6325" w:type="dxa"/>
            <w:tcBorders/>
            <w:shd w:fill="FFFFFF" w:val="clear"/>
            <w:vAlign w:val="center"/>
          </w:tcPr>
          <w:p>
            <w:pPr>
              <w:pStyle w:val="TableContents"/>
              <w:bidi w:val="0"/>
              <w:spacing w:before="0" w:after="283"/>
              <w:jc w:val="left"/>
              <w:rPr/>
            </w:pPr>
            <w:hyperlink r:id="rId9">
              <w:r>
                <w:rPr>
                  <w:rStyle w:val="InternetLink"/>
                  <w:rFonts w:ascii="Arial" w:hAnsi="Arial"/>
                  <w:color w:val="0000FF"/>
                  <w:sz w:val="14"/>
                  <w:u w:val="single"/>
                </w:rPr>
                <w:t>Tax Benefits Preservation Plan, dated as of February 10, 2024, by and between the Company and Equiniti Trust Company, LLC, as rights agent (which includes the Form of Rights Certificate as Exhibit B thereto)</w:t>
              </w:r>
            </w:hyperlink>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8-K</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02/12/2024</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4.1</w:t>
            </w:r>
          </w:p>
        </w:tc>
        <w:tc>
          <w:tcPr>
            <w:tcW w:w="14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4.4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4_4.htm">
              <w:r>
                <w:rPr>
                  <w:rStyle w:val="InternetLink"/>
                  <w:rFonts w:ascii="Arial" w:hAnsi="Arial"/>
                  <w:color w:val="0000FF"/>
                  <w:sz w:val="14"/>
                  <w:u w:val="single"/>
                </w:rPr>
                <w:t>Description of Capital Stock.</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0">
              <w:r>
                <w:rPr>
                  <w:rStyle w:val="InternetLink"/>
                  <w:rFonts w:ascii="Arial" w:hAnsi="Arial"/>
                  <w:color w:val="0000FF"/>
                  <w:sz w:val="14"/>
                  <w:u w:val="single"/>
                </w:rPr>
                <w:t>Form of Indemnification Agreement between the Registrant and each of its directors and executive officers.**</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11/20/2020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1">
              <w:r>
                <w:rPr>
                  <w:rStyle w:val="InternetLink"/>
                  <w:rFonts w:ascii="Arial" w:hAnsi="Arial"/>
                  <w:color w:val="0000FF"/>
                  <w:sz w:val="14"/>
                  <w:u w:val="single"/>
                </w:rPr>
                <w:t>2010 Stock Plan, as amended, and forms of agreements thereunder.**</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12/16/2020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99.1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2">
              <w:r>
                <w:rPr>
                  <w:rStyle w:val="InternetLink"/>
                  <w:rFonts w:ascii="Arial" w:hAnsi="Arial"/>
                  <w:color w:val="0000FF"/>
                  <w:sz w:val="14"/>
                  <w:u w:val="single"/>
                </w:rPr>
                <w:t>2020 Equity Incentive Plan and form of agreements thereunder.**</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12/16/2020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99.2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3">
              <w:r>
                <w:rPr>
                  <w:rStyle w:val="InternetLink"/>
                  <w:rFonts w:ascii="Arial" w:hAnsi="Arial"/>
                  <w:color w:val="0000FF"/>
                  <w:sz w:val="14"/>
                  <w:u w:val="single"/>
                </w:rPr>
                <w:t>2020 Employee Stock Purchase Plan.**</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12/16/2020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99.3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10_5.htm">
              <w:r>
                <w:rPr>
                  <w:rStyle w:val="InternetLink"/>
                  <w:rFonts w:ascii="Arial" w:hAnsi="Arial"/>
                  <w:color w:val="0000FF"/>
                  <w:sz w:val="14"/>
                  <w:u w:val="single"/>
                </w:rPr>
                <w:t>Offer Letter, dated February 17, 2023, between the Registrant and Jun Yan.**</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4">
              <w:r>
                <w:rPr>
                  <w:rStyle w:val="InternetLink"/>
                  <w:rFonts w:ascii="Arial" w:hAnsi="Arial"/>
                  <w:color w:val="0000FF"/>
                  <w:sz w:val="14"/>
                  <w:u w:val="single"/>
                </w:rPr>
                <w:t>Offer Letter, dated October 7, 2021, between the Registrant and Vivian Liu.**</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10/25/2021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10_7.htm">
              <w:r>
                <w:rPr>
                  <w:rStyle w:val="InternetLink"/>
                  <w:rFonts w:ascii="Arial" w:hAnsi="Arial"/>
                  <w:color w:val="0000FF"/>
                  <w:sz w:val="14"/>
                  <w:u w:val="single"/>
                </w:rPr>
                <w:t>Offer Letter, dated June 21, 2021, between the Registrant and Mauricio Monico.**</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5">
              <w:r>
                <w:rPr>
                  <w:rStyle w:val="InternetLink"/>
                  <w:rFonts w:ascii="Arial" w:hAnsi="Arial"/>
                  <w:color w:val="0000FF"/>
                  <w:sz w:val="14"/>
                  <w:u w:val="single"/>
                </w:rPr>
                <w:t>Form of Executive Severance and Change in Control Agreement.**</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11/20/2020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10.9</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6">
              <w:r>
                <w:rPr>
                  <w:rStyle w:val="InternetLink"/>
                  <w:rFonts w:ascii="Arial" w:hAnsi="Arial"/>
                  <w:color w:val="0000FF"/>
                  <w:sz w:val="14"/>
                  <w:u w:val="single"/>
                </w:rPr>
                <w:t>Credit Agreement among the Registrant and JPMorgan Chase Bank, N.A. and the other parties thereto.</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7">
              <w:r>
                <w:rPr>
                  <w:rStyle w:val="InternetLink"/>
                  <w:rFonts w:ascii="Arial" w:hAnsi="Arial"/>
                  <w:color w:val="0000FF"/>
                  <w:sz w:val="14"/>
                  <w:u w:val="single"/>
                </w:rPr>
                <w:t>2022 New Employee Equity Incentive Plan and forms of agreements thereunder.**</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1/31/2022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99.1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r:id="rId18">
              <w:r>
                <w:rPr>
                  <w:rStyle w:val="InternetLink"/>
                  <w:rFonts w:ascii="Arial" w:hAnsi="Arial"/>
                  <w:color w:val="0000FF"/>
                  <w:sz w:val="14"/>
                  <w:u w:val="single"/>
                </w:rPr>
                <w:t>Subsidiaries of the Registrant.</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S-1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11/20/2020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23_1.htm">
              <w:r>
                <w:rPr>
                  <w:rStyle w:val="InternetLink"/>
                  <w:rFonts w:ascii="Arial" w:hAnsi="Arial"/>
                  <w:color w:val="0000FF"/>
                  <w:sz w:val="14"/>
                  <w:u w:val="single"/>
                </w:rPr>
                <w:t>Consent of PricewaterhouseCoopers LLP, Independent Registered Public Accounting Firm.</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24.1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signatures">
              <w:r>
                <w:rPr>
                  <w:rStyle w:val="InternetLink"/>
                  <w:rFonts w:ascii="Arial" w:hAnsi="Arial"/>
                  <w:color w:val="0000FF"/>
                  <w:sz w:val="14"/>
                  <w:u w:val="single"/>
                </w:rPr>
                <w:t>Power of Attorney (included in Signature Page)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31_1.htm">
              <w:r>
                <w:rPr>
                  <w:rStyle w:val="InternetLink"/>
                  <w:rFonts w:ascii="Arial" w:hAnsi="Arial"/>
                  <w:color w:val="0000FF"/>
                  <w:sz w:val="14"/>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31_2.htm">
              <w:r>
                <w:rPr>
                  <w:rStyle w:val="InternetLink"/>
                  <w:rFonts w:ascii="Arial" w:hAnsi="Arial"/>
                  <w:color w:val="0000FF"/>
                  <w:sz w:val="14"/>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32_1.htm">
              <w:r>
                <w:rPr>
                  <w:rStyle w:val="InternetLink"/>
                  <w:rFonts w:ascii="Arial" w:hAnsi="Arial"/>
                  <w:color w:val="0000FF"/>
                  <w:sz w:val="14"/>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pPr>
            <w:hyperlink w:anchor="wish-ex32_2.htm">
              <w:r>
                <w:rPr>
                  <w:rStyle w:val="InternetLink"/>
                  <w:rFonts w:ascii="Arial" w:hAnsi="Arial"/>
                  <w:color w:val="0000FF"/>
                  <w:sz w:val="14"/>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97.1</w:t>
            </w:r>
          </w:p>
        </w:tc>
        <w:tc>
          <w:tcPr>
            <w:tcW w:w="146" w:type="dxa"/>
            <w:tcBorders/>
            <w:shd w:fill="FFFFFF" w:val="clear"/>
            <w:vAlign w:val="center"/>
          </w:tcPr>
          <w:p>
            <w:pPr>
              <w:pStyle w:val="TableContents"/>
              <w:bidi w:val="0"/>
              <w:spacing w:before="0" w:after="283"/>
              <w:jc w:val="left"/>
              <w:rPr/>
            </w:pPr>
            <w:r>
              <w:rPr/>
              <w:t> </w:t>
            </w:r>
          </w:p>
        </w:tc>
        <w:tc>
          <w:tcPr>
            <w:tcW w:w="6325" w:type="dxa"/>
            <w:tcBorders/>
            <w:shd w:fill="FFFFFF" w:val="clear"/>
            <w:vAlign w:val="center"/>
          </w:tcPr>
          <w:p>
            <w:pPr>
              <w:pStyle w:val="TableContents"/>
              <w:bidi w:val="0"/>
              <w:spacing w:before="0" w:after="283"/>
              <w:jc w:val="left"/>
              <w:rPr/>
            </w:pPr>
            <w:hyperlink w:anchor="wish-ex97_1.htm">
              <w:r>
                <w:rPr>
                  <w:rStyle w:val="InternetLink"/>
                  <w:rFonts w:ascii="Arial" w:hAnsi="Arial"/>
                  <w:color w:val="0000FF"/>
                  <w:sz w:val="14"/>
                  <w:u w:val="single"/>
                </w:rPr>
                <w:t>ContextLogic Inc. Policy for the Recovery of Erroneously Awarded Compensation</w:t>
              </w:r>
            </w:hyperlink>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101.SCH</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Taxonomy Extension Schema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Instance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101.CAL</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Taxonomy Extension Calculation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101.DEF</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Taxonomy Extension Definition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101.LAB</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Taxonomy Extension Label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101.PRE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Inline XBRL Taxonomy Extension Presentation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r>
        <w:trPr/>
        <w:tc>
          <w:tcPr>
            <w:tcW w:w="674"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104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2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Cover Page Interactive Data File (formatted as Inline XBRL and contained in Exhibit 101)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center"/>
              <w:rPr>
                <w:rFonts w:ascii="Arial" w:hAnsi="Arial"/>
                <w:color w:val="000000"/>
                <w:sz w:val="14"/>
              </w:rPr>
            </w:pPr>
            <w:r>
              <w:rPr>
                <w:rFonts w:ascii="Arial" w:hAnsi="Arial"/>
                <w:color w:val="000000"/>
                <w:sz w:val="14"/>
              </w:rPr>
              <w:t>X</w:t>
            </w:r>
          </w:p>
        </w:tc>
      </w:tr>
    </w:tbl>
    <w:p>
      <w:pPr>
        <w:pStyle w:val="TextBody"/>
        <w:bidi w:val="0"/>
        <w:spacing w:before="120" w:after="283"/>
        <w:jc w:val="left"/>
        <w:rPr>
          <w:rFonts w:ascii="Arial" w:hAnsi="Arial"/>
          <w:color w:val="000000"/>
          <w:sz w:val="15"/>
        </w:rPr>
      </w:pPr>
      <w:r>
        <w:rPr>
          <w:rFonts w:ascii="Arial" w:hAnsi="Arial"/>
          <w:color w:val="000000"/>
          <w:sz w:val="15"/>
        </w:rPr>
        <w:t>*The certifications attached as Exhibits 32.1 and 32.2 that accompany this Annual Report on Form 10-K are deemed furnished and not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120" w:after="283"/>
        <w:jc w:val="both"/>
        <w:rPr>
          <w:rFonts w:ascii="Arial" w:hAnsi="Arial"/>
          <w:color w:val="000000"/>
          <w:sz w:val="15"/>
        </w:rPr>
      </w:pPr>
      <w:r>
        <w:rPr>
          <w:rFonts w:ascii="Arial" w:hAnsi="Arial"/>
          <w:color w:val="000000"/>
          <w:sz w:val="15"/>
        </w:rPr>
        <w:t>**Indicates a management contract or compensatory plan.</w:t>
      </w:r>
    </w:p>
    <w:p>
      <w:pPr>
        <w:pStyle w:val="TextBody"/>
        <w:bidi w:val="0"/>
        <w:spacing w:before="180" w:after="283"/>
        <w:jc w:val="both"/>
        <w:rPr>
          <w:rFonts w:ascii="Times New Roman" w:hAnsi="Times New Roman"/>
          <w:sz w:val="20"/>
        </w:rPr>
      </w:pPr>
      <w:bookmarkStart w:id="36" w:name="item_16_form_10k_summary"/>
      <w:bookmarkEnd w:id="36"/>
      <w:r>
        <w:rPr>
          <w:rFonts w:ascii="Arial" w:hAnsi="Arial"/>
          <w:b/>
          <w:color w:val="000000"/>
          <w:sz w:val="20"/>
        </w:rPr>
        <w:t>Item 16. Form</w:t>
      </w:r>
      <w:r>
        <w:rPr>
          <w:rFonts w:ascii="Times New Roman" w:hAnsi="Times New Roman"/>
          <w:color w:val="000000"/>
          <w:sz w:val="20"/>
        </w:rPr>
        <w:t xml:space="preserve"> </w:t>
      </w:r>
      <w:r>
        <w:rPr>
          <w:rFonts w:ascii="Arial" w:hAnsi="Arial"/>
          <w:b/>
          <w:color w:val="000000"/>
          <w:sz w:val="20"/>
        </w:rPr>
        <w:t>10-K Summary</w:t>
      </w:r>
    </w:p>
    <w:p>
      <w:pPr>
        <w:pStyle w:val="TextBody"/>
        <w:bidi w:val="0"/>
        <w:spacing w:before="180" w:after="283"/>
        <w:jc w:val="both"/>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Arial" w:hAnsi="Arial"/>
          <w:b/>
          <w:color w:val="000000"/>
          <w:sz w:val="20"/>
        </w:rPr>
      </w:pPr>
      <w:bookmarkStart w:id="37" w:name="signatures"/>
      <w:bookmarkEnd w:id="37"/>
      <w:r>
        <w:rPr>
          <w:rFonts w:ascii="Arial" w:hAnsi="Arial"/>
          <w:b/>
          <w:color w:val="000000"/>
          <w:sz w:val="20"/>
        </w:rPr>
        <w:t>SIGNATURES</w:t>
      </w:r>
    </w:p>
    <w:p>
      <w:pPr>
        <w:pStyle w:val="TextBody"/>
        <w:bidi w:val="0"/>
        <w:spacing w:before="180" w:after="283"/>
        <w:jc w:val="both"/>
        <w:rPr>
          <w:rFonts w:ascii="Times New Roman" w:hAnsi="Times New Roman"/>
          <w:sz w:val="20"/>
        </w:rPr>
      </w:pPr>
      <w:r>
        <w:rPr>
          <w:rFonts w:ascii="Arial" w:hAnsi="Arial"/>
          <w:color w:val="000000"/>
          <w:sz w:val="20"/>
        </w:rPr>
        <w:t>Pursuant to the requirements of Section 13 or 15(d) of the Securities Exchange Act of 1934, as amended, the Registrant has duly caused this Annual Report to be signed on its behalf by the undersigned, thereunto duly authorized</w:t>
      </w:r>
      <w:r>
        <w:rPr>
          <w:rFonts w:ascii="Arial" w:hAnsi="Arial"/>
          <w:b/>
          <w:color w:val="000000"/>
          <w:sz w:val="20"/>
        </w:rPr>
        <w:t>.</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91"/>
        <w:gridCol w:w="109"/>
        <w:gridCol w:w="406"/>
        <w:gridCol w:w="328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ContextLogic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and Director</w:t>
            </w:r>
          </w:p>
        </w:tc>
      </w:tr>
    </w:tbl>
    <w:p>
      <w:pPr>
        <w:pStyle w:val="TextBody"/>
        <w:bidi w:val="0"/>
        <w:spacing w:before="180" w:after="283"/>
        <w:jc w:val="both"/>
        <w:rPr>
          <w:rFonts w:ascii="Arial" w:hAnsi="Arial"/>
          <w:color w:val="000000"/>
          <w:sz w:val="20"/>
        </w:rPr>
      </w:pPr>
      <w:r>
        <w:rPr>
          <w:rFonts w:ascii="Arial" w:hAnsi="Arial"/>
          <w:color w:val="000000"/>
          <w:sz w:val="20"/>
        </w:rPr>
        <w:t>KNOW ALL PERSONS BY THESE PRESENTS, that each person whose signature appears below constitutes and appoints Jun Yan, Vivian Liu, and Joanna Forster,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as amended, this Annual Report has been signed below by the following persons on behalf of the Registrant in the capacities and on the dates indicated.</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1921"/>
        <w:gridCol w:w="146"/>
        <w:gridCol w:w="4996"/>
        <w:gridCol w:w="146"/>
        <w:gridCol w:w="132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Date</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Jun Yan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Jun Yan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Vivian Liu</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Chief Financial Officer and 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Vivian Liu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Brett Just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Chief Accounting Officer and Senior Vice President, 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Brett Just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Tanzeen Syed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 and Chairperson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Tanzeen Syed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Julie Bradley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Julie Bradley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Lawrence Kutscher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Lawrence Kutscher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Stephanie Tilenius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Stephanie Tilenius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Hans Tung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Hans Tung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Rishi Bajaj</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March 4, 2024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Rishi Bajaj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8" w:name="wish-ex4_4.htm"/>
      <w:bookmarkStart w:id="39" w:name="kswishex4_4"/>
      <w:bookmarkEnd w:id="38"/>
      <w:bookmarkEnd w:id="39"/>
      <w:r>
        <w:rPr>
          <w:rFonts w:ascii="Arial" w:hAnsi="Arial"/>
          <w:b/>
          <w:color w:val="000000"/>
          <w:sz w:val="20"/>
        </w:rPr>
        <w:t>Exhibit 4.4</w:t>
      </w:r>
      <w:r>
        <w:br w:type="page"/>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DESCRIPTION OF CAPITAL STOCK</w:t>
      </w:r>
    </w:p>
    <w:p>
      <w:pPr>
        <w:pStyle w:val="TextBody"/>
        <w:bidi w:val="0"/>
        <w:jc w:val="left"/>
        <w:rPr>
          <w:rFonts w:ascii="Arial" w:hAnsi="Arial"/>
          <w:b/>
          <w:color w:val="000000"/>
          <w:sz w:val="20"/>
        </w:rPr>
      </w:pPr>
      <w:r>
        <w:rPr>
          <w:rFonts w:ascii="Arial" w:hAnsi="Arial"/>
          <w:b/>
          <w:color w:val="000000"/>
          <w:sz w:val="20"/>
        </w:rPr>
        <w:t>General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following description of the capital stock of ContextLogic Inc. (“us”, “our,” “we”, or the “Company”) is a summary. Our Class A common stock is the only security of the Company registered under Section 12 of the Securities Exchange Act of 1934, as amended (the “Exchange Act”). We have adopted an amended and restated certificate of incorporation (“Certificate of Incorporation”) and amended and restated bylaws (“Bylaws”), and this description summarizes the provisions that are included in such documents. Because it is only a summary, it does not contain all the information that may be important to you. For a complete description of the matters set forth in this Exhibit 4.6, you should refer to our Certificate of Incorporation, Bylaws, and amended and restated investors’ rights agreement, each previously filed with the Securities and Exchange Commission and incorporated by reference as an exhibit to the Annual Report on Form 10-K of which this Exhibit 4.4 is a part, and to the applicable provisions of Delaware law.</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August 2022, in connection with the Company’s founder converting all shares of Class B common stock held by him into Class A common stock, the outstanding shares of Class B common stock following such conversion represented less than 5% of the aggregate number of shares of Class A common stock and Class B common stock outstanding after such conversion. Therefore, pursuant to the Certificate of Incorporation all remaining shares of Class B common stock were automatically converted into Class A common stock immediately following the founders’ conversion and no further Class B common stock will be issued (collectively, the “Conversion”). The Company subsequently filed a certificate with the Secretary of State of the State of Delaware effecting the retirement and cancellation of the shares of Class B common stock (“Certificate of Retirement”). All further references herein to common stock shall mean the Company’s Class A common stock.</w:t>
      </w:r>
    </w:p>
    <w:p>
      <w:pPr>
        <w:pStyle w:val="TextBody"/>
        <w:bidi w:val="0"/>
        <w:spacing w:before="180" w:after="283"/>
        <w:jc w:val="both"/>
        <w:rPr>
          <w:rFonts w:ascii="Arial" w:hAnsi="Arial"/>
          <w:color w:val="000000"/>
          <w:sz w:val="20"/>
        </w:rPr>
      </w:pPr>
      <w:r>
        <w:rPr>
          <w:rFonts w:ascii="Arial" w:hAnsi="Arial"/>
          <w:color w:val="000000"/>
          <w:sz w:val="20"/>
        </w:rPr>
        <w:t>Pursuant to the Certificate of Incorporation, the Conversion triggered various corporate governance changes as previously disclosed in the Company’s filings, which include:</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the Board became classified into three classes of directors with staggered three-year terms;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directors will be able to be removed only for cause and only by the affirmative vote of the holders of at least two-thirds of the voting power of the Common Stock; and</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stockholders will only be able to take action at a meeting of stockholders and not by written consent.</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Summary of Capital Stock</w:t>
      </w:r>
    </w:p>
    <w:p>
      <w:pPr>
        <w:pStyle w:val="TextBody"/>
        <w:bidi w:val="0"/>
        <w:spacing w:before="180" w:after="283"/>
        <w:jc w:val="both"/>
        <w:rPr>
          <w:rFonts w:ascii="Arial" w:hAnsi="Arial"/>
          <w:color w:val="000000"/>
          <w:sz w:val="20"/>
        </w:rPr>
      </w:pPr>
      <w:r>
        <w:rPr>
          <w:rFonts w:ascii="Arial" w:hAnsi="Arial"/>
          <w:color w:val="000000"/>
          <w:sz w:val="20"/>
        </w:rPr>
        <w:t>Our authorized capital stock consists of 3,100,000,000 shares, all with a par value of $0.0001 per share, of which:</w:t>
      </w:r>
    </w:p>
    <w:tbl>
      <w:tblPr>
        <w:tblW w:w="6508" w:type="dxa"/>
        <w:jc w:val="left"/>
        <w:tblInd w:w="0" w:type="dxa"/>
        <w:tblLayout w:type="fixed"/>
        <w:tblCellMar>
          <w:top w:w="28" w:type="dxa"/>
          <w:left w:w="28" w:type="dxa"/>
          <w:bottom w:w="28" w:type="dxa"/>
          <w:right w:w="28" w:type="dxa"/>
        </w:tblCellMar>
      </w:tblPr>
      <w:tblGrid>
        <w:gridCol w:w="124"/>
        <w:gridCol w:w="109"/>
        <w:gridCol w:w="109"/>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6" w:type="dxa"/>
            <w:tcBorders/>
            <w:shd w:fill="FFFFFF" w:val="clear"/>
            <w:vAlign w:val="center"/>
          </w:tcPr>
          <w:p>
            <w:pPr>
              <w:pStyle w:val="TableContents"/>
              <w:bidi w:val="0"/>
              <w:spacing w:before="0" w:after="283"/>
              <w:jc w:val="both"/>
              <w:rPr>
                <w:rFonts w:ascii="Arial" w:hAnsi="Arial"/>
                <w:color w:val="000000"/>
                <w:sz w:val="20"/>
              </w:rPr>
            </w:pPr>
            <w:r>
              <w:rPr>
                <w:rFonts w:ascii="Arial" w:hAnsi="Arial"/>
                <w:color w:val="000000"/>
                <w:sz w:val="20"/>
              </w:rPr>
              <w:t>3,000,000,000 shares are designated as Class A common stock; and</w:t>
            </w:r>
          </w:p>
        </w:tc>
      </w:tr>
    </w:tbl>
    <w:tbl>
      <w:tblPr>
        <w:tblW w:w="5233" w:type="dxa"/>
        <w:jc w:val="left"/>
        <w:tblInd w:w="0" w:type="dxa"/>
        <w:tblLayout w:type="fixed"/>
        <w:tblCellMar>
          <w:top w:w="28" w:type="dxa"/>
          <w:left w:w="28" w:type="dxa"/>
          <w:bottom w:w="28" w:type="dxa"/>
          <w:right w:w="28" w:type="dxa"/>
        </w:tblCellMar>
      </w:tblPr>
      <w:tblGrid>
        <w:gridCol w:w="124"/>
        <w:gridCol w:w="109"/>
        <w:gridCol w:w="109"/>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91" w:type="dxa"/>
            <w:tcBorders/>
            <w:shd w:fill="FFFFFF" w:val="clear"/>
            <w:vAlign w:val="center"/>
          </w:tcPr>
          <w:p>
            <w:pPr>
              <w:pStyle w:val="TableContents"/>
              <w:bidi w:val="0"/>
              <w:spacing w:before="0" w:after="283"/>
              <w:jc w:val="both"/>
              <w:rPr>
                <w:rFonts w:ascii="Arial" w:hAnsi="Arial"/>
                <w:color w:val="000000"/>
                <w:sz w:val="20"/>
              </w:rPr>
            </w:pPr>
            <w:r>
              <w:rPr>
                <w:rFonts w:ascii="Arial" w:hAnsi="Arial"/>
                <w:color w:val="000000"/>
                <w:sz w:val="20"/>
              </w:rPr>
              <w:t>100,000,000 shares are designated as preferred stock.</w:t>
            </w:r>
          </w:p>
        </w:tc>
      </w:tr>
    </w:tbl>
    <w:p>
      <w:pPr>
        <w:pStyle w:val="TextBody"/>
        <w:bidi w:val="0"/>
        <w:spacing w:before="270" w:after="283"/>
        <w:jc w:val="both"/>
        <w:rPr>
          <w:rFonts w:ascii="Arial" w:hAnsi="Arial"/>
          <w:b/>
          <w:i/>
          <w:color w:val="000000"/>
          <w:sz w:val="20"/>
        </w:rPr>
      </w:pPr>
      <w:r>
        <w:rPr>
          <w:rFonts w:ascii="Arial" w:hAnsi="Arial"/>
          <w:b/>
          <w:i/>
          <w:color w:val="000000"/>
          <w:sz w:val="20"/>
        </w:rPr>
        <w:t>Dividend Rights</w:t>
      </w:r>
    </w:p>
    <w:p>
      <w:pPr>
        <w:pStyle w:val="TextBody"/>
        <w:bidi w:val="0"/>
        <w:spacing w:before="90" w:after="283"/>
        <w:jc w:val="both"/>
        <w:rPr>
          <w:rFonts w:ascii="Times New Roman" w:hAnsi="Times New Roman"/>
          <w:sz w:val="20"/>
        </w:rPr>
      </w:pPr>
      <w:r>
        <w:rPr>
          <w:rFonts w:ascii="Arial" w:hAnsi="Arial"/>
          <w:color w:val="000000"/>
          <w:sz w:val="20"/>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w:t>
      </w:r>
      <w:r>
        <w:rPr>
          <w:rFonts w:ascii="Times New Roman" w:hAnsi="Times New Roman"/>
          <w:color w:val="000000"/>
          <w:sz w:val="20"/>
        </w:rPr>
        <w:t xml:space="preserve"> </w:t>
      </w:r>
      <w:r>
        <w:rPr>
          <w:rFonts w:ascii="Arial" w:hAnsi="Arial"/>
          <w:color w:val="000000"/>
          <w:sz w:val="20"/>
        </w:rPr>
        <w:t>at the times and in the amounts that our board of directors may determine.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before="270" w:after="283"/>
        <w:jc w:val="both"/>
        <w:rPr>
          <w:rFonts w:ascii="Arial" w:hAnsi="Arial"/>
          <w:b/>
          <w:i/>
          <w:color w:val="000000"/>
          <w:sz w:val="20"/>
        </w:rPr>
      </w:pPr>
      <w:r>
        <w:rPr>
          <w:rFonts w:ascii="Arial" w:hAnsi="Arial"/>
          <w:b/>
          <w:i/>
          <w:color w:val="000000"/>
          <w:sz w:val="20"/>
        </w:rPr>
        <w:t>Voting Rights</w:t>
      </w:r>
    </w:p>
    <w:p>
      <w:pPr>
        <w:pStyle w:val="TextBody"/>
        <w:bidi w:val="0"/>
        <w:spacing w:before="180" w:after="283"/>
        <w:jc w:val="both"/>
        <w:rPr>
          <w:rFonts w:ascii="Times New Roman" w:hAnsi="Times New Roman"/>
          <w:sz w:val="20"/>
        </w:rPr>
      </w:pPr>
      <w:r>
        <w:rPr>
          <w:rFonts w:ascii="Arial" w:hAnsi="Arial"/>
          <w:color w:val="000000"/>
          <w:sz w:val="20"/>
        </w:rPr>
        <w:t>The holders of our common stock are entitled to one vote per share. 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Arial" w:hAnsi="Arial"/>
          <w:color w:val="000000"/>
          <w:sz w:val="20"/>
        </w:rPr>
      </w:pPr>
      <w:r>
        <w:rPr>
          <w:rFonts w:ascii="Arial" w:hAnsi="Arial"/>
          <w:color w:val="000000"/>
          <w:sz w:val="20"/>
        </w:rPr>
        <w:t>privileges of holders of common stock are subject to, and may be impacted by, the rights of the holders of shares of any series of preferred stock that we may designate and issue in the future.</w:t>
      </w:r>
    </w:p>
    <w:p>
      <w:pPr>
        <w:pStyle w:val="TextBody"/>
        <w:bidi w:val="0"/>
        <w:jc w:val="both"/>
        <w:rPr>
          <w:rFonts w:ascii="Arial" w:hAnsi="Arial"/>
          <w:b/>
          <w:i/>
          <w:color w:val="000000"/>
          <w:sz w:val="20"/>
        </w:rPr>
      </w:pPr>
      <w:r>
        <w:rPr>
          <w:rFonts w:ascii="Arial" w:hAnsi="Arial"/>
          <w:b/>
          <w:i/>
          <w:color w:val="000000"/>
          <w:sz w:val="20"/>
        </w:rPr>
        <w:t>No Preemptive or Similar Rights</w:t>
      </w:r>
    </w:p>
    <w:p>
      <w:pPr>
        <w:pStyle w:val="TextBody"/>
        <w:bidi w:val="0"/>
        <w:spacing w:before="90" w:after="283"/>
        <w:jc w:val="both"/>
        <w:rPr>
          <w:rFonts w:ascii="Arial" w:hAnsi="Arial"/>
          <w:color w:val="000000"/>
          <w:sz w:val="20"/>
        </w:rPr>
      </w:pPr>
      <w:r>
        <w:rPr>
          <w:rFonts w:ascii="Arial" w:hAnsi="Arial"/>
          <w:color w:val="000000"/>
          <w:sz w:val="20"/>
        </w:rPr>
        <w:t>Holders of our common stock have no preemptive or conversion rights or other subscription rights, and there are no redemption or sinking fund provisions applicable to our common stock.</w:t>
      </w:r>
    </w:p>
    <w:p>
      <w:pPr>
        <w:pStyle w:val="TextBody"/>
        <w:bidi w:val="0"/>
        <w:spacing w:before="270" w:after="283"/>
        <w:jc w:val="both"/>
        <w:rPr>
          <w:rFonts w:ascii="Arial" w:hAnsi="Arial"/>
          <w:b/>
          <w:i/>
          <w:color w:val="000000"/>
          <w:sz w:val="20"/>
        </w:rPr>
      </w:pPr>
      <w:r>
        <w:rPr>
          <w:rFonts w:ascii="Arial" w:hAnsi="Arial"/>
          <w:b/>
          <w:i/>
          <w:color w:val="000000"/>
          <w:sz w:val="20"/>
        </w:rPr>
        <w:t>Right to Receive Liquidation Distributions</w:t>
      </w:r>
    </w:p>
    <w:p>
      <w:pPr>
        <w:pStyle w:val="TextBody"/>
        <w:bidi w:val="0"/>
        <w:spacing w:before="90" w:after="283"/>
        <w:jc w:val="both"/>
        <w:rPr>
          <w:rFonts w:ascii="Arial" w:hAnsi="Arial"/>
          <w:color w:val="000000"/>
          <w:sz w:val="20"/>
        </w:rPr>
      </w:pPr>
      <w:r>
        <w:rPr>
          <w:rFonts w:ascii="Arial" w:hAnsi="Arial"/>
          <w:color w:val="000000"/>
          <w:sz w:val="20"/>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bidi w:val="0"/>
        <w:spacing w:before="270" w:after="283"/>
        <w:jc w:val="both"/>
        <w:rPr>
          <w:rFonts w:ascii="Arial" w:hAnsi="Arial"/>
          <w:b/>
          <w:color w:val="000000"/>
          <w:sz w:val="20"/>
        </w:rPr>
      </w:pPr>
      <w:r>
        <w:rPr>
          <w:rFonts w:ascii="Arial" w:hAnsi="Arial"/>
          <w:b/>
          <w:color w:val="000000"/>
          <w:sz w:val="20"/>
        </w:rPr>
        <w:t>Preferred Stock</w:t>
      </w:r>
    </w:p>
    <w:p>
      <w:pPr>
        <w:pStyle w:val="TextBody"/>
        <w:bidi w:val="0"/>
        <w:spacing w:before="90" w:after="283"/>
        <w:jc w:val="both"/>
        <w:rPr>
          <w:rFonts w:ascii="Times New Roman" w:hAnsi="Times New Roman"/>
          <w:sz w:val="20"/>
        </w:rPr>
      </w:pPr>
      <w:r>
        <w:rPr>
          <w:rFonts w:ascii="Arial" w:hAnsi="Arial"/>
          <w:color w:val="000000"/>
          <w:sz w:val="20"/>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w:t>
      </w:r>
      <w:r>
        <w:rPr>
          <w:rFonts w:ascii="Times New Roman" w:hAnsi="Times New Roman"/>
          <w:color w:val="000000"/>
          <w:sz w:val="20"/>
        </w:rPr>
        <w:t xml:space="preserve"> </w:t>
      </w:r>
      <w:r>
        <w:rPr>
          <w:rFonts w:ascii="Arial" w:hAnsi="Arial"/>
          <w:color w:val="000000"/>
          <w:sz w:val="20"/>
        </w:rPr>
        <w:t>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pStyle w:val="TextBody"/>
        <w:bidi w:val="0"/>
        <w:spacing w:before="270" w:after="283"/>
        <w:jc w:val="both"/>
        <w:rPr>
          <w:rFonts w:ascii="Arial" w:hAnsi="Arial"/>
          <w:b/>
          <w:color w:val="000000"/>
          <w:sz w:val="20"/>
        </w:rPr>
      </w:pPr>
      <w:r>
        <w:rPr>
          <w:rFonts w:ascii="Arial" w:hAnsi="Arial"/>
          <w:b/>
          <w:color w:val="000000"/>
          <w:sz w:val="20"/>
        </w:rPr>
        <w:t>Registration Rights</w:t>
      </w:r>
    </w:p>
    <w:p>
      <w:pPr>
        <w:pStyle w:val="TextBody"/>
        <w:bidi w:val="0"/>
        <w:spacing w:before="90" w:after="283"/>
        <w:jc w:val="both"/>
        <w:rPr>
          <w:rFonts w:ascii="Arial" w:hAnsi="Arial"/>
          <w:color w:val="000000"/>
          <w:sz w:val="20"/>
        </w:rPr>
      </w:pPr>
      <w:r>
        <w:rPr>
          <w:rFonts w:ascii="Arial" w:hAnsi="Arial"/>
          <w:color w:val="000000"/>
          <w:sz w:val="20"/>
        </w:rPr>
        <w:t>Certain holders of our shares of our Class A common stock have registration rights. These shares are referred to as registrable securities. The holders of these registrable securities possess registration rights pursuant to the terms of our amended and restated investors’ rights agreement dated March 18, 2019, as amended (the “investors’ rights agreement”), which terms are described in additional detail below.</w:t>
      </w:r>
    </w:p>
    <w:p>
      <w:pPr>
        <w:pStyle w:val="TextBody"/>
        <w:bidi w:val="0"/>
        <w:spacing w:before="270" w:after="283"/>
        <w:jc w:val="both"/>
        <w:rPr>
          <w:rFonts w:ascii="Arial" w:hAnsi="Arial"/>
          <w:b/>
          <w:i/>
          <w:color w:val="000000"/>
          <w:sz w:val="20"/>
        </w:rPr>
      </w:pPr>
      <w:r>
        <w:rPr>
          <w:rFonts w:ascii="Arial" w:hAnsi="Arial"/>
          <w:b/>
          <w:i/>
          <w:color w:val="000000"/>
          <w:sz w:val="20"/>
        </w:rPr>
        <w:t>Demand Registration Rights</w:t>
      </w:r>
    </w:p>
    <w:p>
      <w:pPr>
        <w:pStyle w:val="TextBody"/>
        <w:bidi w:val="0"/>
        <w:spacing w:before="90" w:after="283"/>
        <w:jc w:val="both"/>
        <w:rPr>
          <w:rFonts w:ascii="Arial" w:hAnsi="Arial"/>
          <w:color w:val="000000"/>
          <w:sz w:val="20"/>
        </w:rPr>
      </w:pPr>
      <w:r>
        <w:rPr>
          <w:rFonts w:ascii="Arial" w:hAnsi="Arial"/>
          <w:color w:val="000000"/>
          <w:sz w:val="20"/>
        </w:rPr>
        <w:t>Under our investors’ rights agreement, upon the written request of the holders of not less than 50% of the registrable securities then outstanding that we file a registration statement under the Securities Act of 1933, as amended (the “Securities Act”) with an anticipated aggregate price to the public of at least $15 million, we will be obligated to use our commercially reasonable efforts to register the sale of all registrable securities that holders may request in writing to be registered within 20 days of the mailing of a notice by us to all holders of such registration. We are required to effect no more than two registration statements that are declared or ordered effective, subject to certain exceptions. We may postpone the filing of a registration statement for up to 90 days no more than once in any 12-month period if in the good faith judgment of our board of directors such registration would be seriously detrimental to us, and we do not file another registration statement on our account or that of any other stockholder during such 90 day period.</w:t>
      </w:r>
    </w:p>
    <w:p>
      <w:pPr>
        <w:pStyle w:val="TextBody"/>
        <w:bidi w:val="0"/>
        <w:spacing w:before="270" w:after="283"/>
        <w:jc w:val="both"/>
        <w:rPr>
          <w:rFonts w:ascii="Arial" w:hAnsi="Arial"/>
          <w:b/>
          <w:i/>
          <w:color w:val="000000"/>
          <w:sz w:val="20"/>
        </w:rPr>
      </w:pPr>
      <w:r>
        <w:rPr>
          <w:rFonts w:ascii="Arial" w:hAnsi="Arial"/>
          <w:b/>
          <w:i/>
          <w:color w:val="000000"/>
          <w:sz w:val="20"/>
        </w:rPr>
        <w:t>Piggyback Registration Rights</w:t>
      </w:r>
    </w:p>
    <w:p>
      <w:pPr>
        <w:pStyle w:val="TextBody"/>
        <w:bidi w:val="0"/>
        <w:spacing w:before="90" w:after="283"/>
        <w:jc w:val="both"/>
        <w:rPr>
          <w:rFonts w:ascii="Arial" w:hAnsi="Arial"/>
          <w:color w:val="000000"/>
          <w:sz w:val="20"/>
        </w:rPr>
      </w:pPr>
      <w:r>
        <w:rPr>
          <w:rFonts w:ascii="Arial" w:hAnsi="Arial"/>
          <w:color w:val="000000"/>
          <w:sz w:val="20"/>
        </w:rPr>
        <w:t>If we register any of our securities for public sale, we will be obligated to use all commercially reasonable efforts to register all registrable securities that the holders of such securities request in writing be registered within 20 days of mailing of notice by us to all holders of the proposed registration. However, this right does not apply to a registration relating solely to employee benefit plans, a registration relating to the offer and sale of debt securities or a registration relating to a corporate reorganization or other transaction under Rule 145 of the Securities Act. The managing underwriter of any underwritten offering will have the right to limit, due to marketing reasons, the number of shares registered by these holders to 30% of the total shares covered by the registration statement, except for in this offering, in which these holders may be excluded entirely if the underwriters determine that the sale of their shares may jeopardize the success of the offering.</w:t>
      </w:r>
    </w:p>
    <w:p>
      <w:pPr>
        <w:pStyle w:val="TextBody"/>
        <w:bidi w:val="0"/>
        <w:spacing w:before="270" w:after="283"/>
        <w:jc w:val="both"/>
        <w:rPr>
          <w:rFonts w:ascii="Arial" w:hAnsi="Arial"/>
          <w:b/>
          <w:i/>
          <w:color w:val="000000"/>
          <w:sz w:val="20"/>
        </w:rPr>
      </w:pPr>
      <w:r>
        <w:rPr>
          <w:rFonts w:ascii="Arial" w:hAnsi="Arial"/>
          <w:b/>
          <w:i/>
          <w:color w:val="000000"/>
          <w:sz w:val="20"/>
        </w:rPr>
        <w:t>Form S-3 Registration Rights</w:t>
      </w:r>
    </w:p>
    <w:p>
      <w:pPr>
        <w:pStyle w:val="TextBody"/>
        <w:bidi w:val="0"/>
        <w:spacing w:before="90" w:after="283"/>
        <w:jc w:val="both"/>
        <w:rPr>
          <w:rFonts w:ascii="Times New Roman" w:hAnsi="Times New Roman"/>
          <w:sz w:val="20"/>
        </w:rPr>
      </w:pPr>
      <w:r>
        <w:rPr>
          <w:rFonts w:ascii="Arial" w:hAnsi="Arial"/>
          <w:color w:val="000000"/>
          <w:sz w:val="20"/>
        </w:rPr>
        <w:t>The holders of the registrable securities can request that we register all or a portion of their shares on Form S-3 if we are eligible to file a registration statement on Form S-3 and the aggregate price to the public of the shares offered is at least $5 million. We are required to file no</w:t>
      </w:r>
      <w:r>
        <w:rPr>
          <w:rFonts w:ascii="Times New Roman" w:hAnsi="Times New Roman"/>
          <w:color w:val="000000"/>
          <w:sz w:val="20"/>
        </w:rPr>
        <w:t xml:space="preserve"> </w:t>
      </w:r>
      <w:r>
        <w:rPr>
          <w:rFonts w:ascii="Arial" w:hAnsi="Arial"/>
          <w:color w:val="000000"/>
          <w:sz w:val="20"/>
        </w:rPr>
        <w:t>more than one registration statement on Form S-3 per 12-month period upon exercise of these rights, subject to certain exceptions. We may postpone the filing of a registration statement for up to 90 days once in any 12-month period if in the good faith judgment of our board of directors such registration would be seriously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90" w:after="283"/>
        <w:jc w:val="both"/>
        <w:rPr>
          <w:rFonts w:ascii="Arial" w:hAnsi="Arial"/>
          <w:color w:val="000000"/>
          <w:sz w:val="20"/>
        </w:rPr>
      </w:pPr>
      <w:r>
        <w:rPr>
          <w:rFonts w:ascii="Arial" w:hAnsi="Arial"/>
          <w:color w:val="000000"/>
          <w:sz w:val="20"/>
        </w:rPr>
        <w:t>detrimental to us, and we do not register any other securities for our account or the account of any other stockholder during such 90-day period.</w:t>
      </w:r>
    </w:p>
    <w:p>
      <w:pPr>
        <w:pStyle w:val="TextBody"/>
        <w:bidi w:val="0"/>
        <w:spacing w:before="180" w:after="283"/>
        <w:jc w:val="both"/>
        <w:rPr>
          <w:rFonts w:ascii="Arial" w:hAnsi="Arial"/>
          <w:color w:val="000000"/>
          <w:sz w:val="20"/>
        </w:rPr>
      </w:pPr>
      <w:r>
        <w:rPr>
          <w:rFonts w:ascii="Arial" w:hAnsi="Arial"/>
          <w:color w:val="000000"/>
          <w:sz w:val="20"/>
        </w:rPr>
        <w:t>Additionally, we are required, once we become eligible to register securities on Form S-3, to use commercially reasonable efforts to qualify the registrable securities for registration on a delayed or continuous basis on Form S-3 pursuant to Rule 415 under the Securities Act. Holders of registrable securities may, no more than twice in a 12-month period, elect to sell registrable securities pursuant to such registration on a delayed or continuous basis, including up to once in a 12-month period through an underwritten offering.</w:t>
      </w:r>
    </w:p>
    <w:p>
      <w:pPr>
        <w:pStyle w:val="TextBody"/>
        <w:bidi w:val="0"/>
        <w:spacing w:before="270" w:after="283"/>
        <w:jc w:val="both"/>
        <w:rPr>
          <w:rFonts w:ascii="Arial" w:hAnsi="Arial"/>
          <w:b/>
          <w:i/>
          <w:color w:val="000000"/>
          <w:sz w:val="20"/>
        </w:rPr>
      </w:pPr>
      <w:r>
        <w:rPr>
          <w:rFonts w:ascii="Arial" w:hAnsi="Arial"/>
          <w:b/>
          <w:i/>
          <w:color w:val="000000"/>
          <w:sz w:val="20"/>
        </w:rPr>
        <w:t>Registration Expenses</w:t>
      </w:r>
    </w:p>
    <w:p>
      <w:pPr>
        <w:pStyle w:val="TextBody"/>
        <w:bidi w:val="0"/>
        <w:spacing w:before="90" w:after="283"/>
        <w:jc w:val="both"/>
        <w:rPr>
          <w:rFonts w:ascii="Arial" w:hAnsi="Arial"/>
          <w:color w:val="000000"/>
          <w:sz w:val="20"/>
        </w:rPr>
      </w:pPr>
      <w:r>
        <w:rPr>
          <w:rFonts w:ascii="Arial" w:hAnsi="Arial"/>
          <w:color w:val="000000"/>
          <w:sz w:val="20"/>
        </w:rPr>
        <w:t>We will pay all expenses (other than underwriting discounts, selling commissions and stock transfer taxes) of the holders incurred in connection with each of the registrations described above, subject to certain limitations. However, we will not pay for any expenses of any demand or Form S-3 registration if the request is subsequently withdrawn at the request of the holders of a majority of the registrable securities to be registered, subject to limited exceptions.</w:t>
      </w:r>
    </w:p>
    <w:p>
      <w:pPr>
        <w:pStyle w:val="TextBody"/>
        <w:bidi w:val="0"/>
        <w:spacing w:before="270" w:after="283"/>
        <w:jc w:val="both"/>
        <w:rPr>
          <w:rFonts w:ascii="Arial" w:hAnsi="Arial"/>
          <w:b/>
          <w:i/>
          <w:color w:val="000000"/>
          <w:sz w:val="20"/>
        </w:rPr>
      </w:pPr>
      <w:r>
        <w:rPr>
          <w:rFonts w:ascii="Arial" w:hAnsi="Arial"/>
          <w:b/>
          <w:i/>
          <w:color w:val="000000"/>
          <w:sz w:val="20"/>
        </w:rPr>
        <w:t>Termination of Registration Rights</w:t>
      </w:r>
    </w:p>
    <w:p>
      <w:pPr>
        <w:pStyle w:val="TextBody"/>
        <w:bidi w:val="0"/>
        <w:spacing w:before="90" w:after="283"/>
        <w:jc w:val="both"/>
        <w:rPr>
          <w:rFonts w:ascii="Arial" w:hAnsi="Arial"/>
          <w:color w:val="000000"/>
          <w:sz w:val="20"/>
        </w:rPr>
      </w:pPr>
      <w:r>
        <w:rPr>
          <w:rFonts w:ascii="Arial" w:hAnsi="Arial"/>
          <w:color w:val="000000"/>
          <w:sz w:val="20"/>
        </w:rPr>
        <w:t>The registration rights described above will terminate upon a liquidation event or as to any stockholder at such time as all of such stockholder’s securities (together with any affiliate of the stockholder with whom such stockholder must aggregate its sales) could be sold pursuant to Rule 144 of the Securities Act, but in any event no later than the third-year anniversary of our initial public offering.</w:t>
      </w:r>
    </w:p>
    <w:p>
      <w:pPr>
        <w:pStyle w:val="TextBody"/>
        <w:bidi w:val="0"/>
        <w:spacing w:before="270" w:after="283"/>
        <w:jc w:val="both"/>
        <w:rPr>
          <w:rFonts w:ascii="Arial" w:hAnsi="Arial"/>
          <w:b/>
          <w:color w:val="000000"/>
          <w:sz w:val="20"/>
        </w:rPr>
      </w:pPr>
      <w:r>
        <w:rPr>
          <w:rFonts w:ascii="Arial" w:hAnsi="Arial"/>
          <w:b/>
          <w:color w:val="000000"/>
          <w:sz w:val="20"/>
        </w:rPr>
        <w:t>Anti-Takeover Provisions</w:t>
      </w:r>
    </w:p>
    <w:p>
      <w:pPr>
        <w:pStyle w:val="TextBody"/>
        <w:bidi w:val="0"/>
        <w:spacing w:before="90" w:after="283"/>
        <w:jc w:val="both"/>
        <w:rPr>
          <w:rFonts w:ascii="Arial" w:hAnsi="Arial"/>
          <w:b/>
          <w:i/>
          <w:color w:val="000000"/>
          <w:sz w:val="20"/>
        </w:rPr>
      </w:pPr>
      <w:r>
        <w:rPr>
          <w:rFonts w:ascii="Arial" w:hAnsi="Arial"/>
          <w:b/>
          <w:i/>
          <w:color w:val="000000"/>
          <w:sz w:val="20"/>
        </w:rPr>
        <w:t>Section 203 of the Delaware General Corporation Law</w:t>
      </w:r>
    </w:p>
    <w:p>
      <w:pPr>
        <w:pStyle w:val="TextBody"/>
        <w:bidi w:val="0"/>
        <w:spacing w:before="90" w:after="283"/>
        <w:jc w:val="both"/>
        <w:rPr>
          <w:rFonts w:ascii="Arial" w:hAnsi="Arial"/>
          <w:color w:val="000000"/>
          <w:sz w:val="20"/>
        </w:rPr>
      </w:pPr>
      <w:r>
        <w:rPr>
          <w:rFonts w:ascii="Arial" w:hAnsi="Arial"/>
          <w:color w:val="000000"/>
          <w:sz w:val="20"/>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the transaction is approved by the board of directors prior to the time that the interested stockholder became an interested stockholder;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tc>
      </w:tr>
    </w:tbl>
    <w:p>
      <w:pPr>
        <w:pStyle w:val="TextBody"/>
        <w:bidi w:val="0"/>
        <w:spacing w:before="180" w:after="283"/>
        <w:jc w:val="both"/>
        <w:rPr>
          <w:rFonts w:ascii="Arial" w:hAnsi="Arial"/>
          <w:color w:val="000000"/>
          <w:sz w:val="20"/>
        </w:rPr>
      </w:pPr>
      <w:r>
        <w:rPr>
          <w:rFonts w:ascii="Arial" w:hAnsi="Arial"/>
          <w:color w:val="000000"/>
          <w:sz w:val="20"/>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pStyle w:val="TextBody"/>
        <w:bidi w:val="0"/>
        <w:jc w:val="both"/>
        <w:rPr>
          <w:rFonts w:ascii="Arial" w:hAnsi="Arial"/>
          <w:b/>
          <w:i/>
          <w:color w:val="000000"/>
          <w:sz w:val="20"/>
        </w:rPr>
      </w:pPr>
      <w:r>
        <w:rPr>
          <w:rFonts w:ascii="Arial" w:hAnsi="Arial"/>
          <w:b/>
          <w:i/>
          <w:color w:val="000000"/>
          <w:sz w:val="20"/>
        </w:rPr>
        <w:t>Certificate of Incorporation and Bylaw Provisions</w:t>
      </w:r>
    </w:p>
    <w:p>
      <w:pPr>
        <w:pStyle w:val="TextBody"/>
        <w:bidi w:val="0"/>
        <w:spacing w:before="90" w:after="283"/>
        <w:jc w:val="both"/>
        <w:rPr>
          <w:rFonts w:ascii="Arial" w:hAnsi="Arial"/>
          <w:color w:val="000000"/>
          <w:sz w:val="20"/>
        </w:rPr>
      </w:pPr>
      <w:r>
        <w:rPr>
          <w:rFonts w:ascii="Arial" w:hAnsi="Arial"/>
          <w:color w:val="000000"/>
          <w:sz w:val="20"/>
        </w:rPr>
        <w:t>Our Certificate of Incorporation and Bylaws include a number of provisions that may have the effect of deterring hostile takeovers or delaying or preventing changes in control of our management team, including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sz w:val="20"/>
              </w:rPr>
            </w:pPr>
            <w:r>
              <w:rPr>
                <w:rFonts w:ascii="Arial" w:hAnsi="Arial"/>
                <w:i/>
                <w:color w:val="000000"/>
                <w:sz w:val="20"/>
              </w:rPr>
              <w:t>Supermajority Approvals</w:t>
            </w:r>
            <w:r>
              <w:rPr>
                <w:rFonts w:ascii="Arial" w:hAnsi="Arial"/>
                <w:color w:val="000000"/>
                <w:sz w:val="20"/>
              </w:rPr>
              <w:t>. Our Certificate of Incorporation and Bylaws provide that certain amendments to our Certificate of Incorporation and Bylaws by stockholders will require the approval of two-thirds of the combined vote of our then-outstanding shares of common stock. This will have the effect of making it more difficult to amend our Certificate of Incorporation and Bylaws to remove or modify certain provisions.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sz w:val="20"/>
              </w:rPr>
            </w:pPr>
            <w:r>
              <w:rPr>
                <w:rFonts w:ascii="Arial" w:hAnsi="Arial"/>
                <w:i/>
                <w:color w:val="000000"/>
                <w:sz w:val="20"/>
              </w:rPr>
              <w:t>Board of Directors Vacancies</w:t>
            </w:r>
            <w:r>
              <w:rPr>
                <w:rFonts w:ascii="Arial" w:hAnsi="Arial"/>
                <w:color w:val="000000"/>
                <w:sz w:val="20"/>
              </w:rPr>
              <w:t>. Our Certificate of Incorporation and Bylaws authorize only our board of directors to fill vacant directorships. In addition, the number of directors constituting our board of directors is set only by resolution adopted by a majority vote of our entire board of directors. These provisions restricting the filling of vacancies will prevent a stockholder from increasing the size of our board of directors and gaining control of our board of directors by filling the resulting vacancies with its own nominees.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sz w:val="20"/>
              </w:rPr>
            </w:pPr>
            <w:r>
              <w:rPr>
                <w:rFonts w:ascii="Arial" w:hAnsi="Arial"/>
                <w:i/>
                <w:color w:val="000000"/>
                <w:sz w:val="20"/>
              </w:rPr>
              <w:t>Classified Board</w:t>
            </w:r>
            <w:r>
              <w:rPr>
                <w:rFonts w:ascii="Arial" w:hAnsi="Arial"/>
                <w:color w:val="000000"/>
                <w:sz w:val="20"/>
              </w:rPr>
              <w:t>. Our board of directors is classified into three classes of directors with staggered three-year terms and directors will only be able to be removed from office for cause. The existence of a classified board could delay a successful tender offeror from obtaining majority control of our board of directors, and the prospect of that delay might deter a potential offeror.</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90"/>
              <w:jc w:val="both"/>
              <w:rPr>
                <w:rFonts w:ascii="Times New Roman" w:hAnsi="Times New Roman"/>
                <w:sz w:val="20"/>
              </w:rPr>
            </w:pPr>
            <w:r>
              <w:rPr>
                <w:rFonts w:ascii="Arial" w:hAnsi="Arial"/>
                <w:i/>
                <w:color w:val="000000"/>
                <w:sz w:val="20"/>
              </w:rPr>
              <w:t xml:space="preserve">Stockholder Action; Special Meeting </w:t>
            </w:r>
            <w:r>
              <w:rPr>
                <w:rFonts w:ascii="Arial" w:hAnsi="Arial"/>
                <w:color w:val="000000"/>
                <w:sz w:val="20"/>
              </w:rPr>
              <w:t>of</w:t>
            </w:r>
            <w:r>
              <w:rPr>
                <w:rFonts w:ascii="Times New Roman" w:hAnsi="Times New Roman"/>
                <w:color w:val="000000"/>
                <w:sz w:val="20"/>
              </w:rPr>
              <w:t> </w:t>
            </w:r>
            <w:r>
              <w:rPr>
                <w:rFonts w:ascii="Arial" w:hAnsi="Arial"/>
                <w:i/>
                <w:color w:val="000000"/>
                <w:sz w:val="20"/>
              </w:rPr>
              <w:t>Stockholders</w:t>
            </w:r>
            <w:r>
              <w:rPr>
                <w:rFonts w:ascii="Arial" w:hAnsi="Arial"/>
                <w:color w:val="000000"/>
                <w:sz w:val="20"/>
              </w:rPr>
              <w:t>. Our stockholder are unable to take action by written consent, and will only be able to take action at annual or special meetings of our stockholders. Stockholders are not be permitted to cumulate their votes for the election of directors.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sz w:val="20"/>
              </w:rPr>
            </w:pPr>
            <w:r>
              <w:rPr>
                <w:rFonts w:ascii="Arial" w:hAnsi="Arial"/>
                <w:i/>
                <w:color w:val="000000"/>
                <w:sz w:val="20"/>
              </w:rPr>
              <w:t>Advance Notice Requirements for Stockholder Proposals and Director Nominations</w:t>
            </w:r>
            <w:r>
              <w:rPr>
                <w:rFonts w:ascii="Arial" w:hAnsi="Arial"/>
                <w:color w:val="000000"/>
                <w:sz w:val="20"/>
              </w:rPr>
              <w:t>. Our Bylaws provide for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sz w:val="20"/>
              </w:rPr>
            </w:pPr>
            <w:r>
              <w:rPr>
                <w:rFonts w:ascii="Arial" w:hAnsi="Arial"/>
                <w:i/>
                <w:color w:val="000000"/>
                <w:sz w:val="20"/>
              </w:rPr>
              <w:t>Issuance of Undesignated Preferred Stock</w:t>
            </w:r>
            <w:r>
              <w:rPr>
                <w:rFonts w:ascii="Arial" w:hAnsi="Arial"/>
                <w:color w:val="000000"/>
                <w:sz w:val="20"/>
              </w:rPr>
              <w:t>. Our board of directors will have the authority, without further action by the holders of common stock, to issue up to 100,000,000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tc>
      </w:tr>
    </w:tbl>
    <w:p>
      <w:pPr>
        <w:pStyle w:val="TextBody"/>
        <w:bidi w:val="0"/>
        <w:spacing w:before="270" w:after="283"/>
        <w:jc w:val="both"/>
        <w:rPr>
          <w:rFonts w:ascii="Arial" w:hAnsi="Arial"/>
          <w:b/>
          <w:i/>
          <w:color w:val="000000"/>
          <w:sz w:val="20"/>
        </w:rPr>
      </w:pPr>
      <w:r>
        <w:rPr>
          <w:rFonts w:ascii="Arial" w:hAnsi="Arial"/>
          <w:b/>
          <w:i/>
          <w:color w:val="000000"/>
          <w:sz w:val="20"/>
        </w:rPr>
        <w:t>Choice of Forum</w:t>
      </w:r>
    </w:p>
    <w:p>
      <w:pPr>
        <w:pStyle w:val="TextBody"/>
        <w:bidi w:val="0"/>
        <w:spacing w:before="90" w:after="283"/>
        <w:jc w:val="both"/>
        <w:rPr>
          <w:rFonts w:ascii="Times New Roman" w:hAnsi="Times New Roman"/>
          <w:sz w:val="20"/>
        </w:rPr>
      </w:pPr>
      <w:r>
        <w:rPr>
          <w:rFonts w:ascii="Arial" w:hAnsi="Arial"/>
          <w:color w:val="000000"/>
          <w:sz w:val="20"/>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Bylaws, any action to interpret, apply, enforce or determine the validity of our Certificate of Incorporation or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Transfer Agent and Registrar</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transfer agent and registrar for our Class A common stock and our Class B common stock is American Stock Transfer &amp; Trust Company. The transfer agent and registrar’s address is 6201 15th Avenue, Brooklyn, NY 11219.</w:t>
      </w:r>
    </w:p>
    <w:p>
      <w:pPr>
        <w:pStyle w:val="HorizontalLine"/>
        <w:pBdr>
          <w:bottom w:val="double" w:sz="2" w:space="0" w:color="808080"/>
        </w:pBdr>
        <w:bidi w:val="0"/>
        <w:spacing w:before="0" w:after="283"/>
        <w:jc w:val="left"/>
        <w:rPr/>
      </w:pPr>
      <w:r>
        <w:rPr/>
      </w:r>
    </w:p>
    <w:p>
      <w:pPr>
        <w:pStyle w:val="TextBody"/>
        <w:bidi w:val="0"/>
        <w:jc w:val="right"/>
        <w:rPr/>
      </w:pPr>
      <w:bookmarkStart w:id="40" w:name="wish-ex10_5.htm"/>
      <w:bookmarkStart w:id="41" w:name="kswishex10_5"/>
      <w:bookmarkEnd w:id="40"/>
      <w:bookmarkEnd w:id="41"/>
      <w:r>
        <w:rPr/>
        <w:t> </w:t>
      </w:r>
      <w:r>
        <w:br w:type="page"/>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rFonts w:ascii="Arial" w:hAnsi="Arial"/>
          <w:b/>
          <w:color w:val="000000"/>
          <w:sz w:val="20"/>
        </w:rPr>
      </w:pPr>
      <w:r>
        <w:rPr>
          <w:rFonts w:ascii="Arial" w:hAnsi="Arial"/>
          <w:b/>
          <w:color w:val="000000"/>
          <w:sz w:val="20"/>
        </w:rPr>
        <w:t>Exhibit 10.5</w:t>
      </w:r>
    </w:p>
    <w:p>
      <w:pPr>
        <w:pStyle w:val="TextBody"/>
        <w:bidi w:val="0"/>
        <w:jc w:val="right"/>
        <w:rPr/>
      </w:pPr>
      <w:r>
        <w:rPr/>
        <w:t> </w:t>
      </w:r>
    </w:p>
    <w:p>
      <w:pPr>
        <w:pStyle w:val="TextBody"/>
        <w:bidi w:val="0"/>
        <w:jc w:val="right"/>
        <w:rPr/>
      </w:pPr>
      <w:r>
        <w:rPr/>
        <w:drawing>
          <wp:inline distT="0" distB="0" distL="0" distR="0">
            <wp:extent cx="10763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1076325" cy="352425"/>
                    </a:xfrm>
                    <a:prstGeom prst="rect">
                      <a:avLst/>
                    </a:prstGeom>
                  </pic:spPr>
                </pic:pic>
              </a:graphicData>
            </a:graphic>
          </wp:inline>
        </w:drawing>
      </w:r>
      <w:r>
        <w:rPr/>
        <w:t> </w:t>
      </w:r>
    </w:p>
    <w:p>
      <w:pPr>
        <w:pStyle w:val="TextBody"/>
        <w:bidi w:val="0"/>
        <w:jc w:val="right"/>
        <w:rPr/>
      </w:pPr>
      <w:r>
        <w:rPr/>
        <w:t> </w:t>
      </w:r>
    </w:p>
    <w:p>
      <w:pPr>
        <w:pStyle w:val="TextBody"/>
        <w:bidi w:val="0"/>
        <w:jc w:val="right"/>
        <w:rPr/>
      </w:pPr>
      <w:r>
        <w:rPr/>
        <w:t> </w:t>
      </w:r>
    </w:p>
    <w:p>
      <w:pPr>
        <w:pStyle w:val="TextBody"/>
        <w:bidi w:val="0"/>
        <w:jc w:val="right"/>
        <w:rPr>
          <w:rFonts w:ascii="Arial" w:hAnsi="Arial"/>
          <w:color w:val="000000"/>
          <w:sz w:val="21"/>
        </w:rPr>
      </w:pPr>
      <w:r>
        <w:rPr>
          <w:rFonts w:ascii="Arial" w:hAnsi="Arial"/>
          <w:color w:val="000000"/>
          <w:sz w:val="21"/>
        </w:rPr>
        <w:t>One Sansome St. 33rd Floor</w:t>
      </w:r>
    </w:p>
    <w:p>
      <w:pPr>
        <w:pStyle w:val="TextBody"/>
        <w:bidi w:val="0"/>
        <w:jc w:val="right"/>
        <w:rPr>
          <w:rFonts w:ascii="Times New Roman" w:hAnsi="Times New Roman"/>
          <w:sz w:val="20"/>
        </w:rPr>
      </w:pPr>
      <w:r>
        <w:rPr>
          <w:rFonts w:ascii="Arial" w:hAnsi="Arial"/>
          <w:color w:val="000000"/>
          <w:sz w:val="21"/>
        </w:rPr>
        <w:t>San Francisco, CA 94104</w:t>
      </w:r>
      <w:r>
        <w:rPr>
          <w:rFonts w:ascii="Times New Roman" w:hAnsi="Times New Roman"/>
          <w:color w:val="000000"/>
          <w:sz w:val="20"/>
        </w:rPr>
        <w:t xml:space="preserve"> </w:t>
      </w:r>
    </w:p>
    <w:p>
      <w:pPr>
        <w:pStyle w:val="TextBody"/>
        <w:bidi w:val="0"/>
        <w:jc w:val="right"/>
        <w:rPr>
          <w:rFonts w:ascii="Arial" w:hAnsi="Arial"/>
          <w:color w:val="000000"/>
          <w:sz w:val="21"/>
        </w:rPr>
      </w:pPr>
      <w:r>
        <w:rPr>
          <w:rFonts w:ascii="Arial" w:hAnsi="Arial"/>
          <w:color w:val="000000"/>
          <w:sz w:val="21"/>
        </w:rPr>
        <w:t>hr@wish.com</w:t>
      </w:r>
    </w:p>
    <w:p>
      <w:pPr>
        <w:pStyle w:val="TextBody"/>
        <w:bidi w:val="0"/>
        <w:jc w:val="right"/>
        <w:rPr/>
      </w:pPr>
      <w:r>
        <w:rPr/>
        <w:t> </w:t>
      </w:r>
    </w:p>
    <w:p>
      <w:pPr>
        <w:pStyle w:val="TextBody"/>
        <w:bidi w:val="0"/>
        <w:jc w:val="left"/>
        <w:rPr>
          <w:rFonts w:ascii="Times New Roman" w:hAnsi="Times New Roman"/>
          <w:sz w:val="20"/>
        </w:rPr>
      </w:pPr>
      <w:r>
        <w:rPr>
          <w:rFonts w:ascii="Arial" w:hAnsi="Arial"/>
          <w:b/>
          <w:color w:val="000000"/>
          <w:sz w:val="21"/>
        </w:rPr>
        <w:t>February 17, 2023</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b/>
          <w:color w:val="000000"/>
          <w:sz w:val="21"/>
        </w:rPr>
        <w:t>VIA EMAIL</w:t>
      </w:r>
      <w:r>
        <w:rPr>
          <w:rFonts w:ascii="Times New Roman" w:hAnsi="Times New Roman"/>
          <w:color w:val="000000"/>
          <w:sz w:val="20"/>
        </w:rPr>
        <w:t xml:space="preserve"> </w:t>
      </w:r>
    </w:p>
    <w:p>
      <w:pPr>
        <w:pStyle w:val="TextBody"/>
        <w:bidi w:val="0"/>
        <w:jc w:val="left"/>
        <w:rPr>
          <w:rFonts w:ascii="Arial" w:hAnsi="Arial"/>
          <w:b/>
          <w:color w:val="000000"/>
          <w:sz w:val="21"/>
        </w:rPr>
      </w:pPr>
      <w:r>
        <w:rPr>
          <w:rFonts w:ascii="Arial" w:hAnsi="Arial"/>
          <w:b/>
          <w:color w:val="000000"/>
          <w:sz w:val="21"/>
        </w:rPr>
        <w:t>Jun (Joe) Yan</w:t>
      </w:r>
    </w:p>
    <w:p>
      <w:pPr>
        <w:pStyle w:val="TextBody"/>
        <w:bidi w:val="0"/>
        <w:jc w:val="left"/>
        <w:rPr>
          <w:rFonts w:ascii="Arial" w:hAnsi="Arial"/>
          <w:b/>
          <w:color w:val="000000"/>
          <w:sz w:val="21"/>
        </w:rPr>
      </w:pPr>
      <w:r>
        <w:rPr>
          <w:rFonts w:ascii="Arial" w:hAnsi="Arial"/>
          <w:b/>
          <w:color w:val="000000"/>
          <w:sz w:val="21"/>
        </w:rPr>
        <w:t>[ * * * ]</w:t>
      </w:r>
    </w:p>
    <w:p>
      <w:pPr>
        <w:pStyle w:val="TextBody"/>
        <w:bidi w:val="0"/>
        <w:spacing w:before="0" w:after="240"/>
        <w:jc w:val="left"/>
        <w:rPr/>
      </w:pPr>
      <w:r>
        <w:rPr/>
        <w:t> </w:t>
      </w:r>
    </w:p>
    <w:p>
      <w:pPr>
        <w:pStyle w:val="TextBody"/>
        <w:bidi w:val="0"/>
        <w:spacing w:before="0" w:after="240"/>
        <w:jc w:val="left"/>
        <w:rPr>
          <w:rFonts w:ascii="Arial" w:hAnsi="Arial"/>
          <w:color w:val="000000"/>
          <w:sz w:val="21"/>
        </w:rPr>
      </w:pPr>
      <w:r>
        <w:rPr>
          <w:rFonts w:ascii="Arial" w:hAnsi="Arial"/>
          <w:color w:val="000000"/>
          <w:sz w:val="21"/>
        </w:rPr>
        <w:t>Dear Joe:</w:t>
      </w:r>
    </w:p>
    <w:p>
      <w:pPr>
        <w:pStyle w:val="TextBody"/>
        <w:bidi w:val="0"/>
        <w:spacing w:before="0" w:after="240"/>
        <w:jc w:val="both"/>
        <w:rPr>
          <w:rFonts w:ascii="Times New Roman" w:hAnsi="Times New Roman"/>
          <w:sz w:val="20"/>
        </w:rPr>
      </w:pPr>
      <w:r>
        <w:rPr>
          <w:rFonts w:ascii="Arial" w:hAnsi="Arial"/>
          <w:color w:val="000000"/>
          <w:sz w:val="21"/>
        </w:rPr>
        <w:t xml:space="preserve">ContextLogic Inc. (the “Company” or “Wish”) is pleased to offer you continued employment in our </w:t>
      </w:r>
      <w:r>
        <w:rPr>
          <w:rFonts w:ascii="Arial" w:hAnsi="Arial"/>
          <w:b/>
          <w:color w:val="000000"/>
          <w:sz w:val="21"/>
        </w:rPr>
        <w:t xml:space="preserve">San Francisco </w:t>
      </w:r>
      <w:r>
        <w:rPr>
          <w:rFonts w:ascii="Arial" w:hAnsi="Arial"/>
          <w:color w:val="000000"/>
          <w:sz w:val="21"/>
        </w:rPr>
        <w:t>office, on the following terms:</w:t>
      </w:r>
    </w:p>
    <w:p>
      <w:pPr>
        <w:pStyle w:val="TextBody"/>
        <w:bidi w:val="0"/>
        <w:spacing w:before="0" w:after="240"/>
        <w:jc w:val="both"/>
        <w:rPr>
          <w:rFonts w:ascii="Arial" w:hAnsi="Arial"/>
          <w:color w:val="000000"/>
          <w:sz w:val="20"/>
        </w:rPr>
      </w:pPr>
      <w:r>
        <w:rPr>
          <w:rFonts w:ascii="Arial" w:hAnsi="Arial"/>
          <w:color w:val="000000"/>
          <w:sz w:val="20"/>
        </w:rPr>
        <w:t>1.</w:t>
      </w:r>
    </w:p>
    <w:p>
      <w:pPr>
        <w:pStyle w:val="TextBody"/>
        <w:bidi w:val="0"/>
        <w:spacing w:before="0" w:after="240"/>
        <w:jc w:val="both"/>
        <w:rPr/>
      </w:pPr>
      <w:r>
        <w:rPr>
          <w:rFonts w:ascii="Arial" w:hAnsi="Arial"/>
          <w:b/>
          <w:color w:val="000000"/>
          <w:sz w:val="21"/>
        </w:rPr>
        <w:t>Position and Appointment Date</w:t>
      </w:r>
      <w:r>
        <w:rPr>
          <w:rFonts w:ascii="Arial" w:hAnsi="Arial"/>
          <w:color w:val="000000"/>
          <w:sz w:val="21"/>
        </w:rPr>
        <w:t xml:space="preserve">. Your title will be </w:t>
      </w:r>
      <w:r>
        <w:rPr>
          <w:rFonts w:ascii="Arial" w:hAnsi="Arial"/>
          <w:b/>
          <w:color w:val="000000"/>
          <w:sz w:val="21"/>
        </w:rPr>
        <w:t>Chief Executive Officer</w:t>
      </w:r>
      <w:r>
        <w:rPr>
          <w:rFonts w:ascii="Arial" w:hAnsi="Arial"/>
          <w:color w:val="000000"/>
          <w:sz w:val="21"/>
        </w:rPr>
        <w:t xml:space="preserve">. In this role, you will report to the Company’s Board of Directors and you will be expected to perform such duties and exercise such responsibilities as are assigned to you from time-to-time. In carrying out these duties and responsibilities, you shall comply with all policies, procedures, rules and regulations, both written and oral, as are provided by the Company from time-to-time, and carry out said duties and responsibilities in a diligent, faithful and honest manner. The effective date of your appointment as Chief Executive Officer will be </w:t>
      </w:r>
      <w:r>
        <w:rPr>
          <w:rFonts w:ascii="Arial" w:hAnsi="Arial"/>
          <w:b/>
          <w:color w:val="000000"/>
          <w:sz w:val="21"/>
        </w:rPr>
        <w:t>February 21, 2023</w:t>
      </w:r>
      <w:r>
        <w:rPr>
          <w:color w:val="000000"/>
        </w:rPr>
        <w:t xml:space="preserve"> </w:t>
      </w:r>
      <w:r>
        <w:rPr>
          <w:rFonts w:ascii="Arial" w:hAnsi="Arial"/>
          <w:color w:val="000000"/>
          <w:sz w:val="21"/>
        </w:rPr>
        <w:t xml:space="preserve">or such other date as may be mutually agreed upon by you and the Company (“Appointment Date”); this will also be your appointment date for external reporting purposes. You will also be appointed as a member of our Board of Directors, effective as of your Appointment Date. </w:t>
      </w:r>
    </w:p>
    <w:p>
      <w:pPr>
        <w:pStyle w:val="TextBody"/>
        <w:bidi w:val="0"/>
        <w:spacing w:before="0" w:after="240"/>
        <w:jc w:val="both"/>
        <w:rPr>
          <w:rFonts w:ascii="Arial" w:hAnsi="Arial"/>
          <w:color w:val="000000"/>
          <w:sz w:val="20"/>
        </w:rPr>
      </w:pPr>
      <w:r>
        <w:rPr>
          <w:rFonts w:ascii="Arial" w:hAnsi="Arial"/>
          <w:color w:val="000000"/>
          <w:sz w:val="20"/>
        </w:rPr>
        <w:t>2.</w:t>
      </w:r>
    </w:p>
    <w:p>
      <w:pPr>
        <w:pStyle w:val="TextBody"/>
        <w:bidi w:val="0"/>
        <w:spacing w:before="0" w:after="240"/>
        <w:jc w:val="both"/>
        <w:rPr/>
      </w:pPr>
      <w:r>
        <w:rPr>
          <w:rFonts w:ascii="Arial" w:hAnsi="Arial"/>
          <w:b/>
          <w:color w:val="000000"/>
          <w:sz w:val="21"/>
        </w:rPr>
        <w:t xml:space="preserve">Superseding of Interim CEO Offer Letter. </w:t>
      </w:r>
      <w:r>
        <w:rPr>
          <w:rFonts w:ascii="Arial" w:hAnsi="Arial"/>
          <w:color w:val="000000"/>
          <w:sz w:val="21"/>
        </w:rPr>
        <w:t xml:space="preserve">The terms contained in this Offer Letter fully replace and supersede the terms of your Interim Chief Executive Officer Offer Letter dated September 7, 2022 (the “Interim CEO Offer Letter”), with the exception of Sections 3, 5 and 6 of the Interim CEO Offer Letter. You will retain all benefits awarded to you in Sections 3, 5 and 6 of the Interim CEO Offer Letter. </w:t>
      </w:r>
    </w:p>
    <w:p>
      <w:pPr>
        <w:pStyle w:val="TextBody"/>
        <w:bidi w:val="0"/>
        <w:spacing w:before="0" w:after="240"/>
        <w:jc w:val="both"/>
        <w:rPr>
          <w:rFonts w:ascii="Arial" w:hAnsi="Arial"/>
          <w:color w:val="000000"/>
          <w:sz w:val="20"/>
        </w:rPr>
      </w:pPr>
      <w:r>
        <w:rPr>
          <w:rFonts w:ascii="Arial" w:hAnsi="Arial"/>
          <w:color w:val="000000"/>
          <w:sz w:val="20"/>
        </w:rPr>
        <w:t>3.</w:t>
      </w:r>
    </w:p>
    <w:p>
      <w:pPr>
        <w:pStyle w:val="TextBody"/>
        <w:bidi w:val="0"/>
        <w:spacing w:before="0" w:after="240"/>
        <w:jc w:val="both"/>
        <w:rPr/>
      </w:pPr>
      <w:r>
        <w:rPr>
          <w:rFonts w:ascii="Arial" w:hAnsi="Arial"/>
          <w:b/>
          <w:color w:val="000000"/>
          <w:sz w:val="21"/>
        </w:rPr>
        <w:t>Compensation</w:t>
      </w:r>
      <w:r>
        <w:rPr>
          <w:rFonts w:ascii="Arial" w:hAnsi="Arial"/>
          <w:color w:val="000000"/>
          <w:sz w:val="21"/>
        </w:rPr>
        <w:t xml:space="preserve">. The Company will pay you a starting base salary of </w:t>
      </w:r>
      <w:r>
        <w:rPr>
          <w:rFonts w:ascii="Arial" w:hAnsi="Arial"/>
          <w:b/>
          <w:color w:val="000000"/>
          <w:sz w:val="21"/>
        </w:rPr>
        <w:t xml:space="preserve">$550,000 </w:t>
      </w:r>
      <w:r>
        <w:rPr>
          <w:rFonts w:ascii="Arial" w:hAnsi="Arial"/>
          <w:color w:val="000000"/>
          <w:sz w:val="21"/>
        </w:rPr>
        <w:t xml:space="preserve">per year, payable in accordance with the Company’s standard payroll schedule. This salary will be subject to adjustment pursuant to the Company’s employee compensation policies and procedures in effect from time to time. </w:t>
      </w:r>
    </w:p>
    <w:p>
      <w:pPr>
        <w:pStyle w:val="TextBody"/>
        <w:bidi w:val="0"/>
        <w:spacing w:before="0" w:after="240"/>
        <w:jc w:val="both"/>
        <w:rPr>
          <w:rFonts w:ascii="Arial" w:hAnsi="Arial"/>
          <w:color w:val="000000"/>
          <w:sz w:val="20"/>
        </w:rPr>
      </w:pPr>
      <w:r>
        <w:rPr>
          <w:rFonts w:ascii="Arial" w:hAnsi="Arial"/>
          <w:color w:val="000000"/>
          <w:sz w:val="20"/>
        </w:rPr>
        <w:t>4.</w:t>
      </w:r>
    </w:p>
    <w:p>
      <w:pPr>
        <w:pStyle w:val="TextBody"/>
        <w:bidi w:val="0"/>
        <w:spacing w:before="0" w:after="240"/>
        <w:jc w:val="both"/>
        <w:rPr/>
      </w:pPr>
      <w:r>
        <w:rPr>
          <w:rFonts w:ascii="Arial" w:hAnsi="Arial"/>
          <w:b/>
          <w:color w:val="000000"/>
          <w:sz w:val="21"/>
        </w:rPr>
        <w:t>Bonus</w:t>
      </w:r>
      <w:r>
        <w:rPr>
          <w:rFonts w:ascii="Arial" w:hAnsi="Arial"/>
          <w:color w:val="000000"/>
          <w:sz w:val="21"/>
        </w:rPr>
        <w:t xml:space="preserve">: You will be eligible to participate in any Company-sponsored bonus plan for the Company’s executive officers, with a target bonus percentage set by the Compensation Committee of the Board of Directors. </w:t>
      </w:r>
    </w:p>
    <w:p>
      <w:pPr>
        <w:pStyle w:val="TextBody"/>
        <w:bidi w:val="0"/>
        <w:spacing w:before="0" w:after="240"/>
        <w:jc w:val="both"/>
        <w:rPr>
          <w:rFonts w:ascii="Arial" w:hAnsi="Arial"/>
          <w:color w:val="000000"/>
          <w:sz w:val="20"/>
        </w:rPr>
      </w:pPr>
      <w:r>
        <w:rPr>
          <w:rFonts w:ascii="Arial" w:hAnsi="Arial"/>
          <w:color w:val="000000"/>
          <w:sz w:val="20"/>
        </w:rPr>
        <w:t>5.</w:t>
      </w:r>
    </w:p>
    <w:p>
      <w:pPr>
        <w:pStyle w:val="TextBody"/>
        <w:bidi w:val="0"/>
        <w:spacing w:before="0" w:after="240"/>
        <w:jc w:val="both"/>
        <w:rPr/>
      </w:pPr>
      <w:r>
        <w:rPr>
          <w:rFonts w:ascii="Arial" w:hAnsi="Arial"/>
          <w:b/>
          <w:color w:val="000000"/>
          <w:sz w:val="21"/>
        </w:rPr>
        <w:t>Employee Benefits</w:t>
      </w:r>
      <w:r>
        <w:rPr>
          <w:rFonts w:ascii="Arial" w:hAnsi="Arial"/>
          <w:color w:val="000000"/>
          <w:sz w:val="21"/>
        </w:rPr>
        <w:t>. As a regular employee of the Company, you will be eligible to participate in a number of Company-sponsored benefits, including our group health insurance plan, in accordance with the applicable plan documents and policies. The Company reserves the right to modify or discontinue such benefit plans in its sole discretion. In addition, you will be eligible for paid time off in accordance with the Company’s paid time off policy, as in effect from time to time. A copy of the current paid time off policy will be provided to you and any subsequent versions will be posted on the Company’s wiki/intranet.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240"/>
        <w:jc w:val="right"/>
        <w:rPr/>
      </w:pPr>
      <w:r>
        <w:rPr/>
        <w:drawing>
          <wp:inline distT="0" distB="0" distL="0" distR="0">
            <wp:extent cx="10763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076325" cy="352425"/>
                    </a:xfrm>
                    <a:prstGeom prst="rect">
                      <a:avLst/>
                    </a:prstGeom>
                  </pic:spPr>
                </pic:pic>
              </a:graphicData>
            </a:graphic>
          </wp:inline>
        </w:drawing>
      </w:r>
      <w:r>
        <w:rPr>
          <w:color w:val="000000"/>
        </w:rPr>
        <w:t xml:space="preserve"> </w:t>
      </w:r>
    </w:p>
    <w:p>
      <w:pPr>
        <w:pStyle w:val="TextBody"/>
        <w:bidi w:val="0"/>
        <w:spacing w:before="0" w:after="240"/>
        <w:jc w:val="both"/>
        <w:rPr>
          <w:rFonts w:ascii="Arial" w:hAnsi="Arial"/>
          <w:color w:val="000000"/>
          <w:sz w:val="20"/>
        </w:rPr>
      </w:pPr>
      <w:r>
        <w:rPr>
          <w:rFonts w:ascii="Arial" w:hAnsi="Arial"/>
          <w:color w:val="000000"/>
          <w:sz w:val="20"/>
        </w:rPr>
        <w:t>6.</w:t>
      </w:r>
    </w:p>
    <w:p>
      <w:pPr>
        <w:pStyle w:val="TextBody"/>
        <w:bidi w:val="0"/>
        <w:spacing w:before="0" w:after="240"/>
        <w:jc w:val="both"/>
        <w:rPr/>
      </w:pPr>
      <w:r>
        <w:rPr>
          <w:rFonts w:ascii="Arial" w:hAnsi="Arial"/>
          <w:b/>
          <w:color w:val="000000"/>
          <w:sz w:val="21"/>
        </w:rPr>
        <w:t>Restricted Stock Units.</w:t>
      </w:r>
      <w:r>
        <w:rPr>
          <w:color w:val="000000"/>
        </w:rPr>
        <w:t xml:space="preserve"> </w:t>
      </w:r>
      <w:r>
        <w:rPr>
          <w:rFonts w:ascii="Arial" w:hAnsi="Arial"/>
          <w:color w:val="000000"/>
          <w:sz w:val="21"/>
        </w:rPr>
        <w:t xml:space="preserve">Subject to the approval of the Company’s Board of Directors, you will be granted an award of Restricted Stock Units (“RSUs”) for that number of shares of the Company’s Class A Common Stock equal to </w:t>
      </w:r>
      <w:r>
        <w:rPr>
          <w:rFonts w:ascii="Arial" w:hAnsi="Arial"/>
          <w:b/>
          <w:color w:val="000000"/>
          <w:sz w:val="21"/>
        </w:rPr>
        <w:t>$3,000,000</w:t>
      </w:r>
      <w:r>
        <w:rPr>
          <w:color w:val="000000"/>
        </w:rPr>
        <w:t xml:space="preserve"> </w:t>
      </w:r>
      <w:r>
        <w:rPr>
          <w:rFonts w:ascii="Arial" w:hAnsi="Arial"/>
          <w:color w:val="000000"/>
          <w:sz w:val="21"/>
        </w:rPr>
        <w:t xml:space="preserve">divided </w:t>
      </w:r>
      <w:r>
        <w:rPr>
          <w:rFonts w:ascii="Arial" w:hAnsi="Arial"/>
          <w:color w:val="222222"/>
          <w:sz w:val="21"/>
        </w:rPr>
        <w:t xml:space="preserve">by the average closing price of a share of the Company’s Class A Common Stock as reported on Nasdaq during the full calendar month prior to the date of grant, rounded down to the nearest whole share. The date of grant is expected to be </w:t>
      </w:r>
      <w:r>
        <w:rPr>
          <w:rFonts w:ascii="Arial" w:hAnsi="Arial"/>
          <w:color w:val="000000"/>
          <w:sz w:val="21"/>
        </w:rPr>
        <w:t>two (2) business days after the Company announces its earnings for the fiscal year ended December 31, 2022.</w:t>
      </w:r>
      <w:r>
        <w:rPr>
          <w:color w:val="222222"/>
        </w:rPr>
        <w:t xml:space="preserve"> </w:t>
      </w:r>
      <w:r>
        <w:rPr>
          <w:rFonts w:ascii="Arial" w:hAnsi="Arial"/>
          <w:color w:val="222222"/>
          <w:sz w:val="21"/>
        </w:rPr>
        <w:t xml:space="preserve">RSUs will vest over time based on your continuous service with the Company, with the first 1/8th of the RSUs vesting on May 15, 2023. An additional 1/8th of the RSUs will vest on each Company Vesting Date thereafter, provided that you remain in continuous service through each such Company Vesting Date. </w:t>
      </w:r>
      <w:r>
        <w:rPr>
          <w:rFonts w:ascii="Arial" w:hAnsi="Arial"/>
          <w:color w:val="000000"/>
          <w:sz w:val="21"/>
        </w:rPr>
        <w:t xml:space="preserve">For the avoidance of doubt, “service” for purposes of the RSUs shall include service as an employee, consultant, director or member of the Board of Directors. </w:t>
      </w:r>
      <w:r>
        <w:rPr>
          <w:rFonts w:ascii="Arial" w:hAnsi="Arial"/>
          <w:color w:val="222222"/>
          <w:sz w:val="21"/>
        </w:rPr>
        <w:t xml:space="preserve">A “Company Vesting Date” means February 15th, May 15th, August 15th, or November 15th. </w:t>
      </w:r>
      <w:r>
        <w:rPr>
          <w:rFonts w:ascii="Arial" w:hAnsi="Arial"/>
          <w:color w:val="000000"/>
          <w:sz w:val="21"/>
        </w:rPr>
        <w:t xml:space="preserve">The RSUs will be subject to the terms and conditions applicable to RSUs granted under the Company’s 2020 Equity Incentive Plan (the “Plan”), as amended, your Notice of Restricted Stock Unit Award and Restricted Stock Unit Agreement, which will all be distributed to you as soon as practicable after the date of grant of the RSUs . </w:t>
      </w:r>
    </w:p>
    <w:p>
      <w:pPr>
        <w:pStyle w:val="TextBody"/>
        <w:bidi w:val="0"/>
        <w:spacing w:before="0" w:after="240"/>
        <w:jc w:val="both"/>
        <w:rPr>
          <w:rFonts w:ascii="Arial" w:hAnsi="Arial"/>
          <w:color w:val="000000"/>
          <w:sz w:val="20"/>
        </w:rPr>
      </w:pPr>
      <w:r>
        <w:rPr>
          <w:rFonts w:ascii="Arial" w:hAnsi="Arial"/>
          <w:color w:val="000000"/>
          <w:sz w:val="20"/>
        </w:rPr>
        <w:t>7.</w:t>
      </w:r>
    </w:p>
    <w:p>
      <w:pPr>
        <w:pStyle w:val="TextBody"/>
        <w:bidi w:val="0"/>
        <w:spacing w:before="0" w:after="240"/>
        <w:jc w:val="both"/>
        <w:rPr/>
      </w:pPr>
      <w:r>
        <w:rPr>
          <w:rFonts w:ascii="Arial" w:hAnsi="Arial"/>
          <w:b/>
          <w:color w:val="000000"/>
          <w:sz w:val="21"/>
        </w:rPr>
        <w:t>Stock Options.</w:t>
      </w:r>
      <w:r>
        <w:rPr>
          <w:color w:val="000000"/>
        </w:rPr>
        <w:t xml:space="preserve"> </w:t>
      </w:r>
      <w:r>
        <w:rPr>
          <w:rFonts w:ascii="Arial" w:hAnsi="Arial"/>
          <w:color w:val="000000"/>
          <w:sz w:val="21"/>
        </w:rPr>
        <w:t xml:space="preserve">Subject to the approval of the Company’s Board of Directors, you will be granted an option to purchase that number of shares of the Company’s Class A Common Stock equal to </w:t>
      </w:r>
      <w:r>
        <w:rPr>
          <w:rFonts w:ascii="Arial" w:hAnsi="Arial"/>
          <w:b/>
          <w:color w:val="000000"/>
          <w:sz w:val="21"/>
        </w:rPr>
        <w:t>$5,390,000</w:t>
      </w:r>
      <w:r>
        <w:rPr>
          <w:color w:val="000000"/>
        </w:rPr>
        <w:t xml:space="preserve"> </w:t>
      </w:r>
      <w:r>
        <w:rPr>
          <w:rFonts w:ascii="Arial" w:hAnsi="Arial"/>
          <w:color w:val="000000"/>
          <w:sz w:val="21"/>
        </w:rPr>
        <w:t xml:space="preserve">divided by the average closing price of a share of the Company’s Class A Common Stock as reported on Nasdaq during the full calendar month </w:t>
      </w:r>
      <w:r>
        <w:rPr>
          <w:rFonts w:ascii="Arial" w:hAnsi="Arial"/>
          <w:color w:val="222222"/>
          <w:sz w:val="21"/>
        </w:rPr>
        <w:t>prior to the date of grant</w:t>
      </w:r>
      <w:r>
        <w:rPr>
          <w:rFonts w:ascii="Arial" w:hAnsi="Arial"/>
          <w:color w:val="000000"/>
          <w:sz w:val="21"/>
        </w:rPr>
        <w:t xml:space="preserve">, rounded down to the nearest whole share (the “Option”). The exercise price per share of the Option will be equal to the fair market value of the Company’s Class A Common Stock on the date of grant, which is expected to occur two (2) business days after the Company announces its earnings for the fiscal year ended December 31, 2022. The Option will vest and become exercisable over time based on your continuous service with the Company, with </w:t>
      </w:r>
      <w:r>
        <w:rPr>
          <w:rFonts w:ascii="Arial" w:hAnsi="Arial"/>
          <w:color w:val="222222"/>
          <w:sz w:val="21"/>
        </w:rPr>
        <w:t xml:space="preserve">the first 1/8th of the Option shares vesting on May 15, 2023. An additional 1/8th of the Option shares will vest on each Company Vesting Date thereafter, provided that you remain in continuous service through each such Company Vesting Date. </w:t>
      </w:r>
      <w:r>
        <w:rPr>
          <w:rFonts w:ascii="Arial" w:hAnsi="Arial"/>
          <w:color w:val="000000"/>
          <w:sz w:val="21"/>
        </w:rPr>
        <w:t xml:space="preserve">For the avoidance of doubt, “service” for purposes of the Option shall include service as an employee, consultant, director or member of the board of directors. A “Company Vesting Date” means February 15th, May 15th, August 15th, or November 15th. The Option will be subject to the terms and conditions applicable to options granted under the Plan, as amended, your Notice of Stock Option Grant and Stock Option Agreement, which will all be distributed to you as soon as practicable after the date of grant of the Option. </w:t>
      </w:r>
    </w:p>
    <w:p>
      <w:pPr>
        <w:pStyle w:val="TextBody"/>
        <w:bidi w:val="0"/>
        <w:spacing w:before="0" w:after="240"/>
        <w:jc w:val="both"/>
        <w:rPr>
          <w:rFonts w:ascii="Arial" w:hAnsi="Arial"/>
          <w:color w:val="000000"/>
          <w:sz w:val="20"/>
        </w:rPr>
      </w:pPr>
      <w:r>
        <w:rPr>
          <w:rFonts w:ascii="Arial" w:hAnsi="Arial"/>
          <w:color w:val="000000"/>
          <w:sz w:val="20"/>
        </w:rPr>
        <w:t>8.</w:t>
      </w:r>
    </w:p>
    <w:p>
      <w:pPr>
        <w:pStyle w:val="TextBody"/>
        <w:bidi w:val="0"/>
        <w:spacing w:before="0" w:after="240"/>
        <w:jc w:val="both"/>
        <w:rPr/>
      </w:pPr>
      <w:r>
        <w:rPr>
          <w:rFonts w:ascii="Arial" w:hAnsi="Arial"/>
          <w:b/>
          <w:color w:val="222222"/>
          <w:sz w:val="21"/>
        </w:rPr>
        <w:t xml:space="preserve">Executive Severance and Change in Control. </w:t>
      </w:r>
      <w:r>
        <w:rPr>
          <w:rFonts w:ascii="Arial" w:hAnsi="Arial"/>
          <w:color w:val="222222"/>
          <w:sz w:val="21"/>
        </w:rPr>
        <w:t xml:space="preserve">Attached as </w:t>
      </w:r>
      <w:r>
        <w:rPr>
          <w:rFonts w:ascii="Arial" w:hAnsi="Arial"/>
          <w:b/>
          <w:color w:val="222222"/>
          <w:sz w:val="21"/>
        </w:rPr>
        <w:t>Exhibit A</w:t>
      </w:r>
      <w:r>
        <w:rPr>
          <w:color w:val="222222"/>
        </w:rPr>
        <w:t xml:space="preserve"> </w:t>
      </w:r>
      <w:r>
        <w:rPr>
          <w:rFonts w:ascii="Arial" w:hAnsi="Arial"/>
          <w:color w:val="222222"/>
          <w:sz w:val="21"/>
        </w:rPr>
        <w:t>is the Executive Severance and Change in Control Agreement, pursuant to which you will be eligible for certain severance and acceleration benefits in connection with certain qualifying terminations of your employment with the Company.</w:t>
      </w:r>
      <w:r>
        <w:rPr>
          <w:color w:val="222222"/>
        </w:rPr>
        <w:t xml:space="preserve"> </w:t>
      </w:r>
    </w:p>
    <w:p>
      <w:pPr>
        <w:pStyle w:val="TextBody"/>
        <w:bidi w:val="0"/>
        <w:spacing w:before="0" w:after="240"/>
        <w:jc w:val="both"/>
        <w:rPr>
          <w:rFonts w:ascii="Arial" w:hAnsi="Arial"/>
          <w:color w:val="000000"/>
          <w:sz w:val="20"/>
        </w:rPr>
      </w:pPr>
      <w:r>
        <w:rPr>
          <w:rFonts w:ascii="Arial" w:hAnsi="Arial"/>
          <w:color w:val="000000"/>
          <w:sz w:val="20"/>
        </w:rPr>
        <w:t>9.</w:t>
      </w:r>
    </w:p>
    <w:p>
      <w:pPr>
        <w:pStyle w:val="TextBody"/>
        <w:bidi w:val="0"/>
        <w:spacing w:before="0" w:after="240"/>
        <w:jc w:val="both"/>
        <w:rPr/>
      </w:pPr>
      <w:r>
        <w:rPr>
          <w:rFonts w:ascii="Arial" w:hAnsi="Arial"/>
          <w:b/>
          <w:color w:val="000000"/>
          <w:sz w:val="21"/>
        </w:rPr>
        <w:t>Confidential Information and Invention Assignment Agreement</w:t>
      </w:r>
      <w:r>
        <w:rPr>
          <w:rFonts w:ascii="Arial" w:hAnsi="Arial"/>
          <w:color w:val="000000"/>
          <w:sz w:val="21"/>
        </w:rPr>
        <w:t>. You are required to continue to abide by the terms of the Confidential Information and Invention Assignment Agreement, which you previously signed in connection with your Interim CEO Offer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240"/>
        <w:jc w:val="right"/>
        <w:rPr/>
      </w:pPr>
      <w:r>
        <w:rPr/>
        <w:drawing>
          <wp:inline distT="0" distB="0" distL="0" distR="0">
            <wp:extent cx="10763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076325" cy="352425"/>
                    </a:xfrm>
                    <a:prstGeom prst="rect">
                      <a:avLst/>
                    </a:prstGeom>
                  </pic:spPr>
                </pic:pic>
              </a:graphicData>
            </a:graphic>
          </wp:inline>
        </w:drawing>
      </w:r>
    </w:p>
    <w:p>
      <w:pPr>
        <w:pStyle w:val="TextBody"/>
        <w:bidi w:val="0"/>
        <w:spacing w:before="0" w:after="240"/>
        <w:jc w:val="both"/>
        <w:rPr>
          <w:rFonts w:ascii="Arial" w:hAnsi="Arial"/>
          <w:color w:val="000000"/>
          <w:sz w:val="20"/>
        </w:rPr>
      </w:pPr>
      <w:r>
        <w:rPr>
          <w:rFonts w:ascii="Arial" w:hAnsi="Arial"/>
          <w:color w:val="000000"/>
          <w:sz w:val="20"/>
        </w:rPr>
        <w:t>10.</w:t>
      </w:r>
    </w:p>
    <w:p>
      <w:pPr>
        <w:pStyle w:val="TextBody"/>
        <w:bidi w:val="0"/>
        <w:spacing w:before="0" w:after="240"/>
        <w:jc w:val="both"/>
        <w:rPr/>
      </w:pPr>
      <w:r>
        <w:rPr>
          <w:rFonts w:ascii="Arial" w:hAnsi="Arial"/>
          <w:b/>
          <w:color w:val="000000"/>
          <w:sz w:val="21"/>
        </w:rPr>
        <w:t xml:space="preserve">Conflicts of Interest. </w:t>
      </w:r>
      <w:r>
        <w:rPr>
          <w:rFonts w:ascii="Arial" w:hAnsi="Arial"/>
          <w:color w:val="000000"/>
          <w:sz w:val="21"/>
        </w:rPr>
        <w:t xml:space="preserve">During your employment, you agree not to engage in any employment, business, or activity that is in any way competitive with the business or proposed business of the Company, which materially interferes with the performance of your job duties, or creates a conflict of interest (this includes any other full-time employment arrangements); provided, however, that you may continue to provide services and/or continue to engage in the current business activities that you list on </w:t>
      </w:r>
      <w:r>
        <w:rPr>
          <w:rFonts w:ascii="Arial" w:hAnsi="Arial"/>
          <w:b/>
          <w:color w:val="000000"/>
          <w:sz w:val="21"/>
        </w:rPr>
        <w:t>Exhibit B</w:t>
      </w:r>
      <w:r>
        <w:rPr>
          <w:color w:val="000000"/>
        </w:rPr>
        <w:t xml:space="preserve"> </w:t>
      </w:r>
      <w:r>
        <w:rPr>
          <w:rFonts w:ascii="Arial" w:hAnsi="Arial"/>
          <w:color w:val="000000"/>
          <w:sz w:val="21"/>
        </w:rPr>
        <w:t xml:space="preserve">hereto during your employment with the Company. During your employment with the Company, you may request (and submit to Wish for approval) an Outside Activity Disclosure Form from </w:t>
      </w:r>
      <w:r>
        <w:rPr>
          <w:rFonts w:ascii="Arial" w:hAnsi="Arial"/>
          <w:sz w:val="21"/>
        </w:rPr>
        <w:t>hr@wish.com</w:t>
      </w:r>
      <w:r>
        <w:rPr>
          <w:color w:val="000000"/>
        </w:rPr>
        <w:t xml:space="preserve"> </w:t>
      </w:r>
      <w:r>
        <w:rPr>
          <w:rFonts w:ascii="Arial" w:hAnsi="Arial"/>
          <w:color w:val="000000"/>
          <w:sz w:val="21"/>
        </w:rPr>
        <w:t>to disclose any other outside employment, business, or activity in which you intend to engage during employment with Wish. Failure to make disclosures is considered a material representation that you are not engaged or associated with any such outside activities at the beginning of employment. You will be responsible for complying with Wish’s Conflict of Interest Policy, including updated disclosures of such outside activities, at all times during employment.</w:t>
      </w:r>
    </w:p>
    <w:p>
      <w:pPr>
        <w:pStyle w:val="TextBody"/>
        <w:bidi w:val="0"/>
        <w:spacing w:before="0" w:after="240"/>
        <w:jc w:val="both"/>
        <w:rPr>
          <w:rFonts w:ascii="Arial" w:hAnsi="Arial"/>
          <w:color w:val="000000"/>
          <w:sz w:val="20"/>
        </w:rPr>
      </w:pPr>
      <w:r>
        <w:rPr>
          <w:rFonts w:ascii="Arial" w:hAnsi="Arial"/>
          <w:color w:val="000000"/>
          <w:sz w:val="20"/>
        </w:rPr>
        <w:t>11.</w:t>
      </w:r>
    </w:p>
    <w:p>
      <w:pPr>
        <w:pStyle w:val="TextBody"/>
        <w:bidi w:val="0"/>
        <w:spacing w:before="0" w:after="240"/>
        <w:jc w:val="both"/>
        <w:rPr/>
      </w:pPr>
      <w:r>
        <w:rPr>
          <w:rFonts w:ascii="Arial" w:hAnsi="Arial"/>
          <w:b/>
          <w:color w:val="000000"/>
          <w:sz w:val="21"/>
        </w:rPr>
        <w:t>Employment Relationship</w:t>
      </w:r>
      <w:r>
        <w:rPr>
          <w:rFonts w:ascii="Arial" w:hAnsi="Arial"/>
          <w:color w:val="000000"/>
          <w:sz w:val="21"/>
        </w:rPr>
        <w:t>. Employment with the Company is at-will. This means that you have the right to resign and the Company has the right to terminate your employment at any time, for any or no reason, with or without cause, and with or without notice. Any contrary representations that may have been made to you are superseded by this Offer Letter. This, along with the Confidential Information and Invention Assignment Agreement, is the full and complete agreement between you and the Company on this term. Although your job duties, title, responsibilities, compensation and benefits, as well as the Company’s personnel policies and procedures, may change from time to time, the “at will” nature of your employment may only be changed in an express written agreement signed by you and the Board of Directors of the Company. At the sole discretion of the Company, you agree to serve, without additional compensation, as a director, officer, or member of the board of directors (collectively, “officer positions”) of any of the Company’s subsidiaries, partnerships, joint ventures or other affiliates. If your employment with the Company is terminated for any reason, whether such termination is voluntary or involuntary, you agree to take all necessary actions, as reasonably requested by the Company, to resign from all officer positions.</w:t>
      </w:r>
    </w:p>
    <w:p>
      <w:pPr>
        <w:pStyle w:val="TextBody"/>
        <w:bidi w:val="0"/>
        <w:spacing w:before="0" w:after="240"/>
        <w:jc w:val="both"/>
        <w:rPr>
          <w:rFonts w:ascii="Arial" w:hAnsi="Arial"/>
          <w:color w:val="000000"/>
          <w:sz w:val="20"/>
        </w:rPr>
      </w:pPr>
      <w:r>
        <w:rPr>
          <w:rFonts w:ascii="Arial" w:hAnsi="Arial"/>
          <w:color w:val="000000"/>
          <w:sz w:val="20"/>
        </w:rPr>
        <w:t>12.</w:t>
      </w:r>
    </w:p>
    <w:p>
      <w:pPr>
        <w:pStyle w:val="TextBody"/>
        <w:bidi w:val="0"/>
        <w:spacing w:before="0" w:after="240"/>
        <w:jc w:val="both"/>
        <w:rPr/>
      </w:pPr>
      <w:r>
        <w:rPr>
          <w:rFonts w:ascii="Arial" w:hAnsi="Arial"/>
          <w:b/>
          <w:color w:val="000000"/>
          <w:sz w:val="21"/>
        </w:rPr>
        <w:t>Tax Matters</w:t>
      </w:r>
      <w:r>
        <w:rPr>
          <w:rFonts w:ascii="Arial" w:hAnsi="Arial"/>
          <w:color w:val="000000"/>
          <w:sz w:val="21"/>
        </w:rPr>
        <w:t>.</w:t>
      </w:r>
    </w:p>
    <w:p>
      <w:pPr>
        <w:pStyle w:val="TextBody"/>
        <w:bidi w:val="0"/>
        <w:spacing w:before="0" w:after="240"/>
        <w:jc w:val="both"/>
        <w:rPr>
          <w:rFonts w:ascii="Arial" w:hAnsi="Arial"/>
          <w:color w:val="000000"/>
          <w:sz w:val="21"/>
        </w:rPr>
      </w:pPr>
      <w:r>
        <w:rPr>
          <w:rFonts w:ascii="Arial" w:hAnsi="Arial"/>
          <w:color w:val="000000"/>
          <w:sz w:val="21"/>
        </w:rPr>
        <w:t>(a)</w:t>
      </w:r>
    </w:p>
    <w:p>
      <w:pPr>
        <w:pStyle w:val="TextBody"/>
        <w:bidi w:val="0"/>
        <w:spacing w:before="0" w:after="240"/>
        <w:jc w:val="both"/>
        <w:rPr/>
      </w:pPr>
      <w:r>
        <w:rPr>
          <w:rFonts w:ascii="Arial" w:hAnsi="Arial"/>
          <w:b/>
          <w:color w:val="000000"/>
          <w:sz w:val="21"/>
        </w:rPr>
        <w:t>Withholding</w:t>
      </w:r>
      <w:r>
        <w:rPr>
          <w:rFonts w:ascii="Arial" w:hAnsi="Arial"/>
          <w:color w:val="000000"/>
          <w:sz w:val="21"/>
        </w:rPr>
        <w:t>. All forms of compensation referred to in this Offer Letter are subject to reduction to reflect applicable withholding and payroll taxes and other deductions required by law.</w:t>
      </w:r>
    </w:p>
    <w:p>
      <w:pPr>
        <w:pStyle w:val="TextBody"/>
        <w:bidi w:val="0"/>
        <w:spacing w:before="0" w:after="240"/>
        <w:jc w:val="both"/>
        <w:rPr>
          <w:rFonts w:ascii="Arial" w:hAnsi="Arial"/>
          <w:color w:val="000000"/>
          <w:sz w:val="21"/>
        </w:rPr>
      </w:pPr>
      <w:r>
        <w:rPr>
          <w:rFonts w:ascii="Arial" w:hAnsi="Arial"/>
          <w:color w:val="000000"/>
          <w:sz w:val="21"/>
        </w:rPr>
        <w:t>(b)</w:t>
      </w:r>
    </w:p>
    <w:p>
      <w:pPr>
        <w:pStyle w:val="TextBody"/>
        <w:bidi w:val="0"/>
        <w:spacing w:before="0" w:after="240"/>
        <w:jc w:val="both"/>
        <w:rPr/>
      </w:pPr>
      <w:r>
        <w:rPr>
          <w:rFonts w:ascii="Arial" w:hAnsi="Arial"/>
          <w:b/>
          <w:color w:val="000000"/>
          <w:sz w:val="21"/>
        </w:rPr>
        <w:t>Tax Advice</w:t>
      </w:r>
      <w:r>
        <w:rPr>
          <w:rFonts w:ascii="Arial" w:hAnsi="Arial"/>
          <w:color w:val="000000"/>
          <w:sz w:val="21"/>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pStyle w:val="TextBody"/>
        <w:bidi w:val="0"/>
        <w:spacing w:before="0" w:after="240"/>
        <w:jc w:val="both"/>
        <w:rPr>
          <w:rFonts w:ascii="Arial" w:hAnsi="Arial"/>
          <w:color w:val="000000"/>
          <w:sz w:val="20"/>
        </w:rPr>
      </w:pPr>
      <w:r>
        <w:rPr>
          <w:rFonts w:ascii="Arial" w:hAnsi="Arial"/>
          <w:color w:val="000000"/>
          <w:sz w:val="20"/>
        </w:rPr>
        <w:t>13.</w:t>
      </w:r>
    </w:p>
    <w:p>
      <w:pPr>
        <w:pStyle w:val="TextBody"/>
        <w:bidi w:val="0"/>
        <w:spacing w:before="0" w:after="240"/>
        <w:jc w:val="both"/>
        <w:rPr/>
      </w:pPr>
      <w:r>
        <w:rPr>
          <w:rFonts w:ascii="Arial" w:hAnsi="Arial"/>
          <w:b/>
          <w:color w:val="000000"/>
          <w:sz w:val="21"/>
        </w:rPr>
        <w:t>Interpretation, Amendment and Enforcement</w:t>
      </w:r>
      <w:r>
        <w:rPr>
          <w:rFonts w:ascii="Arial" w:hAnsi="Arial"/>
          <w:color w:val="000000"/>
          <w:sz w:val="21"/>
        </w:rPr>
        <w:t>. Unless otherwise specified in this Offer Letter, this Offer Letter and the accompanying exhibits, including the Confidential Information and Invention Assignment Agreement, along with documents related to your equity grants, constitute the complete agreement between you and the Company, contain all of the terms of your employment with the Company and supersede any prior agreements between you and the Company. This Offer Letter may only be amended by an authorized officer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240"/>
        <w:jc w:val="right"/>
        <w:rPr/>
      </w:pPr>
      <w:r>
        <w:rPr/>
        <w:drawing>
          <wp:inline distT="0" distB="0" distL="0" distR="0">
            <wp:extent cx="107632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1076325" cy="352425"/>
                    </a:xfrm>
                    <a:prstGeom prst="rect">
                      <a:avLst/>
                    </a:prstGeom>
                  </pic:spPr>
                </pic:pic>
              </a:graphicData>
            </a:graphic>
          </wp:inline>
        </w:drawing>
      </w:r>
      <w:r>
        <w:rPr>
          <w:color w:val="000000"/>
        </w:rPr>
        <w:t xml:space="preserve"> </w:t>
      </w:r>
    </w:p>
    <w:p>
      <w:pPr>
        <w:pStyle w:val="TextBody"/>
        <w:bidi w:val="0"/>
        <w:spacing w:before="0" w:after="240"/>
        <w:jc w:val="both"/>
        <w:rPr>
          <w:rFonts w:ascii="Arial" w:hAnsi="Arial"/>
          <w:color w:val="000000"/>
          <w:sz w:val="20"/>
        </w:rPr>
      </w:pPr>
      <w:r>
        <w:rPr>
          <w:rFonts w:ascii="Arial" w:hAnsi="Arial"/>
          <w:color w:val="000000"/>
          <w:sz w:val="20"/>
        </w:rPr>
        <w:t>14.</w:t>
      </w:r>
    </w:p>
    <w:p>
      <w:pPr>
        <w:pStyle w:val="TextBody"/>
        <w:bidi w:val="0"/>
        <w:spacing w:before="0" w:after="240"/>
        <w:jc w:val="both"/>
        <w:rPr/>
      </w:pPr>
      <w:r>
        <w:rPr>
          <w:rFonts w:ascii="Arial" w:hAnsi="Arial"/>
          <w:b/>
          <w:color w:val="000000"/>
          <w:sz w:val="21"/>
        </w:rPr>
        <w:t>Arbitration of Disputes</w:t>
      </w:r>
      <w:r>
        <w:rPr>
          <w:rFonts w:ascii="Arial" w:hAnsi="Arial"/>
          <w:color w:val="000000"/>
          <w:sz w:val="21"/>
        </w:rPr>
        <w:t xml:space="preserve">. The Company and I mutually consent to the resolution by arbitration, under the applicable rules of JAMS (which are available at </w:t>
      </w:r>
      <w:r>
        <w:rPr>
          <w:rFonts w:ascii="Arial" w:hAnsi="Arial"/>
          <w:sz w:val="21"/>
        </w:rPr>
        <w:t>jamsadr.com</w:t>
      </w:r>
      <w:r>
        <w:rPr>
          <w:rFonts w:ascii="Arial" w:hAnsi="Arial"/>
          <w:color w:val="000000"/>
          <w:sz w:val="21"/>
        </w:rPr>
        <w:t xml:space="preserve">, or from the Company upon my request), of all claims (common law or statutory) that the Company might have against me, or that I may have against the Company, its affiliated companies, the directors, employees or agents of any such company, and all successors and assigns of any of them. The Company and I waive the right to have a court or jury trial on any arbitrable claim. The Federal Arbitration Act shall govern this arbitration agreement, or if for any reason the FAA does not apply, the arbitration law of the state in which I rendered services to the Company.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I waive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 asserted. Nothing in this arbitration agreement prevents me from filing or recovering pursuant to a complaint, charge, or other communication with any federal, state or local governmental or law enforcement agency. This arbitration agreement shall remain in effect notwithstanding the termination of my association with the Company. To opt-out of this paragraph, you must complete an opt-out form prior to your Appointment Date. Please email </w:t>
      </w:r>
      <w:r>
        <w:rPr>
          <w:rFonts w:ascii="Arial" w:hAnsi="Arial"/>
          <w:sz w:val="21"/>
        </w:rPr>
        <w:t>hr@wish.com</w:t>
      </w:r>
      <w:r>
        <w:rPr>
          <w:color w:val="000000"/>
        </w:rPr>
        <w:t xml:space="preserve"> </w:t>
      </w:r>
      <w:r>
        <w:rPr>
          <w:rFonts w:ascii="Arial" w:hAnsi="Arial"/>
          <w:color w:val="000000"/>
          <w:sz w:val="21"/>
        </w:rPr>
        <w:t xml:space="preserve">for the form. </w:t>
      </w:r>
    </w:p>
    <w:p>
      <w:pPr>
        <w:pStyle w:val="TextBody"/>
        <w:bidi w:val="0"/>
        <w:spacing w:before="0" w:after="240"/>
        <w:jc w:val="both"/>
        <w:rPr>
          <w:rFonts w:ascii="Arial" w:hAnsi="Arial"/>
          <w:color w:val="000000"/>
          <w:sz w:val="20"/>
          <w:bdr w:val="dotted" w:sz="24" w:space="31" w:color="000000"/>
        </w:rPr>
      </w:pPr>
      <w:r>
        <w:rPr>
          <w:rFonts w:ascii="Arial" w:hAnsi="Arial"/>
          <w:color w:val="000000"/>
          <w:sz w:val="20"/>
          <w:bdr w:val="dotted" w:sz="24" w:space="31" w:color="000000"/>
        </w:rPr>
        <w:t>15.</w:t>
      </w:r>
    </w:p>
    <w:p>
      <w:pPr>
        <w:pStyle w:val="TextBody"/>
        <w:bidi w:val="0"/>
        <w:spacing w:before="0" w:after="240"/>
        <w:jc w:val="both"/>
        <w:rPr>
          <w:bdr w:val="dotted" w:sz="24" w:space="31" w:color="000000"/>
        </w:rPr>
      </w:pPr>
      <w:r>
        <w:rPr>
          <w:rFonts w:ascii="Arial" w:hAnsi="Arial"/>
          <w:b/>
          <w:color w:val="000000"/>
          <w:sz w:val="21"/>
          <w:bdr w:val="dotted" w:sz="24" w:space="31" w:color="000000"/>
        </w:rPr>
        <w:t>Contingencies</w:t>
      </w:r>
      <w:r>
        <w:rPr>
          <w:rFonts w:ascii="Arial" w:hAnsi="Arial"/>
          <w:color w:val="000000"/>
          <w:sz w:val="21"/>
          <w:bdr w:val="dotted" w:sz="24" w:space="31" w:color="000000"/>
        </w:rPr>
        <w:t xml:space="preserve">. Your continued employment with the Company is contingent upon you remaining authorized to work in the United States for Wish. The Company reserves the right to conduct background, credit and/or reference checks on all of its potential employees. Your offer of continued employment, therefore, is contingent upon clearance of such background, credit and/or reference checks, including satisfactory responses to a D&amp;O questionnaire.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pPr>
      <w:r>
        <w:rPr/>
        <w:drawing>
          <wp:inline distT="0" distB="0" distL="0" distR="0">
            <wp:extent cx="107632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1076325" cy="352425"/>
                    </a:xfrm>
                    <a:prstGeom prst="rect">
                      <a:avLst/>
                    </a:prstGeom>
                  </pic:spPr>
                </pic:pic>
              </a:graphicData>
            </a:graphic>
          </wp:inline>
        </w:drawing>
      </w: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 xml:space="preserve">We hope that you will accept the offer to become the Chief Executive Officer of the Company. You may indicate your agreement with these terms and accept this offer by signing and dating this Offer Letter and the enclosed exhibit, and returning them to me. This offer, if not accepted, will expire at the end of day on </w:t>
      </w:r>
      <w:r>
        <w:rPr>
          <w:rFonts w:ascii="Arial" w:hAnsi="Arial"/>
          <w:b/>
          <w:color w:val="000000"/>
          <w:sz w:val="21"/>
        </w:rPr>
        <w:t>February 24, 2023</w:t>
      </w:r>
      <w:r>
        <w:rPr>
          <w:rFonts w:ascii="Arial" w:hAnsi="Arial"/>
          <w:color w:val="000000"/>
          <w:sz w:val="21"/>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Arial" w:hAnsi="Arial"/>
          <w:color w:val="000000"/>
          <w:sz w:val="21"/>
        </w:rPr>
      </w:pPr>
      <w:r>
        <w:rPr>
          <w:rFonts w:ascii="Arial" w:hAnsi="Arial"/>
          <w:color w:val="000000"/>
          <w:sz w:val="21"/>
        </w:rPr>
        <w:t>Very truly yours,</w:t>
      </w:r>
    </w:p>
    <w:p>
      <w:pPr>
        <w:pStyle w:val="TextBody"/>
        <w:bidi w:val="0"/>
        <w:spacing w:before="0" w:after="240"/>
        <w:jc w:val="left"/>
        <w:rPr>
          <w:rFonts w:ascii="Arial" w:hAnsi="Arial"/>
          <w:smallCaps/>
          <w:color w:val="000000"/>
          <w:sz w:val="21"/>
        </w:rPr>
      </w:pPr>
      <w:r>
        <w:rPr>
          <w:rFonts w:ascii="Arial" w:hAnsi="Arial"/>
          <w:smallCaps/>
          <w:color w:val="000000"/>
          <w:sz w:val="21"/>
        </w:rPr>
        <w:t>ContextLogic Inc.</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color w:val="000000"/>
          <w:sz w:val="21"/>
          <w:u w:val="single"/>
        </w:rPr>
      </w:pPr>
      <w:r>
        <w:rPr>
          <w:rFonts w:ascii="Arial" w:hAnsi="Arial"/>
          <w:color w:val="000000"/>
          <w:sz w:val="21"/>
          <w:u w:val="single"/>
        </w:rPr>
        <w:t>/s/ Tanzeen Syed</w:t>
      </w:r>
    </w:p>
    <w:p>
      <w:pPr>
        <w:pStyle w:val="TextBody"/>
        <w:bidi w:val="0"/>
        <w:jc w:val="left"/>
        <w:rPr>
          <w:rFonts w:ascii="Times New Roman" w:hAnsi="Times New Roman"/>
          <w:sz w:val="20"/>
        </w:rPr>
      </w:pPr>
      <w:r>
        <w:rPr>
          <w:rFonts w:ascii="Arial" w:hAnsi="Arial"/>
          <w:color w:val="000000"/>
          <w:sz w:val="21"/>
        </w:rPr>
        <w:t>Tanzeen Syed</w:t>
      </w:r>
      <w:r>
        <w:rPr>
          <w:rFonts w:ascii="Times New Roman" w:hAnsi="Times New Roman"/>
          <w:color w:val="000000"/>
          <w:sz w:val="20"/>
        </w:rPr>
        <w:t xml:space="preserve"> </w:t>
      </w:r>
    </w:p>
    <w:p>
      <w:pPr>
        <w:pStyle w:val="TextBody"/>
        <w:bidi w:val="0"/>
        <w:jc w:val="left"/>
        <w:rPr>
          <w:rFonts w:ascii="Arial" w:hAnsi="Arial"/>
          <w:color w:val="000000"/>
          <w:sz w:val="21"/>
        </w:rPr>
      </w:pPr>
      <w:r>
        <w:rPr>
          <w:rFonts w:ascii="Arial" w:hAnsi="Arial"/>
          <w:color w:val="000000"/>
          <w:sz w:val="21"/>
        </w:rPr>
        <w:t xml:space="preserve">Chair of the Board of Directors &amp; Compensation Committee </w:t>
      </w:r>
    </w:p>
    <w:p>
      <w:pPr>
        <w:pStyle w:val="TextBody"/>
        <w:bidi w:val="0"/>
        <w:jc w:val="left"/>
        <w:rPr/>
      </w:pPr>
      <w:r>
        <w:rPr/>
        <w:t> </w:t>
      </w:r>
    </w:p>
    <w:p>
      <w:pPr>
        <w:pStyle w:val="TextBody"/>
        <w:bidi w:val="0"/>
        <w:spacing w:before="0" w:after="240"/>
        <w:jc w:val="left"/>
        <w:rPr>
          <w:rFonts w:ascii="Arial" w:hAnsi="Arial"/>
          <w:b/>
          <w:color w:val="000000"/>
          <w:sz w:val="21"/>
        </w:rPr>
      </w:pPr>
      <w:r>
        <w:rPr>
          <w:rFonts w:ascii="Arial" w:hAnsi="Arial"/>
          <w:b/>
          <w:color w:val="000000"/>
          <w:sz w:val="21"/>
        </w:rPr>
        <w:t>Enclosures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I have read and accept this employment offer: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Name: Joe Yan</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Arial" w:hAnsi="Arial"/>
          <w:color w:val="000000"/>
          <w:sz w:val="21"/>
        </w:rPr>
        <w:t xml:space="preserve">Signature: </w:t>
      </w:r>
      <w:r>
        <w:rPr>
          <w:rFonts w:ascii="Arial" w:hAnsi="Arial"/>
          <w:color w:val="000000"/>
          <w:sz w:val="21"/>
          <w:u w:val="single"/>
        </w:rPr>
        <w:t>/s/ Jun Yan</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Arial" w:hAnsi="Arial"/>
          <w:color w:val="000000"/>
          <w:sz w:val="21"/>
        </w:rPr>
      </w:pPr>
      <w:r>
        <w:rPr>
          <w:rFonts w:ascii="Arial" w:hAnsi="Arial"/>
          <w:color w:val="000000"/>
          <w:sz w:val="21"/>
        </w:rPr>
        <w:t>Date (MM/DD/YYYY): 2/17/2023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wish-ex10_7.htm"/>
      <w:bookmarkStart w:id="43" w:name="kswishex10_7"/>
      <w:bookmarkEnd w:id="42"/>
      <w:bookmarkEnd w:id="43"/>
      <w:r>
        <w:rPr/>
        <w:t> </w:t>
      </w:r>
      <w:r>
        <w:br w:type="page"/>
      </w:r>
    </w:p>
    <w:p>
      <w:pPr>
        <w:pStyle w:val="TextBody"/>
        <w:bidi w:val="0"/>
        <w:jc w:val="right"/>
        <w:rPr>
          <w:rFonts w:ascii="Arial" w:hAnsi="Arial"/>
          <w:b/>
          <w:color w:val="000000"/>
          <w:sz w:val="20"/>
        </w:rPr>
      </w:pPr>
      <w:r>
        <w:rPr>
          <w:rFonts w:ascii="Arial" w:hAnsi="Arial"/>
          <w:b/>
          <w:color w:val="000000"/>
          <w:sz w:val="20"/>
        </w:rPr>
        <w:t>Exhibit 10.7</w:t>
      </w:r>
    </w:p>
    <w:p>
      <w:pPr>
        <w:pStyle w:val="TextBody"/>
        <w:bidi w:val="0"/>
        <w:jc w:val="right"/>
        <w:rPr/>
      </w:pPr>
      <w:r>
        <w:rPr/>
        <w:t> </w:t>
      </w:r>
    </w:p>
    <w:p>
      <w:pPr>
        <w:pStyle w:val="TextBody"/>
        <w:bidi w:val="0"/>
        <w:jc w:val="right"/>
        <w:rPr/>
      </w:pPr>
      <w:r>
        <w:rPr/>
        <w:drawing>
          <wp:inline distT="0" distB="0" distL="0" distR="0">
            <wp:extent cx="107632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4"/>
                    <a:stretch>
                      <a:fillRect/>
                    </a:stretch>
                  </pic:blipFill>
                  <pic:spPr bwMode="auto">
                    <a:xfrm>
                      <a:off x="0" y="0"/>
                      <a:ext cx="1076325" cy="352425"/>
                    </a:xfrm>
                    <a:prstGeom prst="rect">
                      <a:avLst/>
                    </a:prstGeom>
                  </pic:spPr>
                </pic:pic>
              </a:graphicData>
            </a:graphic>
          </wp:inline>
        </w:drawing>
      </w:r>
      <w:r>
        <w:rPr/>
        <w:t> </w:t>
      </w:r>
    </w:p>
    <w:p>
      <w:pPr>
        <w:pStyle w:val="TextBody"/>
        <w:bidi w:val="0"/>
        <w:jc w:val="right"/>
        <w:rPr/>
      </w:pPr>
      <w:r>
        <w:rPr/>
        <w:t> </w:t>
      </w:r>
    </w:p>
    <w:p>
      <w:pPr>
        <w:pStyle w:val="TextBody"/>
        <w:bidi w:val="0"/>
        <w:jc w:val="right"/>
        <w:rPr>
          <w:rFonts w:ascii="Arial" w:hAnsi="Arial"/>
          <w:color w:val="000000"/>
          <w:sz w:val="21"/>
        </w:rPr>
      </w:pPr>
      <w:r>
        <w:rPr>
          <w:rFonts w:ascii="Arial" w:hAnsi="Arial"/>
          <w:color w:val="000000"/>
          <w:sz w:val="21"/>
        </w:rPr>
        <w:t>One Sansome St. 33rd Floor</w:t>
      </w:r>
    </w:p>
    <w:p>
      <w:pPr>
        <w:pStyle w:val="TextBody"/>
        <w:bidi w:val="0"/>
        <w:jc w:val="right"/>
        <w:rPr>
          <w:rFonts w:ascii="Times New Roman" w:hAnsi="Times New Roman"/>
          <w:sz w:val="20"/>
        </w:rPr>
      </w:pPr>
      <w:r>
        <w:rPr>
          <w:rFonts w:ascii="Arial" w:hAnsi="Arial"/>
          <w:color w:val="000000"/>
          <w:sz w:val="21"/>
        </w:rPr>
        <w:t>San Francisco, CA 94104</w:t>
      </w:r>
      <w:r>
        <w:rPr>
          <w:rFonts w:ascii="Times New Roman" w:hAnsi="Times New Roman"/>
          <w:color w:val="000000"/>
          <w:sz w:val="20"/>
        </w:rPr>
        <w:t xml:space="preserve"> </w:t>
      </w:r>
    </w:p>
    <w:p>
      <w:pPr>
        <w:pStyle w:val="TextBody"/>
        <w:bidi w:val="0"/>
        <w:jc w:val="right"/>
        <w:rPr>
          <w:rFonts w:ascii="Arial" w:hAnsi="Arial"/>
          <w:color w:val="06B9F2"/>
          <w:sz w:val="21"/>
        </w:rPr>
      </w:pPr>
      <w:r>
        <w:rPr>
          <w:rFonts w:ascii="Arial" w:hAnsi="Arial"/>
          <w:color w:val="06B9F2"/>
          <w:sz w:val="21"/>
        </w:rPr>
        <w:t>hr@wish.com</w:t>
      </w:r>
    </w:p>
    <w:p>
      <w:pPr>
        <w:pStyle w:val="TextBody"/>
        <w:bidi w:val="0"/>
        <w:jc w:val="right"/>
        <w:rPr/>
      </w:pPr>
      <w:r>
        <w:rPr/>
        <w:t> </w:t>
      </w:r>
    </w:p>
    <w:p>
      <w:pPr>
        <w:pStyle w:val="TextBody"/>
        <w:bidi w:val="0"/>
        <w:jc w:val="left"/>
        <w:rPr>
          <w:rFonts w:ascii="Times New Roman" w:hAnsi="Times New Roman"/>
          <w:sz w:val="20"/>
        </w:rPr>
      </w:pPr>
      <w:r>
        <w:rPr>
          <w:rFonts w:ascii="Arial" w:hAnsi="Arial"/>
          <w:b/>
          <w:color w:val="000000"/>
          <w:sz w:val="21"/>
        </w:rPr>
        <w:t>July 25, 2023</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b/>
          <w:color w:val="000000"/>
          <w:sz w:val="21"/>
        </w:rPr>
        <w:t>VIA EMAIL</w:t>
      </w:r>
      <w:r>
        <w:rPr>
          <w:rFonts w:ascii="Times New Roman" w:hAnsi="Times New Roman"/>
          <w:color w:val="000000"/>
          <w:sz w:val="20"/>
        </w:rPr>
        <w:t xml:space="preserve"> </w:t>
      </w:r>
    </w:p>
    <w:p>
      <w:pPr>
        <w:pStyle w:val="TextBody"/>
        <w:bidi w:val="0"/>
        <w:jc w:val="left"/>
        <w:rPr>
          <w:rFonts w:ascii="Arial" w:hAnsi="Arial"/>
          <w:b/>
          <w:color w:val="000000"/>
          <w:sz w:val="21"/>
        </w:rPr>
      </w:pPr>
      <w:r>
        <w:rPr>
          <w:rFonts w:ascii="Arial" w:hAnsi="Arial"/>
          <w:b/>
          <w:color w:val="000000"/>
          <w:sz w:val="21"/>
        </w:rPr>
        <w:t>Mauricio Monico</w:t>
      </w:r>
    </w:p>
    <w:p>
      <w:pPr>
        <w:pStyle w:val="TextBody"/>
        <w:bidi w:val="0"/>
        <w:spacing w:before="0" w:after="240"/>
        <w:jc w:val="left"/>
        <w:rPr>
          <w:rFonts w:ascii="Arial" w:hAnsi="Arial"/>
          <w:b/>
          <w:color w:val="000000"/>
          <w:sz w:val="21"/>
        </w:rPr>
      </w:pPr>
      <w:r>
        <w:rPr>
          <w:rFonts w:ascii="Arial" w:hAnsi="Arial"/>
          <w:b/>
          <w:color w:val="000000"/>
          <w:sz w:val="21"/>
        </w:rPr>
        <w:t>[ * * * ]</w:t>
      </w:r>
    </w:p>
    <w:p>
      <w:pPr>
        <w:pStyle w:val="TextBody"/>
        <w:bidi w:val="0"/>
        <w:spacing w:before="0" w:after="240"/>
        <w:jc w:val="left"/>
        <w:rPr>
          <w:rFonts w:ascii="Arial" w:hAnsi="Arial"/>
          <w:color w:val="000000"/>
          <w:sz w:val="21"/>
        </w:rPr>
      </w:pPr>
      <w:r>
        <w:rPr>
          <w:rFonts w:ascii="Arial" w:hAnsi="Arial"/>
          <w:color w:val="000000"/>
          <w:sz w:val="21"/>
        </w:rPr>
        <w:t>Dear Mauricio:</w:t>
      </w:r>
    </w:p>
    <w:p>
      <w:pPr>
        <w:pStyle w:val="TextBody"/>
        <w:bidi w:val="0"/>
        <w:spacing w:before="0" w:after="240"/>
        <w:jc w:val="both"/>
        <w:rPr>
          <w:rFonts w:ascii="Times New Roman" w:hAnsi="Times New Roman"/>
          <w:sz w:val="20"/>
        </w:rPr>
      </w:pPr>
      <w:r>
        <w:rPr>
          <w:rFonts w:ascii="Arial" w:hAnsi="Arial"/>
          <w:color w:val="000000"/>
          <w:sz w:val="21"/>
        </w:rPr>
        <w:t xml:space="preserve">ContextLogic Inc. (the “Company” or “Wish”) is pleased to offer you continued employment in our </w:t>
      </w:r>
      <w:r>
        <w:rPr>
          <w:rFonts w:ascii="Arial" w:hAnsi="Arial"/>
          <w:b/>
          <w:color w:val="000000"/>
          <w:sz w:val="21"/>
        </w:rPr>
        <w:t xml:space="preserve">San Francisco </w:t>
      </w:r>
      <w:r>
        <w:rPr>
          <w:rFonts w:ascii="Arial" w:hAnsi="Arial"/>
          <w:color w:val="000000"/>
          <w:sz w:val="21"/>
        </w:rPr>
        <w:t>office, on the following terms:</w:t>
      </w:r>
    </w:p>
    <w:p>
      <w:pPr>
        <w:pStyle w:val="TextBody"/>
        <w:bidi w:val="0"/>
        <w:spacing w:before="0" w:after="240"/>
        <w:jc w:val="both"/>
        <w:rPr>
          <w:rFonts w:ascii="Arial" w:hAnsi="Arial"/>
          <w:color w:val="000000"/>
          <w:sz w:val="20"/>
        </w:rPr>
      </w:pPr>
      <w:r>
        <w:rPr>
          <w:rFonts w:ascii="Arial" w:hAnsi="Arial"/>
          <w:color w:val="000000"/>
          <w:sz w:val="20"/>
        </w:rPr>
        <w:t>1.</w:t>
      </w:r>
    </w:p>
    <w:p>
      <w:pPr>
        <w:pStyle w:val="TextBody"/>
        <w:bidi w:val="0"/>
        <w:spacing w:before="0" w:after="240"/>
        <w:jc w:val="both"/>
        <w:rPr/>
      </w:pPr>
      <w:r>
        <w:rPr>
          <w:rFonts w:ascii="Arial" w:hAnsi="Arial"/>
          <w:b/>
          <w:color w:val="000000"/>
          <w:sz w:val="21"/>
        </w:rPr>
        <w:t>Position and Start Date</w:t>
      </w:r>
      <w:r>
        <w:rPr>
          <w:rFonts w:ascii="Arial" w:hAnsi="Arial"/>
          <w:color w:val="000000"/>
          <w:sz w:val="21"/>
        </w:rPr>
        <w:t xml:space="preserve">. Your title is </w:t>
      </w:r>
      <w:r>
        <w:rPr>
          <w:rFonts w:ascii="Arial" w:hAnsi="Arial"/>
          <w:b/>
          <w:color w:val="000000"/>
          <w:sz w:val="21"/>
        </w:rPr>
        <w:t>Chief Product Officer</w:t>
      </w:r>
      <w:r>
        <w:rPr>
          <w:rFonts w:ascii="Arial" w:hAnsi="Arial"/>
          <w:color w:val="000000"/>
          <w:sz w:val="21"/>
        </w:rPr>
        <w:t xml:space="preserve">. In this role, you will report to the Company’s </w:t>
      </w:r>
      <w:r>
        <w:rPr>
          <w:rFonts w:ascii="Arial" w:hAnsi="Arial"/>
          <w:b/>
          <w:color w:val="000000"/>
          <w:sz w:val="21"/>
        </w:rPr>
        <w:t>Chief Executive Officer</w:t>
      </w:r>
      <w:r>
        <w:rPr>
          <w:color w:val="000000"/>
        </w:rPr>
        <w:t xml:space="preserve"> </w:t>
      </w:r>
      <w:r>
        <w:rPr>
          <w:rFonts w:ascii="Arial" w:hAnsi="Arial"/>
          <w:color w:val="000000"/>
          <w:sz w:val="21"/>
        </w:rPr>
        <w:t xml:space="preserve">and you will be expected to perform such duties and exercise such responsibilities as are assigned from time-to-time. In carrying out these duties and responsibilities, you shall comply with all policies, procedures, rules and regulations, both written and oral, as are provided by the Company from time-to-time, and carry out said duties and responsibilities in a diligent, faithful and honest manner. The effective date of your appointment as Chief Product Officer was </w:t>
      </w:r>
      <w:r>
        <w:rPr>
          <w:rFonts w:ascii="Arial" w:hAnsi="Arial"/>
          <w:b/>
          <w:color w:val="000000"/>
          <w:sz w:val="21"/>
        </w:rPr>
        <w:t>March 1, 2023</w:t>
      </w:r>
      <w:r>
        <w:rPr>
          <w:color w:val="000000"/>
        </w:rPr>
        <w:t xml:space="preserve"> </w:t>
      </w:r>
      <w:r>
        <w:rPr>
          <w:rFonts w:ascii="Arial" w:hAnsi="Arial"/>
          <w:color w:val="000000"/>
          <w:sz w:val="21"/>
        </w:rPr>
        <w:t xml:space="preserve">(“Appointment Date”). This is your appointment date for external reporting purposes. This is a full-time position. </w:t>
      </w:r>
    </w:p>
    <w:p>
      <w:pPr>
        <w:pStyle w:val="TextBody"/>
        <w:bidi w:val="0"/>
        <w:spacing w:before="0" w:after="240"/>
        <w:jc w:val="both"/>
        <w:rPr>
          <w:rFonts w:ascii="Arial" w:hAnsi="Arial"/>
          <w:color w:val="000000"/>
          <w:sz w:val="20"/>
        </w:rPr>
      </w:pPr>
      <w:r>
        <w:rPr>
          <w:rFonts w:ascii="Arial" w:hAnsi="Arial"/>
          <w:color w:val="000000"/>
          <w:sz w:val="20"/>
        </w:rPr>
        <w:t>2.</w:t>
      </w:r>
    </w:p>
    <w:p>
      <w:pPr>
        <w:pStyle w:val="TextBody"/>
        <w:bidi w:val="0"/>
        <w:spacing w:before="0" w:after="240"/>
        <w:jc w:val="both"/>
        <w:rPr/>
      </w:pPr>
      <w:r>
        <w:rPr>
          <w:rFonts w:ascii="Arial" w:hAnsi="Arial"/>
          <w:b/>
          <w:color w:val="000000"/>
          <w:sz w:val="21"/>
        </w:rPr>
        <w:t>Compensation</w:t>
      </w:r>
      <w:r>
        <w:rPr>
          <w:rFonts w:ascii="Arial" w:hAnsi="Arial"/>
          <w:color w:val="000000"/>
          <w:sz w:val="21"/>
        </w:rPr>
        <w:t xml:space="preserve">. As set forth in your May 12, 2023 Merit Increase Letter (the “Merit Increase Letter”), your base salary as of April 1, 2023 is </w:t>
      </w:r>
      <w:r>
        <w:rPr>
          <w:rFonts w:ascii="Arial" w:hAnsi="Arial"/>
          <w:b/>
          <w:color w:val="000000"/>
          <w:sz w:val="21"/>
        </w:rPr>
        <w:t xml:space="preserve">$500,000.00 </w:t>
      </w:r>
      <w:r>
        <w:rPr>
          <w:rFonts w:ascii="Arial" w:hAnsi="Arial"/>
          <w:color w:val="000000"/>
          <w:sz w:val="21"/>
        </w:rPr>
        <w:t xml:space="preserve">per year, payable in accordance with the Company’s standard payroll schedule. This salary will be subject to adjustment pursuant to the Company’s employee compensation policies and procedures in effect from time to time. </w:t>
      </w:r>
    </w:p>
    <w:p>
      <w:pPr>
        <w:pStyle w:val="TextBody"/>
        <w:bidi w:val="0"/>
        <w:spacing w:before="0" w:after="240"/>
        <w:jc w:val="both"/>
        <w:rPr>
          <w:rFonts w:ascii="Arial" w:hAnsi="Arial"/>
          <w:color w:val="000000"/>
          <w:sz w:val="20"/>
        </w:rPr>
      </w:pPr>
      <w:r>
        <w:rPr>
          <w:rFonts w:ascii="Arial" w:hAnsi="Arial"/>
          <w:color w:val="000000"/>
          <w:sz w:val="20"/>
        </w:rPr>
        <w:t>3.</w:t>
      </w:r>
    </w:p>
    <w:p>
      <w:pPr>
        <w:pStyle w:val="TextBody"/>
        <w:bidi w:val="0"/>
        <w:spacing w:before="0" w:after="240"/>
        <w:jc w:val="both"/>
        <w:rPr/>
      </w:pPr>
      <w:r>
        <w:rPr>
          <w:rFonts w:ascii="Arial" w:hAnsi="Arial"/>
          <w:b/>
          <w:color w:val="000000"/>
          <w:sz w:val="21"/>
        </w:rPr>
        <w:t>Employee Benefits</w:t>
      </w:r>
      <w:r>
        <w:rPr>
          <w:rFonts w:ascii="Arial" w:hAnsi="Arial"/>
          <w:color w:val="000000"/>
          <w:sz w:val="21"/>
        </w:rPr>
        <w:t xml:space="preserve">. As a regular employee of the Company, you will be eligible to participate in a number of Company-sponsored benefits, including our group health insurance plan, in accordance with the applicable plan documents and policies. The Company reserves the right to modify or discontinue such benefit plans in its sole discretion. In addition, you will be eligible to participate in the Company’s paid time off policy, as in effect from time to time. A copy of the current paid time off policy will be provided to you upon hire and any subsequent versions will be posted on the Company’s wiki/intranet. </w:t>
      </w:r>
    </w:p>
    <w:p>
      <w:pPr>
        <w:pStyle w:val="TextBody"/>
        <w:bidi w:val="0"/>
        <w:spacing w:before="0" w:after="240"/>
        <w:jc w:val="both"/>
        <w:rPr>
          <w:rFonts w:ascii="Arial" w:hAnsi="Arial"/>
          <w:color w:val="000000"/>
          <w:sz w:val="20"/>
        </w:rPr>
      </w:pPr>
      <w:r>
        <w:rPr>
          <w:rFonts w:ascii="Arial" w:hAnsi="Arial"/>
          <w:color w:val="000000"/>
          <w:sz w:val="20"/>
        </w:rPr>
        <w:t>4.</w:t>
      </w:r>
    </w:p>
    <w:p>
      <w:pPr>
        <w:pStyle w:val="TextBody"/>
        <w:bidi w:val="0"/>
        <w:spacing w:before="0" w:after="240"/>
        <w:jc w:val="both"/>
        <w:rPr/>
      </w:pPr>
      <w:r>
        <w:rPr>
          <w:rFonts w:ascii="Arial" w:hAnsi="Arial"/>
          <w:b/>
          <w:color w:val="222222"/>
          <w:sz w:val="21"/>
        </w:rPr>
        <w:t xml:space="preserve">Executive Severance and Change in Control. </w:t>
      </w:r>
      <w:r>
        <w:rPr>
          <w:rFonts w:ascii="Arial" w:hAnsi="Arial"/>
          <w:color w:val="222222"/>
          <w:sz w:val="21"/>
        </w:rPr>
        <w:t xml:space="preserve">Attached as </w:t>
      </w:r>
      <w:r>
        <w:rPr>
          <w:rFonts w:ascii="Arial" w:hAnsi="Arial"/>
          <w:b/>
          <w:color w:val="222222"/>
          <w:sz w:val="21"/>
        </w:rPr>
        <w:t>Exhibit A</w:t>
      </w:r>
      <w:r>
        <w:rPr>
          <w:color w:val="222222"/>
        </w:rPr>
        <w:t xml:space="preserve"> </w:t>
      </w:r>
      <w:r>
        <w:rPr>
          <w:rFonts w:ascii="Arial" w:hAnsi="Arial"/>
          <w:color w:val="222222"/>
          <w:sz w:val="21"/>
        </w:rPr>
        <w:t>is the Executive Severance and Change in Control Agreement, pursuant to which you will be eligible for certain severance and acceleration benefits in connection with certain qualifying terminations of your employment with the Company.</w:t>
      </w:r>
      <w:r>
        <w:rPr>
          <w:color w:val="222222"/>
        </w:rPr>
        <w:t xml:space="preserve"> </w:t>
      </w:r>
    </w:p>
    <w:p>
      <w:pPr>
        <w:pStyle w:val="TextBody"/>
        <w:bidi w:val="0"/>
        <w:spacing w:before="0" w:after="240"/>
        <w:jc w:val="both"/>
        <w:rPr>
          <w:rFonts w:ascii="Arial" w:hAnsi="Arial"/>
          <w:color w:val="000000"/>
          <w:sz w:val="20"/>
        </w:rPr>
      </w:pPr>
      <w:r>
        <w:rPr>
          <w:rFonts w:ascii="Arial" w:hAnsi="Arial"/>
          <w:color w:val="000000"/>
          <w:sz w:val="20"/>
        </w:rPr>
        <w:t>5.</w:t>
      </w:r>
    </w:p>
    <w:p>
      <w:pPr>
        <w:pStyle w:val="TextBody"/>
        <w:bidi w:val="0"/>
        <w:spacing w:before="0" w:after="240"/>
        <w:jc w:val="both"/>
        <w:rPr/>
      </w:pPr>
      <w:r>
        <w:rPr>
          <w:rFonts w:ascii="Arial" w:hAnsi="Arial"/>
          <w:b/>
          <w:color w:val="000000"/>
          <w:sz w:val="21"/>
        </w:rPr>
        <w:t>Confidential Information and Invention Assignment Agreement</w:t>
      </w:r>
      <w:r>
        <w:rPr>
          <w:rFonts w:ascii="Arial" w:hAnsi="Arial"/>
          <w:color w:val="000000"/>
          <w:sz w:val="21"/>
        </w:rPr>
        <w:t xml:space="preserve">. Like all Company employees, you are required, to sign the Company’s standard Confidential Information and Invention Assignment Agreement, a copy of which is attached hereto as </w:t>
      </w:r>
      <w:r>
        <w:rPr>
          <w:rFonts w:ascii="Arial" w:hAnsi="Arial"/>
          <w:b/>
          <w:color w:val="000000"/>
          <w:sz w:val="21"/>
        </w:rPr>
        <w:t>Exhibit B</w:t>
      </w:r>
      <w:r>
        <w:rPr>
          <w:rFonts w:ascii="Arial" w:hAnsi="Arial"/>
          <w:color w:val="000000"/>
          <w:sz w:val="21"/>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6.</w:t>
      </w:r>
    </w:p>
    <w:p>
      <w:pPr>
        <w:pStyle w:val="TextBody"/>
        <w:bidi w:val="0"/>
        <w:spacing w:before="0" w:after="240"/>
        <w:jc w:val="both"/>
        <w:rPr/>
      </w:pPr>
      <w:r>
        <w:rPr>
          <w:rFonts w:ascii="Arial" w:hAnsi="Arial"/>
          <w:b/>
          <w:color w:val="000000"/>
          <w:sz w:val="21"/>
        </w:rPr>
        <w:t xml:space="preserve">Conflicts of Interest. </w:t>
      </w:r>
      <w:r>
        <w:rPr>
          <w:rFonts w:ascii="Arial" w:hAnsi="Arial"/>
          <w:color w:val="000000"/>
          <w:sz w:val="21"/>
        </w:rPr>
        <w:t xml:space="preserve">During your employment, you agree not to engage in any employment, business, or activity that is in any way competitive with the business or proposed business of the Company, which materially interferes with the performance of your job duties, or creates a conflict of interest (this includes any other full-time employment arrangements); provided, however, that you may continue to provide services and/or continue to engage in the current business activities that you list on </w:t>
      </w:r>
      <w:r>
        <w:rPr>
          <w:rFonts w:ascii="Arial" w:hAnsi="Arial"/>
          <w:b/>
          <w:color w:val="000000"/>
          <w:sz w:val="21"/>
        </w:rPr>
        <w:t>Exhibit C</w:t>
      </w:r>
      <w:r>
        <w:rPr>
          <w:color w:val="000000"/>
        </w:rPr>
        <w:t xml:space="preserve"> </w:t>
      </w:r>
      <w:r>
        <w:rPr>
          <w:rFonts w:ascii="Arial" w:hAnsi="Arial"/>
          <w:color w:val="000000"/>
          <w:sz w:val="21"/>
        </w:rPr>
        <w:t>hereto during your employment with the Company. During your employment with the Company, you may request (and submit to Wish for approval) an Outside Activity Disclosure Form from hr@wish.com to disclose any other outside employment, business, or activity in which you intend to engage during employment with Wish. Failure to make disclosures is considered a material representation that you are not engaged or associated with any such outside activities during your employment. You will be responsible for complying with Wish’s Conflict of Interest Policy, including updated disclosures of such outside activities, at all times during employment.</w:t>
      </w:r>
    </w:p>
    <w:p>
      <w:pPr>
        <w:pStyle w:val="TextBody"/>
        <w:bidi w:val="0"/>
        <w:spacing w:before="0" w:after="240"/>
        <w:jc w:val="both"/>
        <w:rPr>
          <w:rFonts w:ascii="Arial" w:hAnsi="Arial"/>
          <w:color w:val="000000"/>
          <w:sz w:val="20"/>
        </w:rPr>
      </w:pPr>
      <w:r>
        <w:rPr>
          <w:rFonts w:ascii="Arial" w:hAnsi="Arial"/>
          <w:color w:val="000000"/>
          <w:sz w:val="20"/>
        </w:rPr>
        <w:t>7.</w:t>
      </w:r>
    </w:p>
    <w:p>
      <w:pPr>
        <w:pStyle w:val="TextBody"/>
        <w:bidi w:val="0"/>
        <w:spacing w:before="0" w:after="240"/>
        <w:jc w:val="both"/>
        <w:rPr/>
      </w:pPr>
      <w:r>
        <w:rPr>
          <w:rFonts w:ascii="Arial" w:hAnsi="Arial"/>
          <w:b/>
          <w:color w:val="000000"/>
          <w:sz w:val="21"/>
        </w:rPr>
        <w:t>Employment Relationship</w:t>
      </w:r>
      <w:r>
        <w:rPr>
          <w:rFonts w:ascii="Arial" w:hAnsi="Arial"/>
          <w:color w:val="000000"/>
          <w:sz w:val="21"/>
        </w:rPr>
        <w:t>. Employment with the Company is at-will. This means that you have the right to resign and the Company has the right to terminate your employment at any time, for any or no reason, with or without cause, and with or without notice. Any contrary representations that may have been made to you are superseded by this letter agreement. This, along with the Confidential Information and Invention Assignment Agreement, is the full and complete agreement between you and the Company on this term. Although your job duties, title, responsibilities, compensation and benefits, as well as the Company’s personnel policies and procedures, may change from time to time, the “at will” nature of your employment may only be changed in an express written agreement signed by you and the CEO of the Company. At the sole discretion of the Company, you agree to serve, without additional compensation, as a director, officer, or member of the board of directors (collectively, “officer positions”) of any of the Company’s subsidiaries, partnerships, joint ventures or other affiliates. If your employment with the Company is terminated for any reason, whether such termination is voluntary or involuntary, you agree to take all necessary actions, as reasonably requested by the Company, to resign from all officer positions.</w:t>
      </w:r>
    </w:p>
    <w:p>
      <w:pPr>
        <w:pStyle w:val="TextBody"/>
        <w:bidi w:val="0"/>
        <w:spacing w:before="0" w:after="240"/>
        <w:jc w:val="both"/>
        <w:rPr>
          <w:rFonts w:ascii="Arial" w:hAnsi="Arial"/>
          <w:color w:val="000000"/>
          <w:sz w:val="20"/>
        </w:rPr>
      </w:pPr>
      <w:r>
        <w:rPr>
          <w:rFonts w:ascii="Arial" w:hAnsi="Arial"/>
          <w:color w:val="000000"/>
          <w:sz w:val="20"/>
        </w:rPr>
        <w:t>8.</w:t>
      </w:r>
    </w:p>
    <w:p>
      <w:pPr>
        <w:pStyle w:val="TextBody"/>
        <w:bidi w:val="0"/>
        <w:spacing w:before="0" w:after="240"/>
        <w:jc w:val="both"/>
        <w:rPr/>
      </w:pPr>
      <w:r>
        <w:rPr>
          <w:rFonts w:ascii="Arial" w:hAnsi="Arial"/>
          <w:b/>
          <w:color w:val="000000"/>
          <w:sz w:val="21"/>
        </w:rPr>
        <w:t>Tax Matters</w:t>
      </w:r>
      <w:r>
        <w:rPr>
          <w:rFonts w:ascii="Arial" w:hAnsi="Arial"/>
          <w:color w:val="000000"/>
          <w:sz w:val="21"/>
        </w:rPr>
        <w:t>.</w:t>
      </w:r>
    </w:p>
    <w:p>
      <w:pPr>
        <w:pStyle w:val="TextBody"/>
        <w:bidi w:val="0"/>
        <w:spacing w:before="0" w:after="240"/>
        <w:jc w:val="both"/>
        <w:rPr>
          <w:rFonts w:ascii="Arial" w:hAnsi="Arial"/>
          <w:color w:val="000000"/>
          <w:sz w:val="21"/>
        </w:rPr>
      </w:pPr>
      <w:r>
        <w:rPr>
          <w:rFonts w:ascii="Arial" w:hAnsi="Arial"/>
          <w:color w:val="000000"/>
          <w:sz w:val="21"/>
        </w:rPr>
        <w:t>(a)</w:t>
      </w:r>
    </w:p>
    <w:p>
      <w:pPr>
        <w:pStyle w:val="TextBody"/>
        <w:bidi w:val="0"/>
        <w:spacing w:before="0" w:after="240"/>
        <w:jc w:val="both"/>
        <w:rPr/>
      </w:pPr>
      <w:r>
        <w:rPr>
          <w:rFonts w:ascii="Arial" w:hAnsi="Arial"/>
          <w:b/>
          <w:color w:val="000000"/>
          <w:sz w:val="21"/>
        </w:rPr>
        <w:t>Withholding</w:t>
      </w:r>
      <w:r>
        <w:rPr>
          <w:rFonts w:ascii="Arial" w:hAnsi="Arial"/>
          <w:color w:val="000000"/>
          <w:sz w:val="21"/>
        </w:rPr>
        <w:t>. All forms of compensation referred to in this letter agreement are subject to reduction to reflect applicable withholding and payroll taxes and other deductions required by law.</w:t>
      </w:r>
    </w:p>
    <w:p>
      <w:pPr>
        <w:pStyle w:val="TextBody"/>
        <w:bidi w:val="0"/>
        <w:spacing w:before="0" w:after="240"/>
        <w:jc w:val="both"/>
        <w:rPr>
          <w:rFonts w:ascii="Arial" w:hAnsi="Arial"/>
          <w:color w:val="000000"/>
          <w:sz w:val="21"/>
        </w:rPr>
      </w:pPr>
      <w:r>
        <w:rPr>
          <w:rFonts w:ascii="Arial" w:hAnsi="Arial"/>
          <w:color w:val="000000"/>
          <w:sz w:val="21"/>
        </w:rPr>
        <w:t>(b)</w:t>
      </w:r>
    </w:p>
    <w:p>
      <w:pPr>
        <w:pStyle w:val="TextBody"/>
        <w:bidi w:val="0"/>
        <w:spacing w:before="0" w:after="240"/>
        <w:jc w:val="both"/>
        <w:rPr/>
      </w:pPr>
      <w:r>
        <w:rPr>
          <w:rFonts w:ascii="Arial" w:hAnsi="Arial"/>
          <w:b/>
          <w:color w:val="000000"/>
          <w:sz w:val="21"/>
        </w:rPr>
        <w:t>Tax Advice</w:t>
      </w:r>
      <w:r>
        <w:rPr>
          <w:rFonts w:ascii="Arial" w:hAnsi="Arial"/>
          <w:color w:val="000000"/>
          <w:sz w:val="21"/>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pStyle w:val="TextBody"/>
        <w:bidi w:val="0"/>
        <w:spacing w:before="0" w:after="240"/>
        <w:jc w:val="both"/>
        <w:rPr>
          <w:rFonts w:ascii="Arial" w:hAnsi="Arial"/>
          <w:color w:val="000000"/>
          <w:sz w:val="20"/>
        </w:rPr>
      </w:pPr>
      <w:r>
        <w:rPr>
          <w:rFonts w:ascii="Arial" w:hAnsi="Arial"/>
          <w:color w:val="000000"/>
          <w:sz w:val="20"/>
        </w:rPr>
        <w:t>9.</w:t>
      </w:r>
    </w:p>
    <w:p>
      <w:pPr>
        <w:pStyle w:val="TextBody"/>
        <w:bidi w:val="0"/>
        <w:spacing w:before="0" w:after="240"/>
        <w:jc w:val="both"/>
        <w:rPr/>
      </w:pPr>
      <w:r>
        <w:rPr>
          <w:rFonts w:ascii="Arial" w:hAnsi="Arial"/>
          <w:b/>
          <w:color w:val="000000"/>
          <w:sz w:val="21"/>
        </w:rPr>
        <w:t>Interpretation, Amendment and Enforcement</w:t>
      </w:r>
      <w:r>
        <w:rPr>
          <w:rFonts w:ascii="Arial" w:hAnsi="Arial"/>
          <w:color w:val="000000"/>
          <w:sz w:val="21"/>
        </w:rPr>
        <w:t xml:space="preserve">. Unless otherwise specified in this letter agreement, this letter agreement and the accompanying exhibits, along with documents related to your equity grants, constitute the complete agreement between you and the Company, contain all of the terms of your employment with the Company and supersede any prior employment agreements between you and the Company. This letter agreement may only be amended by an authorized officer of the Company. </w:t>
      </w:r>
    </w:p>
    <w:p>
      <w:pPr>
        <w:pStyle w:val="TextBody"/>
        <w:bidi w:val="0"/>
        <w:spacing w:before="0" w:after="240"/>
        <w:jc w:val="both"/>
        <w:rPr>
          <w:rFonts w:ascii="Arial" w:hAnsi="Arial"/>
          <w:color w:val="000000"/>
          <w:sz w:val="20"/>
        </w:rPr>
      </w:pPr>
      <w:r>
        <w:rPr>
          <w:rFonts w:ascii="Arial" w:hAnsi="Arial"/>
          <w:color w:val="000000"/>
          <w:sz w:val="20"/>
        </w:rPr>
        <w:t>10.</w:t>
      </w:r>
    </w:p>
    <w:p>
      <w:pPr>
        <w:pStyle w:val="TextBody"/>
        <w:bidi w:val="0"/>
        <w:spacing w:before="0" w:after="240"/>
        <w:jc w:val="both"/>
        <w:rPr/>
      </w:pPr>
      <w:r>
        <w:rPr>
          <w:rFonts w:ascii="Arial" w:hAnsi="Arial"/>
          <w:b/>
          <w:color w:val="000000"/>
          <w:sz w:val="21"/>
        </w:rPr>
        <w:t>Arbitration of Disputes</w:t>
      </w:r>
      <w:r>
        <w:rPr>
          <w:rFonts w:ascii="Arial" w:hAnsi="Arial"/>
          <w:color w:val="000000"/>
          <w:sz w:val="21"/>
        </w:rPr>
        <w:t xml:space="preserve">. The Company and I mutually consent to the resolution by arbitration, under the applicable rules of JAMS (which are available at </w:t>
      </w:r>
      <w:r>
        <w:rPr>
          <w:rFonts w:ascii="Arial" w:hAnsi="Arial"/>
          <w:sz w:val="21"/>
        </w:rPr>
        <w:t>jamsadr.com</w:t>
      </w:r>
      <w:r>
        <w:rPr>
          <w:rFonts w:ascii="Arial" w:hAnsi="Arial"/>
          <w:color w:val="000000"/>
          <w:sz w:val="21"/>
        </w:rPr>
        <w:t xml:space="preserve">, or from the Company upon my request), of all claims (common law or statutory) that the Company might have against me, or that I may have against the Company, its affiliated companies, the directors, employees or agents of any such company, and all successors and assigns of any of them.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color w:val="000000"/>
          <w:sz w:val="21"/>
        </w:rPr>
        <w:t>The Company and I waive the right to have a court or jury trial on any arbitrable claim. The Federal Arbitration Act shall govern this arbitration agreement, or if for any reason the FAA does not apply, the arbitration law of the state in which I rendered services to the Company.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I waive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 asserted. Nothing in this arbitration agreement prevents me from filing or recovering pursuant to a complaint, charge, or other communication with any federal, state or local governmental or law enforcement agency. This arbitration agreement shall remain in effect notwithstanding the termination of my association with the Company. To opt-out of this paragraph, you must complete an opt-out form prior to your start date. Please email hr@wish.com for the form.</w:t>
      </w:r>
      <w:r>
        <w:rPr>
          <w:color w:val="000000"/>
        </w:rPr>
        <w:t xml:space="preserve"> </w:t>
      </w:r>
    </w:p>
    <w:p>
      <w:pPr>
        <w:pStyle w:val="TextBody"/>
        <w:bidi w:val="0"/>
        <w:spacing w:before="0" w:after="240"/>
        <w:jc w:val="both"/>
        <w:rPr>
          <w:rFonts w:ascii="Arial" w:hAnsi="Arial"/>
          <w:color w:val="000000"/>
          <w:sz w:val="20"/>
          <w:bdr w:val="dotted" w:sz="24" w:space="31" w:color="000000"/>
        </w:rPr>
      </w:pPr>
      <w:r>
        <w:rPr>
          <w:rFonts w:ascii="Arial" w:hAnsi="Arial"/>
          <w:color w:val="000000"/>
          <w:sz w:val="20"/>
          <w:bdr w:val="dotted" w:sz="24" w:space="31" w:color="000000"/>
        </w:rPr>
        <w:t>11.</w:t>
      </w:r>
    </w:p>
    <w:p>
      <w:pPr>
        <w:pStyle w:val="TextBody"/>
        <w:bidi w:val="0"/>
        <w:spacing w:before="0" w:after="240"/>
        <w:jc w:val="both"/>
        <w:rPr>
          <w:bdr w:val="dotted" w:sz="24" w:space="31" w:color="000000"/>
        </w:rPr>
      </w:pPr>
      <w:r>
        <w:rPr>
          <w:rFonts w:ascii="Arial" w:hAnsi="Arial"/>
          <w:b/>
          <w:color w:val="000000"/>
          <w:sz w:val="21"/>
          <w:bdr w:val="dotted" w:sz="24" w:space="31" w:color="000000"/>
        </w:rPr>
        <w:t>Contingencies</w:t>
      </w:r>
      <w:r>
        <w:rPr>
          <w:rFonts w:ascii="Arial" w:hAnsi="Arial"/>
          <w:color w:val="000000"/>
          <w:sz w:val="21"/>
          <w:bdr w:val="dotted" w:sz="24" w:space="31" w:color="000000"/>
        </w:rPr>
        <w:t xml:space="preserve">. Your continued employment with the Company is contingent upon you remaining authorized to work in the United States for Wish. The Company reserves the right to conduct background, credit and/or reference checks on all of its potential employees. Your offer of continued employment, therefore, is contingent upon clearance of such background, credit and/or reference checks, including satisfactory responses to a D&amp;O questionnaire, if necessary.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rFonts w:ascii="Times New Roman" w:hAnsi="Times New Roman"/>
          <w:sz w:val="20"/>
        </w:rPr>
      </w:pPr>
      <w:r>
        <w:rPr>
          <w:rFonts w:ascii="Arial" w:hAnsi="Arial"/>
          <w:color w:val="000000"/>
          <w:sz w:val="21"/>
        </w:rPr>
        <w:t xml:space="preserve">You may indicate your agreement with these terms and accept this offer by signing and dating this letter agreement and the enclosed exhibits, and returning them to me. This letter agreement, if not accepted, will expire at the end of day on </w:t>
      </w:r>
      <w:r>
        <w:rPr>
          <w:rFonts w:ascii="Arial" w:hAnsi="Arial"/>
          <w:b/>
          <w:color w:val="000000"/>
          <w:sz w:val="21"/>
        </w:rPr>
        <w:t>August 4, 2023</w:t>
      </w:r>
      <w:r>
        <w:rPr>
          <w:rFonts w:ascii="Arial" w:hAnsi="Arial"/>
          <w:color w:val="000000"/>
          <w:sz w:val="21"/>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Arial" w:hAnsi="Arial"/>
          <w:color w:val="000000"/>
          <w:sz w:val="21"/>
        </w:rPr>
      </w:pPr>
      <w:r>
        <w:rPr>
          <w:rFonts w:ascii="Arial" w:hAnsi="Arial"/>
          <w:color w:val="000000"/>
          <w:sz w:val="21"/>
        </w:rPr>
        <w:t>Very truly yours,</w:t>
      </w:r>
    </w:p>
    <w:p>
      <w:pPr>
        <w:pStyle w:val="TextBody"/>
        <w:bidi w:val="0"/>
        <w:spacing w:before="0" w:after="240"/>
        <w:jc w:val="left"/>
        <w:rPr>
          <w:rFonts w:ascii="Arial" w:hAnsi="Arial"/>
          <w:smallCaps/>
          <w:color w:val="000000"/>
          <w:sz w:val="21"/>
        </w:rPr>
      </w:pPr>
      <w:r>
        <w:rPr>
          <w:rFonts w:ascii="Arial" w:hAnsi="Arial"/>
          <w:smallCaps/>
          <w:color w:val="000000"/>
          <w:sz w:val="21"/>
        </w:rPr>
        <w:t>ContextLogic Inc.</w:t>
      </w:r>
    </w:p>
    <w:p>
      <w:pPr>
        <w:pStyle w:val="TextBody"/>
        <w:bidi w:val="0"/>
        <w:jc w:val="left"/>
        <w:rPr/>
      </w:pPr>
      <w:r>
        <w:rPr/>
        <w:drawing>
          <wp:inline distT="0" distB="0" distL="0" distR="0">
            <wp:extent cx="2286000" cy="942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5"/>
                    <a:stretch>
                      <a:fillRect/>
                    </a:stretch>
                  </pic:blipFill>
                  <pic:spPr bwMode="auto">
                    <a:xfrm>
                      <a:off x="0" y="0"/>
                      <a:ext cx="2286000" cy="942975"/>
                    </a:xfrm>
                    <a:prstGeom prst="rect">
                      <a:avLst/>
                    </a:prstGeom>
                  </pic:spPr>
                </pic:pic>
              </a:graphicData>
            </a:graphic>
          </wp:inline>
        </w:drawing>
      </w:r>
      <w:r>
        <w:rPr/>
        <w:t> </w:t>
      </w:r>
    </w:p>
    <w:p>
      <w:pPr>
        <w:pStyle w:val="TextBody"/>
        <w:bidi w:val="0"/>
        <w:spacing w:before="0" w:after="240"/>
        <w:jc w:val="left"/>
        <w:rPr/>
      </w:pPr>
      <w:r>
        <w:rPr/>
        <w:t> </w:t>
      </w:r>
    </w:p>
    <w:p>
      <w:pPr>
        <w:pStyle w:val="TextBody"/>
        <w:bidi w:val="0"/>
        <w:jc w:val="left"/>
        <w:rPr>
          <w:rFonts w:ascii="Arial" w:hAnsi="Arial"/>
          <w:color w:val="000000"/>
          <w:sz w:val="21"/>
        </w:rPr>
      </w:pPr>
      <w:r>
        <w:rPr>
          <w:rFonts w:ascii="Arial" w:hAnsi="Arial"/>
          <w:color w:val="000000"/>
          <w:sz w:val="21"/>
        </w:rPr>
        <w:t>Joe Yan</w:t>
      </w:r>
    </w:p>
    <w:p>
      <w:pPr>
        <w:pStyle w:val="TextBody"/>
        <w:bidi w:val="0"/>
        <w:jc w:val="left"/>
        <w:rPr>
          <w:rFonts w:ascii="Arial" w:hAnsi="Arial"/>
          <w:color w:val="000000"/>
          <w:sz w:val="21"/>
        </w:rPr>
      </w:pPr>
      <w:r>
        <w:rPr>
          <w:rFonts w:ascii="Arial" w:hAnsi="Arial"/>
          <w:color w:val="000000"/>
          <w:sz w:val="21"/>
        </w:rPr>
        <w:t xml:space="preserve">CEO </w:t>
      </w:r>
    </w:p>
    <w:p>
      <w:pPr>
        <w:pStyle w:val="TextBody"/>
        <w:bidi w:val="0"/>
        <w:jc w:val="left"/>
        <w:rPr/>
      </w:pPr>
      <w:r>
        <w:rPr/>
        <w:t> </w:t>
      </w:r>
    </w:p>
    <w:p>
      <w:pPr>
        <w:pStyle w:val="TextBody"/>
        <w:bidi w:val="0"/>
        <w:spacing w:before="0" w:after="240"/>
        <w:jc w:val="left"/>
        <w:rPr>
          <w:rFonts w:ascii="Arial" w:hAnsi="Arial"/>
          <w:b/>
          <w:color w:val="000000"/>
          <w:sz w:val="21"/>
        </w:rPr>
      </w:pPr>
      <w:r>
        <w:rPr>
          <w:rFonts w:ascii="Arial" w:hAnsi="Arial"/>
          <w:b/>
          <w:color w:val="000000"/>
          <w:sz w:val="21"/>
        </w:rPr>
        <w:t>Enclosures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I have read and accept this offer: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1"/>
        </w:rPr>
        <w:t>Name: Mauricio Monico</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Arial" w:hAnsi="Arial"/>
          <w:color w:val="000000"/>
          <w:sz w:val="21"/>
        </w:rPr>
        <w:t xml:space="preserve">Signature: </w:t>
      </w:r>
      <w:r>
        <w:rPr>
          <w:rFonts w:ascii="Arial" w:hAnsi="Arial"/>
          <w:color w:val="000000"/>
          <w:sz w:val="21"/>
          <w:u w:val="single"/>
        </w:rPr>
        <w:t>/s/ Mauricio Monico</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Arial" w:hAnsi="Arial"/>
          <w:color w:val="000000"/>
          <w:sz w:val="21"/>
        </w:rPr>
      </w:pPr>
      <w:r>
        <w:rPr>
          <w:rFonts w:ascii="Arial" w:hAnsi="Arial"/>
          <w:color w:val="000000"/>
          <w:sz w:val="21"/>
        </w:rPr>
        <w:t>Date (MM/DD/YYYY): 7/25/2023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1"/>
        </w:rPr>
      </w:pPr>
      <w:r>
        <w:rPr>
          <w:rFonts w:ascii="Arial" w:hAnsi="Arial"/>
          <w:b/>
          <w:color w:val="000000"/>
          <w:sz w:val="21"/>
        </w:rPr>
        <w:t>EXHIBIT A</w:t>
      </w:r>
    </w:p>
    <w:p>
      <w:pPr>
        <w:pStyle w:val="TextBody"/>
        <w:bidi w:val="0"/>
        <w:jc w:val="center"/>
        <w:rPr>
          <w:rFonts w:ascii="Times New Roman" w:hAnsi="Times New Roman"/>
          <w:sz w:val="20"/>
        </w:rPr>
      </w:pPr>
      <w:r>
        <w:rPr>
          <w:rFonts w:ascii="Arial" w:hAnsi="Arial"/>
          <w:b/>
          <w:color w:val="222222"/>
          <w:sz w:val="21"/>
        </w:rPr>
        <w:t>EXECUTIVE SEVERANCE AND CHANGE IN CONTROL AGREEMENT</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center"/>
        <w:rPr>
          <w:rFonts w:ascii="Arial" w:hAnsi="Arial"/>
          <w:b/>
          <w:smallCaps/>
          <w:color w:val="000000"/>
          <w:sz w:val="21"/>
        </w:rPr>
      </w:pPr>
      <w:r>
        <w:rPr>
          <w:rFonts w:ascii="Arial" w:hAnsi="Arial"/>
          <w:b/>
          <w:smallCaps/>
          <w:color w:val="000000"/>
          <w:sz w:val="21"/>
        </w:rPr>
        <w:t>ContextLogic Inc.</w:t>
      </w:r>
    </w:p>
    <w:p>
      <w:pPr>
        <w:pStyle w:val="TextBody"/>
        <w:bidi w:val="0"/>
        <w:spacing w:before="240" w:after="283"/>
        <w:jc w:val="center"/>
        <w:rPr>
          <w:rFonts w:ascii="Arial" w:hAnsi="Arial"/>
          <w:b/>
          <w:smallCaps/>
          <w:color w:val="000000"/>
          <w:sz w:val="21"/>
        </w:rPr>
      </w:pPr>
      <w:r>
        <w:rPr>
          <w:rFonts w:ascii="Arial" w:hAnsi="Arial"/>
          <w:b/>
          <w:smallCaps/>
          <w:color w:val="000000"/>
          <w:sz w:val="21"/>
        </w:rPr>
        <w:t>Executive Severance and Change in Control Agreement</w:t>
      </w:r>
    </w:p>
    <w:p>
      <w:pPr>
        <w:pStyle w:val="TextBody"/>
        <w:bidi w:val="0"/>
        <w:spacing w:before="480" w:after="283"/>
        <w:jc w:val="both"/>
        <w:rPr>
          <w:rFonts w:ascii="Times New Roman" w:hAnsi="Times New Roman"/>
          <w:sz w:val="20"/>
        </w:rPr>
      </w:pPr>
      <w:r>
        <w:rPr>
          <w:rFonts w:ascii="Arial" w:hAnsi="Arial"/>
          <w:color w:val="000000"/>
          <w:sz w:val="21"/>
        </w:rPr>
        <w:t>This Executive Severance and Change in Control Agreement (the “</w:t>
      </w:r>
      <w:r>
        <w:rPr>
          <w:rFonts w:ascii="Arial" w:hAnsi="Arial"/>
          <w:b/>
          <w:color w:val="000000"/>
          <w:sz w:val="21"/>
          <w:u w:val="single"/>
        </w:rPr>
        <w:t>Agreement</w:t>
      </w:r>
      <w:r>
        <w:rPr>
          <w:rFonts w:ascii="Times New Roman" w:hAnsi="Times New Roman"/>
          <w:color w:val="000000"/>
          <w:sz w:val="20"/>
        </w:rPr>
        <w:t>”</w:t>
      </w:r>
      <w:r>
        <w:rPr>
          <w:rFonts w:ascii="Arial" w:hAnsi="Arial"/>
          <w:color w:val="000000"/>
          <w:sz w:val="21"/>
        </w:rPr>
        <w:t xml:space="preserve">) is made and entered into by and between </w:t>
      </w:r>
      <w:r>
        <w:rPr>
          <w:rFonts w:ascii="Arial" w:hAnsi="Arial"/>
          <w:b/>
          <w:color w:val="000000"/>
          <w:sz w:val="21"/>
        </w:rPr>
        <w:t xml:space="preserve">Mauricio Monico </w:t>
      </w:r>
      <w:r>
        <w:rPr>
          <w:rFonts w:ascii="Arial" w:hAnsi="Arial"/>
          <w:color w:val="000000"/>
          <w:sz w:val="21"/>
        </w:rPr>
        <w:t>(the “</w:t>
      </w:r>
      <w:r>
        <w:rPr>
          <w:rFonts w:ascii="Arial" w:hAnsi="Arial"/>
          <w:b/>
          <w:color w:val="000000"/>
          <w:sz w:val="21"/>
          <w:u w:val="single"/>
        </w:rPr>
        <w:t>Executive</w:t>
      </w:r>
      <w:r>
        <w:rPr>
          <w:rFonts w:ascii="Times New Roman" w:hAnsi="Times New Roman"/>
          <w:color w:val="000000"/>
          <w:sz w:val="20"/>
        </w:rPr>
        <w:t>”</w:t>
      </w:r>
      <w:r>
        <w:rPr>
          <w:rFonts w:ascii="Arial" w:hAnsi="Arial"/>
          <w:color w:val="000000"/>
          <w:sz w:val="21"/>
        </w:rPr>
        <w:t>) and ContextLogic Inc., a Delaware corporation (the “</w:t>
      </w:r>
      <w:r>
        <w:rPr>
          <w:rFonts w:ascii="Arial" w:hAnsi="Arial"/>
          <w:b/>
          <w:color w:val="000000"/>
          <w:sz w:val="21"/>
          <w:u w:val="single"/>
        </w:rPr>
        <w:t>Company</w:t>
      </w:r>
      <w:r>
        <w:rPr>
          <w:rFonts w:ascii="Times New Roman" w:hAnsi="Times New Roman"/>
          <w:color w:val="000000"/>
          <w:sz w:val="20"/>
        </w:rPr>
        <w:t>”</w:t>
      </w:r>
      <w:r>
        <w:rPr>
          <w:rFonts w:ascii="Arial" w:hAnsi="Arial"/>
          <w:color w:val="000000"/>
          <w:sz w:val="21"/>
        </w:rPr>
        <w:t>), effective as of the date specified in Section 1 below.</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This Agreement provides severance and acceleration benefits in connection with certain qualifying terminations of Executive’s employment with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Certain capitalized terms are defined in Section 8.</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Company and Executive agree as follows:</w:t>
      </w:r>
    </w:p>
    <w:p>
      <w:pPr>
        <w:pStyle w:val="TextBody"/>
        <w:bidi w:val="0"/>
        <w:spacing w:before="240" w:after="283"/>
        <w:jc w:val="both"/>
        <w:rPr>
          <w:rFonts w:ascii="Arial" w:hAnsi="Arial"/>
          <w:color w:val="000000"/>
          <w:sz w:val="21"/>
        </w:rPr>
      </w:pPr>
      <w:r>
        <w:rPr>
          <w:rFonts w:ascii="Arial" w:hAnsi="Arial"/>
          <w:color w:val="000000"/>
          <w:sz w:val="21"/>
        </w:rPr>
        <w:t>1.</w:t>
      </w:r>
    </w:p>
    <w:p>
      <w:pPr>
        <w:pStyle w:val="TextBody"/>
        <w:bidi w:val="0"/>
        <w:spacing w:before="240" w:after="283"/>
        <w:jc w:val="both"/>
        <w:rPr/>
      </w:pPr>
      <w:r>
        <w:rPr>
          <w:rFonts w:ascii="Arial" w:hAnsi="Arial"/>
          <w:color w:val="000000"/>
          <w:sz w:val="21"/>
          <w:u w:val="single"/>
        </w:rPr>
        <w:t>Term</w:t>
      </w:r>
      <w:r>
        <w:rPr>
          <w:rFonts w:ascii="Arial" w:hAnsi="Arial"/>
          <w:color w:val="000000"/>
          <w:sz w:val="21"/>
        </w:rPr>
        <w:t xml:space="preserve">. This Agreement shall become effective on </w:t>
      </w:r>
      <w:r>
        <w:rPr>
          <w:rFonts w:ascii="Arial" w:hAnsi="Arial"/>
          <w:b/>
          <w:color w:val="000000"/>
          <w:sz w:val="21"/>
        </w:rPr>
        <w:t>July 25, 2023</w:t>
      </w:r>
      <w:r>
        <w:rPr>
          <w:color w:val="000000"/>
        </w:rPr>
        <w:t xml:space="preserve"> </w:t>
      </w:r>
      <w:r>
        <w:rPr>
          <w:rFonts w:ascii="Arial" w:hAnsi="Arial"/>
          <w:color w:val="000000"/>
          <w:sz w:val="21"/>
        </w:rPr>
        <w:t>(the “</w:t>
      </w:r>
      <w:r>
        <w:rPr>
          <w:rFonts w:ascii="Arial" w:hAnsi="Arial"/>
          <w:b/>
          <w:color w:val="000000"/>
          <w:sz w:val="21"/>
          <w:u w:val="single"/>
        </w:rPr>
        <w:t>Effective Date</w:t>
      </w:r>
      <w:r>
        <w:rPr>
          <w:color w:val="000000"/>
        </w:rPr>
        <w:t>”</w:t>
      </w:r>
      <w:r>
        <w:rPr>
          <w:rFonts w:ascii="Arial" w:hAnsi="Arial"/>
          <w:color w:val="000000"/>
          <w:sz w:val="21"/>
        </w:rPr>
        <w:t xml:space="preserve">). Unless terminated sooner pursuant to Section 6(a), this Agreement will terminate automatically on the third anniversary of the Effective Date. </w:t>
      </w:r>
    </w:p>
    <w:p>
      <w:pPr>
        <w:pStyle w:val="TextBody"/>
        <w:bidi w:val="0"/>
        <w:spacing w:before="240" w:after="283"/>
        <w:jc w:val="left"/>
        <w:rPr>
          <w:rFonts w:ascii="Arial" w:hAnsi="Arial"/>
          <w:color w:val="000000"/>
          <w:sz w:val="21"/>
        </w:rPr>
      </w:pPr>
      <w:r>
        <w:rPr>
          <w:rFonts w:ascii="Arial" w:hAnsi="Arial"/>
          <w:color w:val="000000"/>
          <w:sz w:val="21"/>
        </w:rPr>
        <w:t>2.</w:t>
      </w:r>
    </w:p>
    <w:p>
      <w:pPr>
        <w:pStyle w:val="TextBody"/>
        <w:bidi w:val="0"/>
        <w:spacing w:before="240" w:after="283"/>
        <w:jc w:val="left"/>
        <w:rPr/>
      </w:pPr>
      <w:r>
        <w:rPr>
          <w:rFonts w:ascii="Arial" w:hAnsi="Arial"/>
          <w:color w:val="000000"/>
          <w:sz w:val="21"/>
          <w:u w:val="single"/>
        </w:rPr>
        <w:t>Severance Benefits</w:t>
      </w:r>
      <w:r>
        <w:rPr>
          <w:rFonts w:ascii="Arial" w:hAnsi="Arial"/>
          <w:color w:val="000000"/>
          <w:sz w:val="21"/>
        </w:rPr>
        <w:t>.</w:t>
      </w:r>
    </w:p>
    <w:p>
      <w:pPr>
        <w:pStyle w:val="TextBody"/>
        <w:bidi w:val="0"/>
        <w:spacing w:before="240" w:after="283"/>
        <w:jc w:val="both"/>
        <w:rPr>
          <w:rFonts w:ascii="Arial" w:hAnsi="Arial"/>
          <w:color w:val="000000"/>
          <w:sz w:val="21"/>
        </w:rPr>
      </w:pPr>
      <w:r>
        <w:rPr>
          <w:rFonts w:ascii="Arial" w:hAnsi="Arial"/>
          <w:color w:val="000000"/>
          <w:sz w:val="21"/>
        </w:rPr>
        <w:t>(a)</w:t>
      </w:r>
    </w:p>
    <w:p>
      <w:pPr>
        <w:pStyle w:val="TextBody"/>
        <w:bidi w:val="0"/>
        <w:spacing w:before="240" w:after="283"/>
        <w:jc w:val="both"/>
        <w:rPr/>
      </w:pPr>
      <w:r>
        <w:rPr>
          <w:rFonts w:ascii="Arial" w:hAnsi="Arial"/>
          <w:color w:val="000000"/>
          <w:sz w:val="21"/>
          <w:u w:val="single"/>
        </w:rPr>
        <w:t>Termination Not Involving a Change in Control</w:t>
      </w:r>
      <w:r>
        <w:rPr>
          <w:rFonts w:ascii="Arial" w:hAnsi="Arial"/>
          <w:color w:val="000000"/>
          <w:sz w:val="21"/>
        </w:rPr>
        <w:t xml:space="preserve">. If Executive is subject to an Involuntary Termination which occurs more than three months prior to a Change in Control (if any) or more than twelve months after a Change in Control and Executive satisfies the conditions described in Section 2(c) below, then Executive shall be entitled to the following severance benefits: (i) a lump-sum cash severance payment equal to six months of Executive’s Base Salary, (ii) an additional lump-sum cash payment equal to six months of Executive’s benefits premiums, and (iii) unless the Company provides otherwise when an equity award is granted, the unvested portion of each outstanding time-based equity award that Executive holds as of the Involuntary Termination that would have vested during Executive’s completion of an additional twelve months of employment following the Involuntary Termination will vest and, if applicable, become exercisable. In the case of any equity awards subject to performance conditions, whether such awards are eligible for acceleration in connection with such an Involuntary Termination will be determined at the time of grant of the equity award and set forth in the applicable equity award agreement. </w:t>
      </w:r>
    </w:p>
    <w:p>
      <w:pPr>
        <w:pStyle w:val="TextBody"/>
        <w:bidi w:val="0"/>
        <w:spacing w:before="240" w:after="283"/>
        <w:jc w:val="both"/>
        <w:rPr>
          <w:rFonts w:ascii="Arial" w:hAnsi="Arial"/>
          <w:color w:val="000000"/>
          <w:sz w:val="21"/>
        </w:rPr>
      </w:pPr>
      <w:r>
        <w:rPr>
          <w:rFonts w:ascii="Arial" w:hAnsi="Arial"/>
          <w:color w:val="000000"/>
          <w:sz w:val="21"/>
        </w:rPr>
        <w:t>(b)</w:t>
      </w:r>
    </w:p>
    <w:p>
      <w:pPr>
        <w:pStyle w:val="TextBody"/>
        <w:bidi w:val="0"/>
        <w:spacing w:before="240" w:after="283"/>
        <w:jc w:val="both"/>
        <w:rPr/>
      </w:pPr>
      <w:r>
        <w:rPr>
          <w:rFonts w:ascii="Arial" w:hAnsi="Arial"/>
          <w:color w:val="000000"/>
          <w:sz w:val="21"/>
          <w:u w:val="single"/>
        </w:rPr>
        <w:t>Involuntary Termination Involving a Change in Control</w:t>
      </w:r>
      <w:r>
        <w:rPr>
          <w:rFonts w:ascii="Arial" w:hAnsi="Arial"/>
          <w:color w:val="000000"/>
          <w:sz w:val="21"/>
        </w:rPr>
        <w:t xml:space="preserve">. If Executive is subject to an Involuntary Termination which occurs within three months prior to, or twelve months following, a Change in Control and Executive satisfies the conditions described in Section 2(c) below, then Executive shall be entitled to the following severance benefits: (i) a lump-sum cash severance payment equal to twelve months of Executive’s Base Salary, (ii) an additional lump-sum cash payment equal to twelve months of Executive’s benefits premiums and (iii) unless the Company provides otherwise when an equity award is granted, one hundred percent of the unvested portion of each outstanding time-based equity award that Executive holds as of the Involuntary Termination will vest and, if applicable, become exercisable. In the case of equity awards subject to performance conditions, whether such awards are eligible for acceleration in connection with such an Involuntary Termination will be determined at the time of grant of the equity award and set forth in the equity award agreement. For avoidance of doubt, if Executive is subject to an Involuntary Termination that occurs within three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1"/>
        </w:rPr>
      </w:pPr>
      <w:r>
        <w:rPr>
          <w:rFonts w:ascii="Arial" w:hAnsi="Arial"/>
          <w:color w:val="000000"/>
          <w:sz w:val="21"/>
        </w:rPr>
        <w:t>months prior to a Change in Control, the portion of Executive’s then-outstanding and unvested equity awards that is eligible to vest and become exercisable pursuant to clause (iii) will remain outstanding for three months or the occurrence of a Change in Control, whichever is sooner, so that any additional benefits due pursuant to clause (iii) may be provided if a Change in Control occurs within three months after Executive’s Involuntary Termination, provided that in no event will any of Executive’s stock options remain outstanding beyond the option’s maximum term to expiration. If a Change in Control does not occur within three months after an Involuntary Termination, any unvested portion of Executive’s equity awards that remained outstanding following Executive’s Involuntary Termination will immediately and automatically be forfeited.</w:t>
      </w:r>
    </w:p>
    <w:p>
      <w:pPr>
        <w:pStyle w:val="TextBody"/>
        <w:bidi w:val="0"/>
        <w:spacing w:before="240" w:after="283"/>
        <w:jc w:val="both"/>
        <w:rPr>
          <w:rFonts w:ascii="Arial" w:hAnsi="Arial"/>
          <w:color w:val="000000"/>
          <w:sz w:val="21"/>
        </w:rPr>
      </w:pPr>
      <w:r>
        <w:rPr>
          <w:rFonts w:ascii="Arial" w:hAnsi="Arial"/>
          <w:color w:val="000000"/>
          <w:sz w:val="21"/>
        </w:rPr>
        <w:t>(c)</w:t>
      </w:r>
    </w:p>
    <w:p>
      <w:pPr>
        <w:pStyle w:val="TextBody"/>
        <w:bidi w:val="0"/>
        <w:spacing w:before="240" w:after="283"/>
        <w:jc w:val="both"/>
        <w:rPr/>
      </w:pPr>
      <w:r>
        <w:rPr>
          <w:rFonts w:ascii="Arial" w:hAnsi="Arial"/>
          <w:color w:val="000000"/>
          <w:sz w:val="21"/>
          <w:u w:val="single"/>
        </w:rPr>
        <w:t>Preconditions to Severance and Change in Control Benefits / Timing of Benefits</w:t>
      </w:r>
      <w:r>
        <w:rPr>
          <w:rFonts w:ascii="Arial" w:hAnsi="Arial"/>
          <w:color w:val="000000"/>
          <w:sz w:val="21"/>
        </w:rPr>
        <w:t xml:space="preserve">. As a condition to Executive’s receipt of any benefits described in Section 2, Executive shall execute and allow to become effective the Company’s then-standard general release of claims, comply with the Executive’s continuing obligations (including the return of Company property) to the Company, and, if requested by the Company, immediately resign from all positions Executive holds with the Company, including as a member of the Company’s Board of Directors and as a member of the board of directors of any subsidiaries of the Company. Executive must execute and return the release on or before the date specified by the Company, which will in no event be later than 50 days after Executive’s employment terminates. If Executive fails to return the release by the deadline or if Executive revokes the release, then Executive will not be entitled to the benefits described in this Section 2. All such benefits will be paid or provided within 60 days after Executive’s Termination Without Cause or Involuntary Termination, as applicable, or if later on the date a Change in Control occurs. If such 60 day period spans calendar years, then payment will in any event be made in the second calendar year. </w:t>
      </w:r>
    </w:p>
    <w:p>
      <w:pPr>
        <w:pStyle w:val="TextBody"/>
        <w:bidi w:val="0"/>
        <w:spacing w:before="240" w:after="283"/>
        <w:jc w:val="both"/>
        <w:rPr>
          <w:rFonts w:ascii="Arial" w:hAnsi="Arial"/>
          <w:color w:val="000000"/>
          <w:sz w:val="21"/>
        </w:rPr>
      </w:pPr>
      <w:r>
        <w:rPr>
          <w:rFonts w:ascii="Arial" w:hAnsi="Arial"/>
          <w:color w:val="000000"/>
          <w:sz w:val="21"/>
        </w:rPr>
        <w:t>3.</w:t>
      </w:r>
    </w:p>
    <w:p>
      <w:pPr>
        <w:pStyle w:val="TextBody"/>
        <w:bidi w:val="0"/>
        <w:spacing w:before="240" w:after="283"/>
        <w:jc w:val="both"/>
        <w:rPr/>
      </w:pPr>
      <w:r>
        <w:rPr>
          <w:rFonts w:ascii="Arial" w:hAnsi="Arial"/>
          <w:color w:val="000000"/>
          <w:sz w:val="21"/>
          <w:u w:val="single"/>
        </w:rPr>
        <w:t>Section 409A</w:t>
      </w:r>
      <w:r>
        <w:rPr>
          <w:rFonts w:ascii="Arial" w:hAnsi="Arial"/>
          <w:color w:val="000000"/>
          <w:sz w:val="21"/>
        </w:rPr>
        <w:t>. The Company intends that all payments and benefits provided under this Agreement or otherwise are exempt from, or comply with, with the requirements of Section 409A of the Internal Revenue Code of 1986, as amended (the “</w:t>
      </w:r>
      <w:r>
        <w:rPr>
          <w:rFonts w:ascii="Arial" w:hAnsi="Arial"/>
          <w:b/>
          <w:color w:val="000000"/>
          <w:sz w:val="21"/>
          <w:u w:val="single"/>
        </w:rPr>
        <w:t>Code</w:t>
      </w:r>
      <w:r>
        <w:rPr>
          <w:color w:val="000000"/>
        </w:rPr>
        <w:t>”</w:t>
      </w:r>
      <w:r>
        <w:rPr>
          <w:rFonts w:ascii="Arial" w:hAnsi="Arial"/>
          <w:color w:val="000000"/>
          <w:sz w:val="21"/>
        </w:rPr>
        <w:t>)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Executive is a “specified employee” under Code Section 409A(a)(2)(B)(i) at the time of Executive’s Separation, then (i) any severance payments or benefits, to the extent that they are subject to Code Section 409A, will not be paid or otherwise provided until the first business day following (A) expiration of the six-month period measured from Executive’s Separation or (B) the date of Executive’s death and (ii) any installments that otherwise would have been paid or provided prior to such date will be paid or provided in a lump sum when the severance payments or benefits commence.</w:t>
      </w:r>
    </w:p>
    <w:p>
      <w:pPr>
        <w:pStyle w:val="TextBody"/>
        <w:bidi w:val="0"/>
        <w:spacing w:before="240" w:after="283"/>
        <w:jc w:val="both"/>
        <w:rPr>
          <w:rFonts w:ascii="Arial" w:hAnsi="Arial"/>
          <w:color w:val="000000"/>
          <w:sz w:val="21"/>
        </w:rPr>
      </w:pPr>
      <w:r>
        <w:rPr>
          <w:rFonts w:ascii="Arial" w:hAnsi="Arial"/>
          <w:color w:val="000000"/>
          <w:sz w:val="21"/>
        </w:rPr>
        <w:t>4.</w:t>
      </w:r>
    </w:p>
    <w:p>
      <w:pPr>
        <w:pStyle w:val="TextBody"/>
        <w:bidi w:val="0"/>
        <w:spacing w:before="240" w:after="283"/>
        <w:jc w:val="both"/>
        <w:rPr/>
      </w:pPr>
      <w:r>
        <w:rPr>
          <w:rFonts w:ascii="Arial" w:hAnsi="Arial"/>
          <w:color w:val="000000"/>
          <w:sz w:val="21"/>
          <w:u w:val="single"/>
        </w:rPr>
        <w:t>Section 280G</w:t>
      </w:r>
      <w:r>
        <w:rPr>
          <w:rFonts w:ascii="Arial" w:hAnsi="Arial"/>
          <w:color w:val="000000"/>
          <w:sz w:val="21"/>
        </w:rPr>
        <w:t>. Notwithstanding anything contained in this Agreement to the contrary, in the event that the payments and benefits provided pursuant to this Agreement, together with all other payments and benefits received or to be received by Executive (“</w:t>
      </w:r>
      <w:r>
        <w:rPr>
          <w:rFonts w:ascii="Arial" w:hAnsi="Arial"/>
          <w:b/>
          <w:color w:val="000000"/>
          <w:sz w:val="21"/>
          <w:u w:val="single"/>
        </w:rPr>
        <w:t>Payments</w:t>
      </w:r>
      <w:r>
        <w:rPr>
          <w:color w:val="000000"/>
        </w:rPr>
        <w:t>”</w:t>
      </w:r>
      <w:r>
        <w:rPr>
          <w:rFonts w:ascii="Arial" w:hAnsi="Arial"/>
          <w:color w:val="000000"/>
          <w:sz w:val="21"/>
        </w:rPr>
        <w:t>), constitute “parachute payments” within the meaning of Code Section 280G, and, but for this Section 4, would be subject to the excise tax imposed by Code Section 4999 (the “</w:t>
      </w:r>
      <w:r>
        <w:rPr>
          <w:rFonts w:ascii="Arial" w:hAnsi="Arial"/>
          <w:b/>
          <w:color w:val="000000"/>
          <w:sz w:val="21"/>
          <w:u w:val="single"/>
        </w:rPr>
        <w:t>Excise Tax</w:t>
      </w:r>
      <w:r>
        <w:rPr>
          <w:color w:val="000000"/>
        </w:rPr>
        <w:t>”</w:t>
      </w:r>
      <w:r>
        <w:rPr>
          <w:rFonts w:ascii="Arial" w:hAnsi="Arial"/>
          <w:color w:val="000000"/>
          <w:sz w:val="21"/>
        </w:rPr>
        <w:t>), then the Payments shall be made to Executive either (i) in full or (ii) as to such lesser amount as would result in no portion of the Payments being subject to the Excise Tax (a “</w:t>
      </w:r>
      <w:r>
        <w:rPr>
          <w:rFonts w:ascii="Arial" w:hAnsi="Arial"/>
          <w:b/>
          <w:color w:val="000000"/>
          <w:sz w:val="21"/>
          <w:u w:val="single"/>
        </w:rPr>
        <w:t>Reduced Payment</w:t>
      </w:r>
      <w:r>
        <w:rPr>
          <w:color w:val="000000"/>
        </w:rPr>
        <w:t>”</w:t>
      </w:r>
      <w:r>
        <w:rPr>
          <w:rFonts w:ascii="Arial" w:hAnsi="Arial"/>
          <w:color w:val="000000"/>
          <w:sz w:val="21"/>
        </w:rPr>
        <w:t xml:space="preserve">), whichever of the foregoing amounts, taking into account applicable federal, state and local income taxes and the Excise Tax, results in Executive’s receipt on an after-tax basis, of the greatest amount of benefits, notwithstanding that all or some portion of the Payments may be subject to the Excise Tax. If a Reduced Payment is to be made under this section, reduction of Payments will occur in the following order: reduction of cash payments, then cancellation of equity-based payments and accelerated vesting of equity awards, and then reduction of employee benefits. If accelerated vesting of equity awards is to be reduced, such acceleration of vesting will be canceled in the reverse order of the date of grant. In the event that cash payments or other benefits are reduced, such reduction shall occur in reverse order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Arial" w:hAnsi="Arial"/>
          <w:color w:val="000000"/>
          <w:sz w:val="21"/>
        </w:rPr>
        <w:t>beginning with the payments and benefits which are to be paid furthest away in time. All determinations required to be made under this Section 4 (including whether any of the Payments are parachute payments and whether to make a Reduced Payment) will be made by an independent accounting firm selected by the Company. For purposes of making the calculations required by this section, the accounting firm may make reasonable assumptions and approximations concerning applicable taxes and may rely on reasonably, good faith interpretations concerning the application of Code Sections 280G and 4999. The Company will bear the costs that the accounting firm may reasonably incur in connection with the calculations contemplated by this Section 4. The accounting firm’s determination will be binding on both Executive and the Company absent manifest error.</w:t>
      </w:r>
      <w:r>
        <w:rPr>
          <w:color w:val="000000"/>
        </w:rPr>
        <w:t xml:space="preserve"> </w:t>
      </w:r>
    </w:p>
    <w:p>
      <w:pPr>
        <w:pStyle w:val="TextBody"/>
        <w:bidi w:val="0"/>
        <w:spacing w:before="240" w:after="283"/>
        <w:jc w:val="both"/>
        <w:rPr>
          <w:rFonts w:ascii="Arial" w:hAnsi="Arial"/>
          <w:color w:val="000000"/>
          <w:sz w:val="21"/>
        </w:rPr>
      </w:pPr>
      <w:r>
        <w:rPr>
          <w:rFonts w:ascii="Arial" w:hAnsi="Arial"/>
          <w:color w:val="000000"/>
          <w:sz w:val="21"/>
        </w:rPr>
        <w:t>5.</w:t>
      </w:r>
    </w:p>
    <w:p>
      <w:pPr>
        <w:pStyle w:val="TextBody"/>
        <w:bidi w:val="0"/>
        <w:spacing w:before="240" w:after="283"/>
        <w:jc w:val="both"/>
        <w:rPr/>
      </w:pPr>
      <w:r>
        <w:rPr>
          <w:rFonts w:ascii="Arial" w:hAnsi="Arial"/>
          <w:color w:val="000000"/>
          <w:sz w:val="21"/>
          <w:u w:val="single"/>
        </w:rPr>
        <w:t>Company’s Successors</w:t>
      </w:r>
      <w:r>
        <w:rPr>
          <w:rFonts w:ascii="Arial" w:hAnsi="Arial"/>
          <w:color w:val="000000"/>
          <w:sz w:val="21"/>
        </w:rPr>
        <w:t>. Any successor to the Company to all or substantially all of the Company’s business and/or assets (whether pursuant to a Change in Control, direct or indirect, and whether by purchase, merger, consolidation, liquidation or otherwise) shall assume the Company’s obligations under this Agreement and agree expressly to perform the Company’s obligations under this Agreement in the same manner and to the same extent as the Company would be required to perform such obligations in the absence of a succession.</w:t>
      </w:r>
    </w:p>
    <w:p>
      <w:pPr>
        <w:pStyle w:val="TextBody"/>
        <w:bidi w:val="0"/>
        <w:spacing w:before="240" w:after="283"/>
        <w:jc w:val="left"/>
        <w:rPr>
          <w:rFonts w:ascii="Arial" w:hAnsi="Arial"/>
          <w:color w:val="000000"/>
          <w:sz w:val="21"/>
        </w:rPr>
      </w:pPr>
      <w:r>
        <w:rPr>
          <w:rFonts w:ascii="Arial" w:hAnsi="Arial"/>
          <w:color w:val="000000"/>
          <w:sz w:val="21"/>
        </w:rPr>
        <w:t>6.</w:t>
      </w:r>
    </w:p>
    <w:p>
      <w:pPr>
        <w:pStyle w:val="TextBody"/>
        <w:bidi w:val="0"/>
        <w:spacing w:before="240" w:after="283"/>
        <w:jc w:val="left"/>
        <w:rPr/>
      </w:pPr>
      <w:r>
        <w:rPr>
          <w:rFonts w:ascii="Arial" w:hAnsi="Arial"/>
          <w:color w:val="000000"/>
          <w:sz w:val="21"/>
          <w:u w:val="single"/>
        </w:rPr>
        <w:t>Miscellaneous Provisions</w:t>
      </w:r>
      <w:r>
        <w:rPr>
          <w:rFonts w:ascii="Arial" w:hAnsi="Arial"/>
          <w:color w:val="000000"/>
          <w:sz w:val="21"/>
        </w:rPr>
        <w:t>.</w:t>
      </w:r>
    </w:p>
    <w:p>
      <w:pPr>
        <w:pStyle w:val="TextBody"/>
        <w:bidi w:val="0"/>
        <w:spacing w:before="240" w:after="283"/>
        <w:jc w:val="both"/>
        <w:rPr>
          <w:rFonts w:ascii="Arial" w:hAnsi="Arial"/>
          <w:color w:val="000000"/>
          <w:sz w:val="21"/>
        </w:rPr>
      </w:pPr>
      <w:r>
        <w:rPr>
          <w:rFonts w:ascii="Arial" w:hAnsi="Arial"/>
          <w:color w:val="000000"/>
          <w:sz w:val="21"/>
        </w:rPr>
        <w:t>(a)</w:t>
      </w:r>
    </w:p>
    <w:p>
      <w:pPr>
        <w:pStyle w:val="TextBody"/>
        <w:bidi w:val="0"/>
        <w:spacing w:before="240" w:after="283"/>
        <w:jc w:val="both"/>
        <w:rPr/>
      </w:pPr>
      <w:r>
        <w:rPr>
          <w:rFonts w:ascii="Arial" w:hAnsi="Arial"/>
          <w:color w:val="000000"/>
          <w:sz w:val="21"/>
          <w:u w:val="single"/>
        </w:rPr>
        <w:t>Modification or Waiver</w:t>
      </w:r>
      <w:r>
        <w:rPr>
          <w:rFonts w:ascii="Arial" w:hAnsi="Arial"/>
          <w:color w:val="000000"/>
          <w:sz w:val="21"/>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240" w:after="283"/>
        <w:jc w:val="both"/>
        <w:rPr>
          <w:rFonts w:ascii="Arial" w:hAnsi="Arial"/>
          <w:color w:val="000000"/>
          <w:sz w:val="21"/>
        </w:rPr>
      </w:pPr>
      <w:r>
        <w:rPr>
          <w:rFonts w:ascii="Arial" w:hAnsi="Arial"/>
          <w:color w:val="000000"/>
          <w:sz w:val="21"/>
        </w:rPr>
        <w:t>(b)</w:t>
      </w:r>
    </w:p>
    <w:p>
      <w:pPr>
        <w:pStyle w:val="TextBody"/>
        <w:bidi w:val="0"/>
        <w:spacing w:before="240" w:after="283"/>
        <w:jc w:val="both"/>
        <w:rPr/>
      </w:pPr>
      <w:r>
        <w:rPr>
          <w:rFonts w:ascii="Arial" w:hAnsi="Arial"/>
          <w:color w:val="000000"/>
          <w:sz w:val="21"/>
          <w:u w:val="single"/>
        </w:rPr>
        <w:t>Death of Executive</w:t>
      </w:r>
      <w:r>
        <w:rPr>
          <w:rFonts w:ascii="Arial" w:hAnsi="Arial"/>
          <w:color w:val="000000"/>
          <w:sz w:val="21"/>
        </w:rPr>
        <w:t>. In the event of Executive’s death following a qualifying termination of employment pursuant to which the Executive is entitled to receive benefits pursuant to Section 2, but prior to the full payment thereof, such unpaid amounts will remain payable to the Executive, and all such amounts, unless otherwise provided herein, shall be paid in accordance with the terms herein to the Executive’s estate.</w:t>
      </w:r>
    </w:p>
    <w:p>
      <w:pPr>
        <w:pStyle w:val="TextBody"/>
        <w:bidi w:val="0"/>
        <w:spacing w:before="240" w:after="283"/>
        <w:jc w:val="both"/>
        <w:rPr>
          <w:rFonts w:ascii="Arial" w:hAnsi="Arial"/>
          <w:color w:val="000000"/>
          <w:sz w:val="21"/>
        </w:rPr>
      </w:pPr>
      <w:r>
        <w:rPr>
          <w:rFonts w:ascii="Arial" w:hAnsi="Arial"/>
          <w:color w:val="000000"/>
          <w:sz w:val="21"/>
        </w:rPr>
        <w:t>(c)</w:t>
      </w:r>
    </w:p>
    <w:p>
      <w:pPr>
        <w:pStyle w:val="TextBody"/>
        <w:bidi w:val="0"/>
        <w:spacing w:before="240" w:after="283"/>
        <w:jc w:val="both"/>
        <w:rPr/>
      </w:pPr>
      <w:r>
        <w:rPr>
          <w:rFonts w:ascii="Arial" w:hAnsi="Arial"/>
          <w:color w:val="000000"/>
          <w:sz w:val="21"/>
          <w:u w:val="single"/>
        </w:rPr>
        <w:t>Integration</w:t>
      </w:r>
      <w:r>
        <w:rPr>
          <w:rFonts w:ascii="Arial" w:hAnsi="Arial"/>
          <w:color w:val="000000"/>
          <w:sz w:val="21"/>
        </w:rPr>
        <w:t>. This Agreement represents the entire agreement and understanding between the parties as to the subject matter herein and supersedes all prior or contemporaneous agreements, whether written or oral, with respect to the subject matter of this Agreement.</w:t>
      </w:r>
    </w:p>
    <w:p>
      <w:pPr>
        <w:pStyle w:val="TextBody"/>
        <w:bidi w:val="0"/>
        <w:spacing w:before="240" w:after="283"/>
        <w:jc w:val="both"/>
        <w:rPr>
          <w:rFonts w:ascii="Arial" w:hAnsi="Arial"/>
          <w:color w:val="000000"/>
          <w:sz w:val="21"/>
        </w:rPr>
      </w:pPr>
      <w:r>
        <w:rPr>
          <w:rFonts w:ascii="Arial" w:hAnsi="Arial"/>
          <w:color w:val="000000"/>
          <w:sz w:val="21"/>
        </w:rPr>
        <w:t>(d)</w:t>
      </w:r>
    </w:p>
    <w:p>
      <w:pPr>
        <w:pStyle w:val="TextBody"/>
        <w:bidi w:val="0"/>
        <w:spacing w:before="240" w:after="283"/>
        <w:jc w:val="both"/>
        <w:rPr/>
      </w:pPr>
      <w:r>
        <w:rPr>
          <w:rFonts w:ascii="Arial" w:hAnsi="Arial"/>
          <w:color w:val="000000"/>
          <w:sz w:val="21"/>
          <w:u w:val="single"/>
        </w:rPr>
        <w:t>Choice of Law</w:t>
      </w:r>
      <w:r>
        <w:rPr>
          <w:rFonts w:ascii="Arial" w:hAnsi="Arial"/>
          <w:color w:val="000000"/>
          <w:sz w:val="21"/>
        </w:rPr>
        <w:t>. The validity, interpretation, construction and performance of this Agreement shall be governed by the internal substantive laws, but not the conflicts of law rules, of the State of California.</w:t>
      </w:r>
    </w:p>
    <w:p>
      <w:pPr>
        <w:pStyle w:val="TextBody"/>
        <w:bidi w:val="0"/>
        <w:spacing w:before="240" w:after="283"/>
        <w:jc w:val="both"/>
        <w:rPr>
          <w:rFonts w:ascii="Arial" w:hAnsi="Arial"/>
          <w:color w:val="000000"/>
          <w:sz w:val="21"/>
        </w:rPr>
      </w:pPr>
      <w:r>
        <w:rPr>
          <w:rFonts w:ascii="Arial" w:hAnsi="Arial"/>
          <w:color w:val="000000"/>
          <w:sz w:val="21"/>
        </w:rPr>
        <w:t>(e)</w:t>
      </w:r>
    </w:p>
    <w:p>
      <w:pPr>
        <w:pStyle w:val="TextBody"/>
        <w:bidi w:val="0"/>
        <w:spacing w:before="240" w:after="283"/>
        <w:jc w:val="both"/>
        <w:rPr/>
      </w:pPr>
      <w:r>
        <w:rPr>
          <w:rFonts w:ascii="Arial" w:hAnsi="Arial"/>
          <w:color w:val="000000"/>
          <w:sz w:val="21"/>
          <w:u w:val="single"/>
        </w:rPr>
        <w:t>Tax Withholding</w:t>
      </w:r>
      <w:r>
        <w:rPr>
          <w:rFonts w:ascii="Arial" w:hAnsi="Arial"/>
          <w:color w:val="000000"/>
          <w:sz w:val="21"/>
        </w:rPr>
        <w:t>. Any payments provided for hereunder are subject to reduction to reflect applicable withholding and payroll taxes and other reductions required under federal, state or local law.</w:t>
      </w:r>
    </w:p>
    <w:p>
      <w:pPr>
        <w:pStyle w:val="TextBody"/>
        <w:bidi w:val="0"/>
        <w:spacing w:before="240" w:after="283"/>
        <w:jc w:val="both"/>
        <w:rPr>
          <w:rFonts w:ascii="Arial" w:hAnsi="Arial"/>
          <w:color w:val="000000"/>
          <w:sz w:val="21"/>
        </w:rPr>
      </w:pPr>
      <w:r>
        <w:rPr>
          <w:rFonts w:ascii="Arial" w:hAnsi="Arial"/>
          <w:color w:val="000000"/>
          <w:sz w:val="21"/>
        </w:rPr>
        <w:t>(f)</w:t>
      </w:r>
    </w:p>
    <w:p>
      <w:pPr>
        <w:pStyle w:val="TextBody"/>
        <w:bidi w:val="0"/>
        <w:spacing w:before="240" w:after="283"/>
        <w:jc w:val="both"/>
        <w:rPr/>
      </w:pPr>
      <w:r>
        <w:rPr>
          <w:rFonts w:ascii="Arial" w:hAnsi="Arial"/>
          <w:color w:val="000000"/>
          <w:sz w:val="21"/>
          <w:u w:val="single"/>
        </w:rPr>
        <w:t>Notices</w:t>
      </w:r>
      <w:r>
        <w:rPr>
          <w:rFonts w:ascii="Arial" w:hAnsi="Arial"/>
          <w:color w:val="000000"/>
          <w:sz w:val="21"/>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(attention General Counsel) and to the Executive at the address that he or she most recently provided to the Company in accordance with this Subsection (e).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1"/>
        </w:rPr>
      </w:pPr>
      <w:r>
        <w:rPr>
          <w:rFonts w:ascii="Arial" w:hAnsi="Arial"/>
          <w:color w:val="000000"/>
          <w:sz w:val="21"/>
        </w:rPr>
        <w:t>(g)</w:t>
      </w:r>
    </w:p>
    <w:p>
      <w:pPr>
        <w:pStyle w:val="TextBody"/>
        <w:bidi w:val="0"/>
        <w:spacing w:before="240" w:after="283"/>
        <w:jc w:val="both"/>
        <w:rPr/>
      </w:pPr>
      <w:r>
        <w:rPr>
          <w:rFonts w:ascii="Arial" w:hAnsi="Arial"/>
          <w:color w:val="000000"/>
          <w:sz w:val="21"/>
          <w:u w:val="single"/>
        </w:rPr>
        <w:t>Severability</w:t>
      </w:r>
      <w:r>
        <w:rPr>
          <w:rFonts w:ascii="Arial" w:hAnsi="Arial"/>
          <w:color w:val="000000"/>
          <w:sz w:val="21"/>
        </w:rPr>
        <w:t>. The invalidity or unenforceability of any provision or provisions of this Agreement shall not affect the validity or enforceability of any other provision hereof, which shall remain in full force and effect.</w:t>
      </w:r>
    </w:p>
    <w:p>
      <w:pPr>
        <w:pStyle w:val="TextBody"/>
        <w:bidi w:val="0"/>
        <w:spacing w:before="240" w:after="283"/>
        <w:jc w:val="both"/>
        <w:rPr>
          <w:rFonts w:ascii="Arial" w:hAnsi="Arial"/>
          <w:color w:val="000000"/>
          <w:sz w:val="21"/>
        </w:rPr>
      </w:pPr>
      <w:r>
        <w:rPr>
          <w:rFonts w:ascii="Arial" w:hAnsi="Arial"/>
          <w:color w:val="000000"/>
          <w:sz w:val="21"/>
        </w:rPr>
        <w:t>(h)</w:t>
      </w:r>
    </w:p>
    <w:p>
      <w:pPr>
        <w:pStyle w:val="TextBody"/>
        <w:bidi w:val="0"/>
        <w:spacing w:before="240" w:after="283"/>
        <w:jc w:val="both"/>
        <w:rPr/>
      </w:pPr>
      <w:r>
        <w:rPr>
          <w:rFonts w:ascii="Arial" w:hAnsi="Arial"/>
          <w:color w:val="000000"/>
          <w:sz w:val="21"/>
          <w:u w:val="single"/>
        </w:rPr>
        <w:t>Counterparts</w:t>
      </w:r>
      <w:r>
        <w:rPr>
          <w:rFonts w:ascii="Arial" w:hAnsi="Arial"/>
          <w:color w:val="000000"/>
          <w:sz w:val="21"/>
        </w:rPr>
        <w:t>. This Agreement may be executed in counterparts, each of which shall be deemed an original, but all of which together will constitute one and the same instrument.</w:t>
      </w:r>
    </w:p>
    <w:p>
      <w:pPr>
        <w:pStyle w:val="TextBody"/>
        <w:bidi w:val="0"/>
        <w:spacing w:before="240" w:after="283"/>
        <w:jc w:val="both"/>
        <w:rPr>
          <w:rFonts w:ascii="Arial" w:hAnsi="Arial"/>
          <w:color w:val="000000"/>
          <w:sz w:val="21"/>
        </w:rPr>
      </w:pPr>
      <w:r>
        <w:rPr>
          <w:rFonts w:ascii="Arial" w:hAnsi="Arial"/>
          <w:color w:val="000000"/>
          <w:sz w:val="21"/>
        </w:rPr>
        <w:t>7.</w:t>
      </w:r>
    </w:p>
    <w:p>
      <w:pPr>
        <w:pStyle w:val="TextBody"/>
        <w:bidi w:val="0"/>
        <w:spacing w:before="240" w:after="283"/>
        <w:jc w:val="both"/>
        <w:rPr/>
      </w:pPr>
      <w:r>
        <w:rPr>
          <w:rFonts w:ascii="Arial" w:hAnsi="Arial"/>
          <w:color w:val="000000"/>
          <w:sz w:val="21"/>
          <w:u w:val="single"/>
        </w:rPr>
        <w:t>At-Will Employment</w:t>
      </w:r>
      <w:r>
        <w:rPr>
          <w:rFonts w:ascii="Arial" w:hAnsi="Arial"/>
          <w:color w:val="000000"/>
          <w:sz w:val="21"/>
        </w:rPr>
        <w:t>. Nothing contained in this Agreement shall (a) confer upon Executive any right to continue in the employ of the Company, (b) constitute any contract or agreement of employment, or (c) interfere in any way with the at-will nature of Executive’s employment with the Company.</w:t>
      </w:r>
    </w:p>
    <w:p>
      <w:pPr>
        <w:pStyle w:val="TextBody"/>
        <w:bidi w:val="0"/>
        <w:spacing w:before="240" w:after="283"/>
        <w:jc w:val="both"/>
        <w:rPr>
          <w:rFonts w:ascii="Arial" w:hAnsi="Arial"/>
          <w:color w:val="000000"/>
          <w:sz w:val="21"/>
        </w:rPr>
      </w:pPr>
      <w:r>
        <w:rPr>
          <w:rFonts w:ascii="Arial" w:hAnsi="Arial"/>
          <w:color w:val="000000"/>
          <w:sz w:val="21"/>
        </w:rPr>
        <w:t>8.</w:t>
      </w:r>
    </w:p>
    <w:p>
      <w:pPr>
        <w:pStyle w:val="TextBody"/>
        <w:bidi w:val="0"/>
        <w:spacing w:before="240" w:after="283"/>
        <w:jc w:val="both"/>
        <w:rPr/>
      </w:pPr>
      <w:r>
        <w:rPr>
          <w:rFonts w:ascii="Arial" w:hAnsi="Arial"/>
          <w:color w:val="000000"/>
          <w:sz w:val="21"/>
          <w:u w:val="single"/>
        </w:rPr>
        <w:t>Definitions</w:t>
      </w:r>
      <w:r>
        <w:rPr>
          <w:rFonts w:ascii="Arial" w:hAnsi="Arial"/>
          <w:color w:val="000000"/>
          <w:sz w:val="21"/>
        </w:rPr>
        <w:t>. The following terms referred to in this Agreement shall have the following meanings:</w:t>
      </w:r>
    </w:p>
    <w:p>
      <w:pPr>
        <w:pStyle w:val="TextBody"/>
        <w:bidi w:val="0"/>
        <w:spacing w:before="240" w:after="283"/>
        <w:jc w:val="both"/>
        <w:rPr>
          <w:rFonts w:ascii="Arial" w:hAnsi="Arial"/>
          <w:color w:val="000000"/>
          <w:sz w:val="21"/>
        </w:rPr>
      </w:pPr>
      <w:r>
        <w:rPr>
          <w:rFonts w:ascii="Arial" w:hAnsi="Arial"/>
          <w:color w:val="000000"/>
          <w:sz w:val="21"/>
        </w:rPr>
        <w:t>(a)</w:t>
      </w:r>
    </w:p>
    <w:p>
      <w:pPr>
        <w:pStyle w:val="TextBody"/>
        <w:bidi w:val="0"/>
        <w:spacing w:before="240" w:after="283"/>
        <w:jc w:val="both"/>
        <w:rPr/>
      </w:pPr>
      <w:r>
        <w:rPr>
          <w:color w:val="000000"/>
        </w:rPr>
        <w:t>“</w:t>
      </w:r>
      <w:r>
        <w:rPr>
          <w:rFonts w:ascii="Arial" w:hAnsi="Arial"/>
          <w:b/>
          <w:color w:val="000000"/>
          <w:sz w:val="21"/>
          <w:u w:val="single"/>
        </w:rPr>
        <w:t>Base Salary</w:t>
      </w:r>
      <w:r>
        <w:rPr>
          <w:color w:val="000000"/>
        </w:rPr>
        <w:t xml:space="preserve">” </w:t>
      </w:r>
      <w:r>
        <w:rPr>
          <w:rFonts w:ascii="Arial" w:hAnsi="Arial"/>
          <w:color w:val="000000"/>
          <w:sz w:val="21"/>
        </w:rPr>
        <w:t>means Executive’s annual base salary as in effect immediately prior to a Termination Without Cause or Involuntary Termination; provided, however, that in the event of a Resignation for Good Reason due to a material reduction in Executive’s base salary, “Base Salary” means Executive’s annual base salary as in effect immediately prior to such reduction or as in effect immediately prior to a Change in Control, whichever is greater.</w:t>
      </w:r>
    </w:p>
    <w:p>
      <w:pPr>
        <w:pStyle w:val="TextBody"/>
        <w:bidi w:val="0"/>
        <w:spacing w:before="240" w:after="283"/>
        <w:jc w:val="both"/>
        <w:rPr>
          <w:rFonts w:ascii="Arial" w:hAnsi="Arial"/>
          <w:color w:val="000000"/>
          <w:sz w:val="21"/>
        </w:rPr>
      </w:pPr>
      <w:r>
        <w:rPr>
          <w:rFonts w:ascii="Arial" w:hAnsi="Arial"/>
          <w:color w:val="000000"/>
          <w:sz w:val="21"/>
        </w:rPr>
        <w:t>(b)</w:t>
      </w:r>
    </w:p>
    <w:p>
      <w:pPr>
        <w:pStyle w:val="TextBody"/>
        <w:bidi w:val="0"/>
        <w:spacing w:before="240" w:after="283"/>
        <w:jc w:val="both"/>
        <w:rPr/>
      </w:pPr>
      <w:r>
        <w:rPr>
          <w:color w:val="000000"/>
        </w:rPr>
        <w:t>“</w:t>
      </w:r>
      <w:r>
        <w:rPr>
          <w:rFonts w:ascii="Arial" w:hAnsi="Arial"/>
          <w:b/>
          <w:color w:val="000000"/>
          <w:sz w:val="21"/>
          <w:u w:val="single"/>
        </w:rPr>
        <w:t>Cause</w:t>
      </w:r>
      <w:r>
        <w:rPr>
          <w:color w:val="000000"/>
        </w:rPr>
        <w:t xml:space="preserve">” </w:t>
      </w:r>
      <w:r>
        <w:rPr>
          <w:rFonts w:ascii="Arial" w:hAnsi="Arial"/>
          <w:color w:val="000000"/>
          <w:sz w:val="21"/>
        </w:rPr>
        <w:t xml:space="preserve">means (i) Executive’s willful and intentional unauthorized use or disclosure of the Company’s confidential information or trade secrets, which use or disclosure causes material harm to the Company, (ii) Executive’s material breach of any agreement with the Company, (iii) Executive’s material failure to comply with the Company’s written policies or rules, (iv) Executive’s conviction of, or plea of “guilty” or “no contest” to, a felony under the laws of the United States or any State, (v) Executive’s gross negligence or willful misconduct, (vi) Executive’s continuing failure to perform assigned duties after receiving written notification of the failure from the Company’s Board of Directors (other than as a result of having a disability that prevents Executive from performing the material duties required of a person holding the position with the Company for a period of at least 120 days) or (vii) Executive’s failure to cooperate in good faith with a governmental or internal investigation of the Company or its directors, officers or employees, if the Company has requested such cooperation. In the case of clauses (ii), (iii) and (vii), the Company will not terminate Executive’s employment for Cause without first giving Executive written notification of the acts or omissions constituting Cause and a reasonable cure period of not less than 10 days following such notice to the extent such events are curable (as determined by the Company). </w:t>
      </w:r>
    </w:p>
    <w:p>
      <w:pPr>
        <w:pStyle w:val="TextBody"/>
        <w:bidi w:val="0"/>
        <w:spacing w:before="240" w:after="283"/>
        <w:jc w:val="both"/>
        <w:rPr>
          <w:rFonts w:ascii="Arial" w:hAnsi="Arial"/>
          <w:color w:val="000000"/>
          <w:sz w:val="21"/>
        </w:rPr>
      </w:pPr>
      <w:r>
        <w:rPr>
          <w:rFonts w:ascii="Arial" w:hAnsi="Arial"/>
          <w:color w:val="000000"/>
          <w:sz w:val="21"/>
        </w:rPr>
        <w:t>(c)</w:t>
      </w:r>
    </w:p>
    <w:p>
      <w:pPr>
        <w:pStyle w:val="TextBody"/>
        <w:bidi w:val="0"/>
        <w:spacing w:before="240" w:after="283"/>
        <w:jc w:val="both"/>
        <w:rPr/>
      </w:pPr>
      <w:r>
        <w:rPr>
          <w:color w:val="000000"/>
        </w:rPr>
        <w:t>“</w:t>
      </w:r>
      <w:r>
        <w:rPr>
          <w:rFonts w:ascii="Arial" w:hAnsi="Arial"/>
          <w:b/>
          <w:color w:val="000000"/>
          <w:sz w:val="21"/>
          <w:u w:val="single"/>
        </w:rPr>
        <w:t>Change in Control</w:t>
      </w:r>
      <w:r>
        <w:rPr>
          <w:color w:val="000000"/>
        </w:rPr>
        <w:t xml:space="preserve">” </w:t>
      </w:r>
      <w:r>
        <w:rPr>
          <w:rFonts w:ascii="Arial" w:hAnsi="Arial"/>
          <w:color w:val="000000"/>
          <w:sz w:val="21"/>
        </w:rPr>
        <w:t xml:space="preserve">means: </w:t>
      </w:r>
    </w:p>
    <w:p>
      <w:pPr>
        <w:pStyle w:val="TextBody"/>
        <w:bidi w:val="0"/>
        <w:spacing w:before="240" w:after="283"/>
        <w:jc w:val="both"/>
        <w:rPr>
          <w:rFonts w:ascii="Arial" w:hAnsi="Arial"/>
          <w:color w:val="000000"/>
          <w:sz w:val="21"/>
        </w:rPr>
      </w:pPr>
      <w:r>
        <w:rPr>
          <w:rFonts w:ascii="Arial" w:hAnsi="Arial"/>
          <w:color w:val="000000"/>
          <w:sz w:val="21"/>
        </w:rPr>
        <w:t>(i)</w:t>
      </w:r>
    </w:p>
    <w:p>
      <w:pPr>
        <w:pStyle w:val="TextBody"/>
        <w:bidi w:val="0"/>
        <w:spacing w:before="240" w:after="283"/>
        <w:jc w:val="both"/>
        <w:rPr/>
      </w:pPr>
      <w:r>
        <w:rPr>
          <w:rFonts w:ascii="Arial" w:hAnsi="Arial"/>
          <w:color w:val="000000"/>
          <w:sz w:val="21"/>
        </w:rPr>
        <w:t>Any “person” (as such term is used in Sections 13(d) and 14(d) of the Securities Exchange Act of 1934, as amended (the “</w:t>
      </w:r>
      <w:r>
        <w:rPr>
          <w:rFonts w:ascii="Arial" w:hAnsi="Arial"/>
          <w:b/>
          <w:color w:val="000000"/>
          <w:sz w:val="21"/>
          <w:u w:val="single"/>
        </w:rPr>
        <w:t>Exchange Act</w:t>
      </w:r>
      <w:r>
        <w:rPr>
          <w:color w:val="000000"/>
        </w:rPr>
        <w:t>”</w:t>
      </w:r>
      <w:r>
        <w:rPr>
          <w:rFonts w:ascii="Arial" w:hAnsi="Arial"/>
          <w:color w:val="000000"/>
          <w:sz w:val="21"/>
        </w:rPr>
        <w:t>)) other than Peter Szulczewski becomes the “beneficial owner” (as defined in Rule 13d-3 of the Exchange Act), directly or indirectly, of securities of the Company representing more than 50% of the total voting power represented by the Company’s then-outstanding voting securities;</w:t>
      </w:r>
    </w:p>
    <w:p>
      <w:pPr>
        <w:pStyle w:val="TextBody"/>
        <w:bidi w:val="0"/>
        <w:spacing w:before="240" w:after="283"/>
        <w:jc w:val="both"/>
        <w:rPr>
          <w:rFonts w:ascii="Arial" w:hAnsi="Arial"/>
          <w:color w:val="000000"/>
          <w:sz w:val="21"/>
        </w:rPr>
      </w:pPr>
      <w:r>
        <w:rPr>
          <w:rFonts w:ascii="Arial" w:hAnsi="Arial"/>
          <w:color w:val="000000"/>
          <w:sz w:val="21"/>
        </w:rPr>
        <w:t>(ii)</w:t>
      </w:r>
    </w:p>
    <w:p>
      <w:pPr>
        <w:pStyle w:val="TextBody"/>
        <w:bidi w:val="0"/>
        <w:spacing w:before="240" w:after="283"/>
        <w:jc w:val="both"/>
        <w:rPr>
          <w:rFonts w:ascii="Arial" w:hAnsi="Arial"/>
          <w:color w:val="000000"/>
          <w:sz w:val="21"/>
        </w:rPr>
      </w:pPr>
      <w:r>
        <w:rPr>
          <w:rFonts w:ascii="Arial" w:hAnsi="Arial"/>
          <w:color w:val="000000"/>
          <w:sz w:val="21"/>
        </w:rPr>
        <w:t>The consummation of the sale or disposition by the Company of all or substantially all of the Company’s assets;</w:t>
      </w:r>
    </w:p>
    <w:p>
      <w:pPr>
        <w:pStyle w:val="TextBody"/>
        <w:bidi w:val="0"/>
        <w:spacing w:before="240" w:after="283"/>
        <w:jc w:val="both"/>
        <w:rPr>
          <w:rFonts w:ascii="Arial" w:hAnsi="Arial"/>
          <w:color w:val="000000"/>
          <w:sz w:val="21"/>
        </w:rPr>
      </w:pPr>
      <w:r>
        <w:rPr>
          <w:rFonts w:ascii="Arial" w:hAnsi="Arial"/>
          <w:color w:val="000000"/>
          <w:sz w:val="21"/>
        </w:rPr>
        <w:t>(iii)</w:t>
      </w:r>
    </w:p>
    <w:p>
      <w:pPr>
        <w:pStyle w:val="TextBody"/>
        <w:bidi w:val="0"/>
        <w:spacing w:before="240" w:after="283"/>
        <w:jc w:val="both"/>
        <w:rPr>
          <w:rFonts w:ascii="Arial" w:hAnsi="Arial"/>
          <w:color w:val="000000"/>
          <w:sz w:val="21"/>
        </w:rPr>
      </w:pPr>
      <w:r>
        <w:rPr>
          <w:rFonts w:ascii="Arial" w:hAnsi="Arial"/>
          <w:color w:val="000000"/>
          <w:sz w:val="21"/>
        </w:rPr>
        <w:t xml:space="preserve">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1"/>
        </w:rPr>
      </w:pPr>
      <w:r>
        <w:rPr>
          <w:rFonts w:ascii="Arial" w:hAnsi="Arial"/>
          <w:color w:val="000000"/>
          <w:sz w:val="21"/>
        </w:rPr>
        <w:t>50% of the total voting power represented by the voting securities of the Company or such surviving entity or its parent outstanding immediately after such merger or consolidation; or</w:t>
      </w:r>
    </w:p>
    <w:p>
      <w:pPr>
        <w:pStyle w:val="TextBody"/>
        <w:bidi w:val="0"/>
        <w:spacing w:before="240" w:after="283"/>
        <w:jc w:val="both"/>
        <w:rPr>
          <w:rFonts w:ascii="Arial" w:hAnsi="Arial"/>
          <w:color w:val="000000"/>
          <w:sz w:val="21"/>
        </w:rPr>
      </w:pPr>
      <w:r>
        <w:rPr>
          <w:rFonts w:ascii="Arial" w:hAnsi="Arial"/>
          <w:color w:val="000000"/>
          <w:sz w:val="21"/>
        </w:rPr>
        <w:t>(iv)</w:t>
      </w:r>
    </w:p>
    <w:p>
      <w:pPr>
        <w:pStyle w:val="TextBody"/>
        <w:bidi w:val="0"/>
        <w:spacing w:before="240" w:after="283"/>
        <w:jc w:val="both"/>
        <w:rPr/>
      </w:pPr>
      <w:r>
        <w:rPr>
          <w:rFonts w:ascii="Arial" w:hAnsi="Arial"/>
          <w:color w:val="000000"/>
          <w:sz w:val="21"/>
        </w:rPr>
        <w:t>Individuals who are members of the Company’s board of directors (the “</w:t>
      </w:r>
      <w:r>
        <w:rPr>
          <w:rFonts w:ascii="Arial" w:hAnsi="Arial"/>
          <w:b/>
          <w:color w:val="000000"/>
          <w:sz w:val="21"/>
          <w:u w:val="single"/>
        </w:rPr>
        <w:t>Incumbent Board</w:t>
      </w:r>
      <w:r>
        <w:rPr>
          <w:color w:val="000000"/>
        </w:rPr>
        <w:t>”</w:t>
      </w:r>
      <w:r>
        <w:rPr>
          <w:rFonts w:ascii="Arial" w:hAnsi="Arial"/>
          <w:color w:val="000000"/>
          <w:sz w:val="21"/>
        </w:rPr>
        <w:t>) cease for any reason to constitute at least a majority of the members of the Company’s board of directors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Agreement, be considered as a member of the Incumbent Board.</w:t>
      </w:r>
    </w:p>
    <w:p>
      <w:pPr>
        <w:pStyle w:val="TextBody"/>
        <w:bidi w:val="0"/>
        <w:jc w:val="both"/>
        <w:rPr>
          <w:rFonts w:ascii="Times New Roman" w:hAnsi="Times New Roman"/>
          <w:sz w:val="20"/>
        </w:rPr>
      </w:pPr>
      <w:r>
        <w:rPr>
          <w:rFonts w:ascii="Arial" w:hAnsi="Arial"/>
          <w:color w:val="000000"/>
          <w:sz w:val="21"/>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r>
        <w:rPr>
          <w:rFonts w:ascii="Times New Roman" w:hAnsi="Times New Roman"/>
          <w:color w:val="000000"/>
          <w:sz w:val="20"/>
        </w:rPr>
        <w:t xml:space="preserve"> </w:t>
      </w:r>
      <w:r>
        <w:rPr>
          <w:rFonts w:ascii="Arial" w:hAnsi="Arial"/>
          <w:color w:val="000000"/>
          <w:sz w:val="21"/>
        </w:rPr>
        <w:t>In addition, if a Change in Control constitutes a payment event with respect to any amount which is subject to Code Section 409A, then the transaction must also constitute a “change in control event” as defined in Treasury Regulation Section 1.409A-3(i)(5) to the extent required by Code Section 409A.</w:t>
      </w:r>
    </w:p>
    <w:p>
      <w:pPr>
        <w:pStyle w:val="TextBody"/>
        <w:bidi w:val="0"/>
        <w:spacing w:before="240" w:after="283"/>
        <w:jc w:val="both"/>
        <w:rPr>
          <w:rFonts w:ascii="Arial" w:hAnsi="Arial"/>
          <w:color w:val="000000"/>
          <w:sz w:val="21"/>
        </w:rPr>
      </w:pPr>
      <w:r>
        <w:rPr>
          <w:rFonts w:ascii="Arial" w:hAnsi="Arial"/>
          <w:color w:val="000000"/>
          <w:sz w:val="21"/>
        </w:rPr>
        <w:t>(d)</w:t>
      </w:r>
    </w:p>
    <w:p>
      <w:pPr>
        <w:pStyle w:val="TextBody"/>
        <w:bidi w:val="0"/>
        <w:spacing w:before="240" w:after="283"/>
        <w:jc w:val="both"/>
        <w:rPr/>
      </w:pPr>
      <w:r>
        <w:rPr>
          <w:color w:val="000000"/>
        </w:rPr>
        <w:t>“</w:t>
      </w:r>
      <w:r>
        <w:rPr>
          <w:rFonts w:ascii="Arial" w:hAnsi="Arial"/>
          <w:b/>
          <w:color w:val="000000"/>
          <w:sz w:val="21"/>
          <w:u w:val="single"/>
        </w:rPr>
        <w:t>Involuntary Termination</w:t>
      </w:r>
      <w:r>
        <w:rPr>
          <w:color w:val="000000"/>
        </w:rPr>
        <w:t xml:space="preserve">” </w:t>
      </w:r>
      <w:r>
        <w:rPr>
          <w:rFonts w:ascii="Arial" w:hAnsi="Arial"/>
          <w:color w:val="000000"/>
          <w:sz w:val="21"/>
        </w:rPr>
        <w:t>means either (i) a Termination without Cause or (ii) a Resignation for Good Reason.</w:t>
      </w:r>
    </w:p>
    <w:p>
      <w:pPr>
        <w:pStyle w:val="TextBody"/>
        <w:bidi w:val="0"/>
        <w:spacing w:before="240" w:after="283"/>
        <w:jc w:val="both"/>
        <w:rPr>
          <w:rFonts w:ascii="Arial" w:hAnsi="Arial"/>
          <w:color w:val="000000"/>
          <w:sz w:val="21"/>
        </w:rPr>
      </w:pPr>
      <w:r>
        <w:rPr>
          <w:rFonts w:ascii="Arial" w:hAnsi="Arial"/>
          <w:color w:val="000000"/>
          <w:sz w:val="21"/>
        </w:rPr>
        <w:t>(e)</w:t>
      </w:r>
    </w:p>
    <w:p>
      <w:pPr>
        <w:pStyle w:val="TextBody"/>
        <w:bidi w:val="0"/>
        <w:spacing w:before="240" w:after="283"/>
        <w:jc w:val="both"/>
        <w:rPr/>
      </w:pPr>
      <w:r>
        <w:rPr>
          <w:color w:val="000000"/>
        </w:rPr>
        <w:t>“</w:t>
      </w:r>
      <w:r>
        <w:rPr>
          <w:rFonts w:ascii="Arial" w:hAnsi="Arial"/>
          <w:b/>
          <w:color w:val="000000"/>
          <w:sz w:val="21"/>
          <w:u w:val="single"/>
        </w:rPr>
        <w:t>Resignation for Good Reason</w:t>
      </w:r>
      <w:r>
        <w:rPr>
          <w:color w:val="000000"/>
        </w:rPr>
        <w:t xml:space="preserve">” </w:t>
      </w:r>
      <w:r>
        <w:rPr>
          <w:rFonts w:ascii="Arial" w:hAnsi="Arial"/>
          <w:color w:val="000000"/>
          <w:sz w:val="21"/>
        </w:rPr>
        <w:t>means a Separation as a result of Executive’s resignation from employment after one of the following conditions has come into existence without Executive’s consent: (i) a material diminution in the nature or scope of Executive’s responsibilities, authority, powers, functions or duties within or to the Company (other than a change in title), (ii) a material reduction in Executive’s annual base salary or (iii) Executive’s required relocation to offices more than fifty (50) miles from Executive’s principal place of business. In order to constitute a Resignation for Good Reason, Executive must give the Company written notice of the condition within 90 days after it comes into existence, the Company must fail to remedy the condition within 30 days after receiving Executive’s written notice and Executive must terminate his or her employment within 30 days after expiration of the cure period.</w:t>
      </w:r>
    </w:p>
    <w:p>
      <w:pPr>
        <w:pStyle w:val="TextBody"/>
        <w:bidi w:val="0"/>
        <w:spacing w:before="240" w:after="283"/>
        <w:jc w:val="both"/>
        <w:rPr>
          <w:rFonts w:ascii="Arial" w:hAnsi="Arial"/>
          <w:color w:val="000000"/>
          <w:sz w:val="21"/>
        </w:rPr>
      </w:pPr>
      <w:r>
        <w:rPr>
          <w:rFonts w:ascii="Arial" w:hAnsi="Arial"/>
          <w:color w:val="000000"/>
          <w:sz w:val="21"/>
        </w:rPr>
        <w:t>(f)</w:t>
      </w:r>
    </w:p>
    <w:p>
      <w:pPr>
        <w:pStyle w:val="TextBody"/>
        <w:bidi w:val="0"/>
        <w:spacing w:before="240" w:after="283"/>
        <w:jc w:val="both"/>
        <w:rPr/>
      </w:pPr>
      <w:r>
        <w:rPr>
          <w:color w:val="000000"/>
        </w:rPr>
        <w:t>“</w:t>
      </w:r>
      <w:r>
        <w:rPr>
          <w:rFonts w:ascii="Arial" w:hAnsi="Arial"/>
          <w:b/>
          <w:color w:val="000000"/>
          <w:sz w:val="21"/>
          <w:u w:val="single"/>
        </w:rPr>
        <w:t>Separation</w:t>
      </w:r>
      <w:r>
        <w:rPr>
          <w:color w:val="000000"/>
        </w:rPr>
        <w:t xml:space="preserve">” </w:t>
      </w:r>
      <w:r>
        <w:rPr>
          <w:rFonts w:ascii="Arial" w:hAnsi="Arial"/>
          <w:color w:val="000000"/>
          <w:sz w:val="21"/>
        </w:rPr>
        <w:t>means a “separation from service” as defined in the regulations under Code Section 409A.</w:t>
      </w:r>
    </w:p>
    <w:p>
      <w:pPr>
        <w:pStyle w:val="TextBody"/>
        <w:bidi w:val="0"/>
        <w:spacing w:before="240" w:after="283"/>
        <w:jc w:val="both"/>
        <w:rPr>
          <w:rFonts w:ascii="Arial" w:hAnsi="Arial"/>
          <w:color w:val="000000"/>
          <w:sz w:val="21"/>
        </w:rPr>
      </w:pPr>
      <w:r>
        <w:rPr>
          <w:rFonts w:ascii="Arial" w:hAnsi="Arial"/>
          <w:color w:val="000000"/>
          <w:sz w:val="21"/>
        </w:rPr>
        <w:t>(g)</w:t>
      </w:r>
    </w:p>
    <w:p>
      <w:pPr>
        <w:pStyle w:val="TextBody"/>
        <w:bidi w:val="0"/>
        <w:spacing w:before="240" w:after="283"/>
        <w:jc w:val="both"/>
        <w:rPr/>
      </w:pPr>
      <w:r>
        <w:rPr>
          <w:color w:val="000000"/>
        </w:rPr>
        <w:t>“</w:t>
      </w:r>
      <w:r>
        <w:rPr>
          <w:rFonts w:ascii="Arial" w:hAnsi="Arial"/>
          <w:b/>
          <w:color w:val="000000"/>
          <w:sz w:val="21"/>
          <w:u w:val="single"/>
        </w:rPr>
        <w:t>Termination Without Cause</w:t>
      </w:r>
      <w:r>
        <w:rPr>
          <w:color w:val="000000"/>
        </w:rPr>
        <w:t xml:space="preserve">” </w:t>
      </w:r>
      <w:r>
        <w:rPr>
          <w:rFonts w:ascii="Arial" w:hAnsi="Arial"/>
          <w:color w:val="000000"/>
          <w:sz w:val="21"/>
        </w:rPr>
        <w:t xml:space="preserve">means a Separation as a result of the termination of Executive’s employment by the Company without Cause and not as a result of Executive’s death or disability.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IN WITNESS WHEREOF, each of the parties has executed this Agreement, in the case of the Company by its duly authorized officer, as of the day and year indicated below.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COMPANY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1"/>
        </w:rPr>
        <w:t>By:</w:t>
      </w:r>
      <w:r>
        <w:rPr>
          <w:rFonts w:ascii="Times New Roman" w:hAnsi="Times New Roman"/>
          <w:sz w:val="20"/>
        </w:rPr>
        <w:drawing>
          <wp:inline distT="0" distB="0" distL="0" distR="0">
            <wp:extent cx="1257300" cy="523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6"/>
                    <a:stretch>
                      <a:fillRect/>
                    </a:stretch>
                  </pic:blipFill>
                  <pic:spPr bwMode="auto">
                    <a:xfrm>
                      <a:off x="0" y="0"/>
                      <a:ext cx="1257300" cy="523875"/>
                    </a:xfrm>
                    <a:prstGeom prst="rect">
                      <a:avLst/>
                    </a:prstGeom>
                  </pic:spPr>
                </pic:pic>
              </a:graphicData>
            </a:graphic>
          </wp:inline>
        </w:drawing>
      </w:r>
    </w:p>
    <w:p>
      <w:pPr>
        <w:pStyle w:val="TextBody"/>
        <w:bidi w:val="0"/>
        <w:spacing w:before="240" w:after="283"/>
        <w:jc w:val="left"/>
        <w:rPr>
          <w:rFonts w:ascii="Arial" w:hAnsi="Arial"/>
          <w:color w:val="000000"/>
          <w:sz w:val="21"/>
        </w:rPr>
      </w:pPr>
      <w:r>
        <w:rPr>
          <w:rFonts w:ascii="Arial" w:hAnsi="Arial"/>
          <w:color w:val="000000"/>
          <w:sz w:val="21"/>
        </w:rPr>
        <w:t>Name: Joe Yan</w:t>
      </w:r>
    </w:p>
    <w:p>
      <w:pPr>
        <w:pStyle w:val="TextBody"/>
        <w:bidi w:val="0"/>
        <w:spacing w:before="240" w:after="283"/>
        <w:jc w:val="left"/>
        <w:rPr>
          <w:rFonts w:ascii="Times New Roman" w:hAnsi="Times New Roman"/>
          <w:sz w:val="20"/>
        </w:rPr>
      </w:pPr>
      <w:r>
        <w:rPr>
          <w:rFonts w:ascii="Arial" w:hAnsi="Arial"/>
          <w:color w:val="000000"/>
          <w:sz w:val="21"/>
        </w:rPr>
        <w:t>Title: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1"/>
        </w:rPr>
        <w:t>Date:</w:t>
      </w:r>
      <w:r>
        <w:rPr>
          <w:rFonts w:ascii="Times New Roman" w:hAnsi="Times New Roman"/>
          <w:color w:val="000000"/>
          <w:sz w:val="20"/>
          <w:u w:val="single"/>
        </w:rPr>
        <w:t xml:space="preserve"> </w:t>
      </w:r>
      <w:r>
        <w:rPr>
          <w:rFonts w:ascii="Arial" w:hAnsi="Arial"/>
          <w:color w:val="000000"/>
          <w:sz w:val="21"/>
          <w:u w:val="single"/>
        </w:rPr>
        <w:t>July 25, 2023</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EXECUTIVE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1"/>
        </w:rPr>
        <w:t>By:</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Arial" w:hAnsi="Arial"/>
          <w:color w:val="000000"/>
          <w:sz w:val="21"/>
        </w:rPr>
        <w:t>Name: Mauricio Monico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1"/>
        </w:rPr>
        <w:t>Title: Chief Product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1"/>
        </w:rPr>
        <w:t>Date:</w:t>
      </w:r>
      <w:r>
        <w:rPr>
          <w:rFonts w:ascii="Times New Roman" w:hAnsi="Times New Roman"/>
          <w:color w:val="000000"/>
          <w:sz w:val="20"/>
          <w:u w:val="single"/>
        </w:rPr>
        <w:t xml:space="preserve"> </w:t>
      </w:r>
    </w:p>
    <w:p>
      <w:pPr>
        <w:pStyle w:val="TextBody"/>
        <w:bidi w:val="0"/>
        <w:jc w:val="center"/>
        <w:rPr>
          <w:rFonts w:ascii="Arial" w:hAnsi="Arial"/>
          <w:b/>
          <w:color w:val="000000"/>
          <w:sz w:val="21"/>
        </w:rPr>
      </w:pPr>
      <w:r>
        <w:rPr>
          <w:rFonts w:ascii="Arial" w:hAnsi="Arial"/>
          <w:b/>
          <w:color w:val="000000"/>
          <w:sz w:val="21"/>
        </w:rPr>
        <w:t>EXHIBIT B</w:t>
      </w:r>
    </w:p>
    <w:p>
      <w:pPr>
        <w:pStyle w:val="TextBody"/>
        <w:bidi w:val="0"/>
        <w:spacing w:before="0" w:after="240"/>
        <w:jc w:val="center"/>
        <w:rPr>
          <w:rFonts w:ascii="Arial" w:hAnsi="Arial"/>
          <w:b/>
          <w:color w:val="000000"/>
          <w:sz w:val="21"/>
        </w:rPr>
      </w:pPr>
      <w:r>
        <w:rPr>
          <w:rFonts w:ascii="Arial" w:hAnsi="Arial"/>
          <w:b/>
          <w:color w:val="000000"/>
          <w:sz w:val="21"/>
        </w:rPr>
        <w:t>CONFIDENTIAL INFORMATION AND INVENTION ASSIGNMENT AGREEMENT</w:t>
      </w:r>
    </w:p>
    <w:p>
      <w:pPr>
        <w:pStyle w:val="TextBody"/>
        <w:bidi w:val="0"/>
        <w:jc w:val="left"/>
        <w:rPr>
          <w:rFonts w:ascii="Arial" w:hAnsi="Arial"/>
          <w:color w:val="000000"/>
          <w:sz w:val="21"/>
        </w:rPr>
      </w:pPr>
      <w:r>
        <w:rPr>
          <w:rFonts w:ascii="Arial" w:hAnsi="Arial"/>
          <w:color w:val="000000"/>
          <w:sz w:val="21"/>
        </w:rPr>
        <w:t>The following confirms and memorializes an agreement that ContextLogic Inc., a Delaware corporation (the “Company”) and I have had since the commencement of my employment (which term, for purposes of this agreement, shall be deemed to include any relationship of service to the Company that I may have had prior to actually becoming an employee) with the Company in any capacity and that is and has been a material part of the consideration for my employment by Company:</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1"/>
        </w:rPr>
        <w:t xml:space="preserve">1. </w:t>
      </w:r>
      <w:r>
        <w:rPr>
          <w:rFonts w:ascii="Arial" w:hAnsi="Arial"/>
          <w:b/>
          <w:color w:val="000000"/>
          <w:sz w:val="21"/>
          <w:u w:val="single"/>
        </w:rPr>
        <w:t>Prohibitions on Use of</w:t>
      </w:r>
      <w:r>
        <w:rPr>
          <w:rFonts w:ascii="Times New Roman" w:hAnsi="Times New Roman"/>
          <w:color w:val="000000"/>
          <w:sz w:val="20"/>
          <w:u w:val="single"/>
        </w:rPr>
        <w:t xml:space="preserve"> </w:t>
      </w:r>
      <w:r>
        <w:rPr>
          <w:rFonts w:ascii="Arial" w:hAnsi="Arial"/>
          <w:b/>
          <w:color w:val="000000"/>
          <w:sz w:val="21"/>
          <w:u w:val="single"/>
        </w:rPr>
        <w:t>Third Party Information</w:t>
      </w:r>
      <w:r>
        <w:rPr>
          <w:rFonts w:ascii="Arial" w:hAnsi="Arial"/>
          <w:color w:val="000000"/>
          <w:sz w:val="21"/>
        </w:rPr>
        <w:t>. I have not entered into, and I agree I will not enter into, any agreement either written or oral in conflict with this Agreement or my employment with the Company. I will not violate any agreement with or rights of any third party or, except as expressly authorized by Company in writing hereafter, use or disclose my own or any third party’s confidential information or intellectual property when acting within the scope of my employment or otherwise on behalf of Company. I represent that I have not retained and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pStyle w:val="TextBody"/>
        <w:bidi w:val="0"/>
        <w:spacing w:before="0" w:after="240"/>
        <w:jc w:val="both"/>
        <w:rPr>
          <w:rFonts w:ascii="Times New Roman" w:hAnsi="Times New Roman"/>
          <w:sz w:val="20"/>
        </w:rPr>
      </w:pPr>
      <w:r>
        <w:rPr>
          <w:rFonts w:ascii="Arial" w:hAnsi="Arial"/>
          <w:color w:val="000000"/>
          <w:sz w:val="21"/>
        </w:rPr>
        <w:t xml:space="preserve">2. </w:t>
      </w:r>
      <w:r>
        <w:rPr>
          <w:rFonts w:ascii="Arial" w:hAnsi="Arial"/>
          <w:b/>
          <w:color w:val="000000"/>
          <w:sz w:val="21"/>
          <w:u w:val="single"/>
        </w:rPr>
        <w:t>Work for Hire; Assignment of Inventions</w:t>
      </w:r>
      <w:r>
        <w:rPr>
          <w:rFonts w:ascii="Arial" w:hAnsi="Arial"/>
          <w:color w:val="000000"/>
          <w:sz w:val="21"/>
        </w:rPr>
        <w:t>. I acknowledge and agree that any copyrightable works prepared by me within the scope of my employment are “works for hire” under the Copyright Act and that pursuant to this Agreement, the Company is and without any further action required by either party shall be considered the author and owner of such copyrightable works. I agree that all inventions that I make, create, conceive, or first reduce to practice during the period of my employment, whether or not in the course of my employment, that (i) are developed using equipment, supplies, facilities or trade secrets of the Company, (ii) result from work performed by me for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1"/>
        </w:rPr>
        <w:t>Company, or (iii) relate to the Company’s business or actual or demonstrably anticipated research and development (the “</w:t>
      </w:r>
      <w:r>
        <w:rPr>
          <w:rFonts w:ascii="Arial" w:hAnsi="Arial"/>
          <w:b/>
          <w:i/>
          <w:color w:val="000000"/>
          <w:sz w:val="21"/>
        </w:rPr>
        <w:t>Assigned Inventions</w:t>
      </w:r>
      <w:r>
        <w:rPr>
          <w:rFonts w:ascii="Times New Roman" w:hAnsi="Times New Roman"/>
          <w:color w:val="000000"/>
          <w:sz w:val="20"/>
        </w:rPr>
        <w:t>”</w:t>
      </w:r>
      <w:r>
        <w:rPr>
          <w:rFonts w:ascii="Arial" w:hAnsi="Arial"/>
          <w:color w:val="000000"/>
          <w:sz w:val="21"/>
        </w:rPr>
        <w:t>), are and will continue to be the sole and exclusive property of the Company pursuant to this Agreement without any further action required by either party. I hereby irrevocably assign the Assigned Inventions to the Company. I understand that this assignment by me pursuant to this Agreement is intended to, and does, extend to subject matters currently in existence, those in development, as well as those which have not yet been created.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(a) </w:t>
      </w:r>
      <w:r>
        <w:rPr>
          <w:rFonts w:ascii="Arial" w:hAnsi="Arial"/>
          <w:b/>
          <w:color w:val="000000"/>
          <w:sz w:val="21"/>
          <w:u w:val="single"/>
        </w:rPr>
        <w:t>Prior Inventions</w:t>
      </w:r>
      <w:r>
        <w:rPr>
          <w:rFonts w:ascii="Arial" w:hAnsi="Arial"/>
          <w:color w:val="000000"/>
          <w:sz w:val="21"/>
        </w:rPr>
        <w:t xml:space="preserve">. Attached hereto as </w:t>
      </w:r>
      <w:r>
        <w:rPr>
          <w:rFonts w:ascii="Arial" w:hAnsi="Arial"/>
          <w:color w:val="000000"/>
          <w:sz w:val="21"/>
          <w:u w:val="single"/>
        </w:rPr>
        <w:t>Appendix B</w:t>
      </w:r>
      <w:r>
        <w:rPr>
          <w:rFonts w:ascii="Times New Roman" w:hAnsi="Times New Roman"/>
          <w:color w:val="000000"/>
          <w:sz w:val="20"/>
        </w:rPr>
        <w:t xml:space="preserve"> </w:t>
      </w:r>
      <w:r>
        <w:rPr>
          <w:rFonts w:ascii="Arial" w:hAnsi="Arial"/>
          <w:color w:val="000000"/>
          <w:sz w:val="21"/>
        </w:rPr>
        <w:t>is a list describing all inventions, original works of authorship, developments and trade secrets which were made by me or acquired by me prior to the date of this Agreement, which belong to me and which are not assigned to the Company (“</w:t>
      </w:r>
      <w:r>
        <w:rPr>
          <w:rFonts w:ascii="Arial" w:hAnsi="Arial"/>
          <w:b/>
          <w:i/>
          <w:color w:val="000000"/>
          <w:sz w:val="21"/>
        </w:rPr>
        <w:t>Prior Inventions</w:t>
      </w:r>
      <w:r>
        <w:rPr>
          <w:rFonts w:ascii="Times New Roman" w:hAnsi="Times New Roman"/>
          <w:color w:val="000000"/>
          <w:sz w:val="20"/>
        </w:rPr>
        <w:t>”</w:t>
      </w:r>
      <w:r>
        <w:rPr>
          <w:rFonts w:ascii="Arial" w:hAnsi="Arial"/>
          <w:color w:val="000000"/>
          <w:sz w:val="21"/>
        </w:rPr>
        <w:t>). If no such list is attached, I agree that it is because no such Prior Inventions exist. I acknowledge and agree that if I use any of my Prior Inventions in the scope of my employment, or include them in any product or service of the Company, I hereby grant to the Company a perpetual, irrevocable, nonexclusive, world-wide, royalty-free license without any further action required by either party to use, disclose, make, sell, copy, distribute, modify and create works based on, perform or display such Prior Inventions and to sublicense third parties with the same rights. If, at any time, a court or other tribunal rules that my assignment under this Paragraph is ineffective or unenforceable for any reason, I agree to perform all actions necessary to assign the Assigned Inventions and/or Prior Inventions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(b) </w:t>
      </w:r>
      <w:r>
        <w:rPr>
          <w:rFonts w:ascii="Arial" w:hAnsi="Arial"/>
          <w:b/>
          <w:color w:val="000000"/>
          <w:sz w:val="21"/>
          <w:u w:val="single"/>
        </w:rPr>
        <w:t>Disclosure of Inventions</w:t>
      </w:r>
      <w:r>
        <w:rPr>
          <w:rFonts w:ascii="Arial" w:hAnsi="Arial"/>
          <w:color w:val="000000"/>
          <w:sz w:val="21"/>
        </w:rPr>
        <w:t xml:space="preserve">. I agree that without any further compensations and without any further action being necessary on my part, through this Agreement Company shall own all right, title and interest (including patent rights, copyrights, trade secret rights, mask work rights, </w:t>
      </w:r>
      <w:r>
        <w:rPr>
          <w:rFonts w:ascii="Arial" w:hAnsi="Arial"/>
          <w:i/>
          <w:color w:val="000000"/>
          <w:sz w:val="21"/>
        </w:rPr>
        <w:t>sui generis</w:t>
      </w:r>
      <w:r>
        <w:rPr>
          <w:rFonts w:ascii="Times New Roman" w:hAnsi="Times New Roman"/>
          <w:color w:val="000000"/>
          <w:sz w:val="20"/>
        </w:rPr>
        <w:t xml:space="preserve"> </w:t>
      </w:r>
      <w:r>
        <w:rPr>
          <w:rFonts w:ascii="Arial" w:hAnsi="Arial"/>
          <w:color w:val="000000"/>
          <w:sz w:val="21"/>
        </w:rPr>
        <w:t>database rights and all other intellectual property rights of any sort throughout the world) relating to any and all inventions (whether or not patentable), works of authorship, mask works, designs, know-how, ideas, computer software programs, and information made or conceived or reduced to practice, in whole or in part, by me during the term of my employment with Company to and only to the fullest extent allowed by law, including California Labor Code Section 2870 if applicable (collectively “</w:t>
      </w:r>
      <w:r>
        <w:rPr>
          <w:rFonts w:ascii="Arial" w:hAnsi="Arial"/>
          <w:b/>
          <w:i/>
          <w:color w:val="000000"/>
          <w:sz w:val="21"/>
        </w:rPr>
        <w:t>Inventions</w:t>
      </w:r>
      <w:r>
        <w:rPr>
          <w:rFonts w:ascii="Times New Roman" w:hAnsi="Times New Roman"/>
          <w:color w:val="000000"/>
          <w:sz w:val="20"/>
        </w:rPr>
        <w:t>”</w:t>
      </w:r>
      <w:r>
        <w:rPr>
          <w:rFonts w:ascii="Arial" w:hAnsi="Arial"/>
          <w:color w:val="000000"/>
          <w:sz w:val="21"/>
        </w:rPr>
        <w:t xml:space="preserve">), and I will promptly disclose all Inventions to Company. Without disclosing any third party confidential information, I will also disclose anything I believe is excluded by law, including California Labor Code Section 2870 (which is attached as </w:t>
      </w:r>
      <w:r>
        <w:rPr>
          <w:rFonts w:ascii="Arial" w:hAnsi="Arial"/>
          <w:color w:val="000000"/>
          <w:sz w:val="21"/>
          <w:u w:val="single"/>
        </w:rPr>
        <w:t>Appendix A</w:t>
      </w:r>
      <w:r>
        <w:rPr>
          <w:rFonts w:ascii="Arial" w:hAnsi="Arial"/>
          <w:color w:val="000000"/>
          <w:sz w:val="21"/>
        </w:rPr>
        <w:t>) if applicable, so that the Company can make an independent assessment.</w:t>
      </w:r>
    </w:p>
    <w:p>
      <w:pPr>
        <w:pStyle w:val="TextBody"/>
        <w:bidi w:val="0"/>
        <w:spacing w:before="0" w:after="240"/>
        <w:jc w:val="both"/>
        <w:rPr>
          <w:rFonts w:ascii="Times New Roman" w:hAnsi="Times New Roman"/>
          <w:sz w:val="20"/>
        </w:rPr>
      </w:pPr>
      <w:r>
        <w:rPr>
          <w:rFonts w:ascii="Arial" w:hAnsi="Arial"/>
          <w:color w:val="000000"/>
          <w:sz w:val="21"/>
        </w:rPr>
        <w:t xml:space="preserve">(c) </w:t>
      </w:r>
      <w:r>
        <w:rPr>
          <w:rFonts w:ascii="Arial" w:hAnsi="Arial"/>
          <w:b/>
          <w:color w:val="000000"/>
          <w:sz w:val="21"/>
          <w:u w:val="single"/>
        </w:rPr>
        <w:t>Assistance/Power to Act</w:t>
      </w:r>
      <w:r>
        <w:rPr>
          <w:rFonts w:ascii="Arial" w:hAnsi="Arial"/>
          <w:color w:val="000000"/>
          <w:sz w:val="21"/>
        </w:rPr>
        <w:t>. I hereby make all assignments necessary to accomplish the foregoing. I shall further assist Company, at Company’s expense, to further evidence, record and perfect such assignments, and to perfect, obtain, maintain, enforce, and defend any rights specified to be so owned or assigned. I will execute any documents that the Company may reasonably request for use in obtaining or enforcing such patents, copyrights, mask work rights, trade secrets and other legal protections that the Company owns and/or which I have assigned to the Company pursuant to this Agreement.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hereby irrevocably designate and appoint the Company through its General Counsel as my agent and attorney-in-fact, coupled with an interest and with full power of substitution, to act for and in my behalf to execute and file any document and to do all other lawfully permitted acts to further the purposes of the foregoing with the same legal force and effect as if executed by me. Without limiting Section 1 or the Company’s other rights and remedies, if, when acting within the scope of my employment or otherwise on behalf of Company, I use or disclose my own or any third party’s confidential information or intellectual property (or if any Invention cannot be fully made, used, reproduced, distributed and otherwise exploited without using or violating the foregoing), Company will have and I hereby grant Company a perpetual, irrevocable, worldwide royalty-free, non-exclusive, sublicensable right and license to exploit and exercise all such confidential information and intellectual property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1"/>
        </w:rPr>
        <w:t xml:space="preserve">3. </w:t>
      </w:r>
      <w:r>
        <w:rPr>
          <w:rFonts w:ascii="Arial" w:hAnsi="Arial"/>
          <w:b/>
          <w:color w:val="000000"/>
          <w:sz w:val="21"/>
          <w:u w:val="single"/>
        </w:rPr>
        <w:t>Assignment of Other Rights</w:t>
      </w:r>
      <w:r>
        <w:rPr>
          <w:rFonts w:ascii="Arial" w:hAnsi="Arial"/>
          <w:color w:val="000000"/>
          <w:sz w:val="21"/>
        </w:rPr>
        <w:t>. In addition to the foregoing assignment of Assigned Inventions to the Company, I hereby irrevocably transfer and assign to 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hAnsi="Arial"/>
          <w:b/>
          <w:i/>
          <w:color w:val="000000"/>
          <w:sz w:val="21"/>
        </w:rPr>
        <w:t>Moral Rights</w:t>
      </w:r>
      <w:r>
        <w:rPr>
          <w:rFonts w:ascii="Times New Roman" w:hAnsi="Times New Roman"/>
          <w:color w:val="000000"/>
          <w:sz w:val="20"/>
        </w:rPr>
        <w:t xml:space="preserve">” </w:t>
      </w:r>
      <w:r>
        <w:rPr>
          <w:rFonts w:ascii="Arial" w:hAnsi="Arial"/>
          <w:color w:val="000000"/>
          <w:sz w:val="21"/>
        </w:rPr>
        <w:t>mean any rights to claim authorship of or credit on an Assigned Inventions, to object to or prevent the modification or destruction of any Assigned Inventions or Prior Inventions licensed to Company under this Agreement, or to withdraw from circulation or control the publication or distribution of any Assigned Inventions or Prior Inventions licensed to Company under this Agreement, and any similar right, existing under judicial or statutory law of any country or subdivision thereof in the world, or under any treaty, regardless of whether or not such right is denominated or generally referred to as a “moral right.”</w:t>
      </w:r>
    </w:p>
    <w:p>
      <w:pPr>
        <w:pStyle w:val="TextBody"/>
        <w:bidi w:val="0"/>
        <w:spacing w:before="0" w:after="240"/>
        <w:jc w:val="both"/>
        <w:rPr>
          <w:rFonts w:ascii="Times New Roman" w:hAnsi="Times New Roman"/>
          <w:sz w:val="20"/>
        </w:rPr>
      </w:pPr>
      <w:r>
        <w:rPr>
          <w:rFonts w:ascii="Arial" w:hAnsi="Arial"/>
          <w:color w:val="000000"/>
          <w:sz w:val="21"/>
        </w:rPr>
        <w:t xml:space="preserve">4. </w:t>
      </w:r>
      <w:r>
        <w:rPr>
          <w:rFonts w:ascii="Arial" w:hAnsi="Arial"/>
          <w:b/>
          <w:color w:val="000000"/>
          <w:sz w:val="21"/>
          <w:u w:val="single"/>
        </w:rPr>
        <w:t>Confidential Information</w:t>
      </w:r>
      <w:r>
        <w:rPr>
          <w:rFonts w:ascii="Arial" w:hAnsi="Arial"/>
          <w:color w:val="000000"/>
          <w:sz w:val="21"/>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(a) </w:t>
      </w:r>
      <w:r>
        <w:rPr>
          <w:rFonts w:ascii="Arial" w:hAnsi="Arial"/>
          <w:b/>
          <w:color w:val="000000"/>
          <w:sz w:val="21"/>
          <w:u w:val="single"/>
        </w:rPr>
        <w:t>Generally</w:t>
      </w:r>
      <w:r>
        <w:rPr>
          <w:rFonts w:ascii="Arial" w:hAnsi="Arial"/>
          <w:color w:val="000000"/>
          <w:sz w:val="21"/>
        </w:rPr>
        <w:t>. I understand that my employment by the Company creates a relationship of confidence and trust with respect to any information of a confidential or secret nature that (a) relates to the business of the Company or to the business of any parent, subsidiary, affiliate, customer, merchant or vendor of the Company, or any other party with whom the Company agrees to hold information of such party in confidence; (b) that is not generally known to the public or to other persons in the industry; and (c) that the Company has taken reasonable measures under the circumstances to protect from unauthorized use or disclosure (</w:t>
      </w:r>
      <w:r>
        <w:rPr>
          <w:rFonts w:ascii="Times New Roman" w:hAnsi="Times New Roman"/>
          <w:color w:val="000000"/>
          <w:sz w:val="20"/>
        </w:rPr>
        <w:t>“</w:t>
      </w:r>
      <w:r>
        <w:rPr>
          <w:rFonts w:ascii="Arial" w:hAnsi="Arial"/>
          <w:b/>
          <w:i/>
          <w:color w:val="000000"/>
          <w:sz w:val="21"/>
        </w:rPr>
        <w:t>Confidential Information</w:t>
      </w:r>
      <w:r>
        <w:rPr>
          <w:rFonts w:ascii="Times New Roman" w:hAnsi="Times New Roman"/>
          <w:color w:val="000000"/>
          <w:sz w:val="20"/>
        </w:rPr>
        <w:t>”</w:t>
      </w:r>
      <w:r>
        <w:rPr>
          <w:rFonts w:ascii="Arial" w:hAnsi="Arial"/>
          <w:color w:val="000000"/>
          <w:sz w:val="21"/>
        </w:rPr>
        <w:t>). Confidential Information covered by this Agreement means (i) trade secrets; (ii) proprietary information that does not rise to the level of a statutorily protectable trade secret that is made the property of the Company through positive operation of law in the form of this mutual agreement of the parties; and/or (iii) information that is otherwise legally protectable. Such Confidential Information includes, but is not limited to, inventions, knowledge, data, information, know-how, non-public intellectual property rights including unpublished or pending patent applications and all related patent rights, techniques, formulae, processes, discoveries, improvements, ideas, conceptions, compilations of data, and developments, whether or not patentable and whether or not copyrightable. By way of example, Confidential Information includes: information relating to the Company’s products, services and methods of operation, the identities and competencies of the Company’s employees, customers and suppliers, chemical formulae, computer software, financial information, operating and cost data, research databases, selling and pricing information, business and marketing plans, and information concerning potential acquisitions, dispositions or joint ventures. The foregoing are only examples of Confidential Information. However, I shall not be obligated under this paragraph with respect to information I can document is or becomes readily publicly available without restriction through no fault of mine.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(b) </w:t>
      </w:r>
      <w:r>
        <w:rPr>
          <w:rFonts w:ascii="Arial" w:hAnsi="Arial"/>
          <w:b/>
          <w:color w:val="000000"/>
          <w:sz w:val="21"/>
          <w:u w:val="single"/>
        </w:rPr>
        <w:t>Treatment of Confidential Information</w:t>
      </w:r>
      <w:r>
        <w:rPr>
          <w:rFonts w:ascii="Arial" w:hAnsi="Arial"/>
          <w:color w:val="000000"/>
          <w:sz w:val="21"/>
        </w:rPr>
        <w:t>. At all times, both during my employment and after its termination, I will keep all Confidential Information in strict confidence. I will not use, disclose, copy, reverse-engineer, distribute, gain unauthorized access or misappropriate any Confidential Information without the prior written consent of the Company, except as may be necessary to perform my duties as an employee of the Company for the benefit of the Company. Upon termination of my employment with the Company, I will not take with me or retain any documents or materials or copies thereof containing any Confidential Information. I agree to return all Confidential Information (original, hard and electronic copies) in my possession on or before my last day of employment. If, at the time of termination, I have Confidential Information stored in my personal computer or any mobile, cloud, or other storage medium, I shall so advise the Company. I will then work with the Company to ensure that the location of all such information is fully disclosed to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1"/>
        </w:rPr>
        <w:t>Company, retrieved by the Company in a forensically sound manner, and is permanently deleted by the Company or its designee, and I will not delete or destroy any Confidential Information in my possession or control. Upon Company request, I will execute a document confirming my agreement to honor my responsibilities contained in this Agreement after my departure. Notwithstanding my confidentiality obligations, I am permitted to disclose Confidential Information that is required to be disclosed by me pursuant to judicial order or other legal mandate, provided that I have given the Company prompt notice of the disclosure requirement, and that I fully cooperate with any efforts by the Company to obtain and comply with any protective order imposed on such disclosure. I understand that I may keep my personal copies of (i) my compensation records, (ii) materials distributed to shareholders generally and (iii) this Agreement. I also recognize and agree that I have no expectation of privacy with respect to Company’s telecommunications, networking or information processing systems (including, without limitation, stored computer files, email messages and voice messages) and that my activity and any files or messages on or using any of those systems may be monitored at any time without notice.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5. </w:t>
      </w:r>
      <w:r>
        <w:rPr>
          <w:rFonts w:ascii="Arial" w:hAnsi="Arial"/>
          <w:b/>
          <w:color w:val="000000"/>
          <w:sz w:val="21"/>
          <w:u w:val="single"/>
        </w:rPr>
        <w:t>Non-Solicitation of Merchants/Vendors/Customers</w:t>
      </w:r>
      <w:r>
        <w:rPr>
          <w:rFonts w:ascii="Arial" w:hAnsi="Arial"/>
          <w:color w:val="000000"/>
          <w:sz w:val="21"/>
        </w:rPr>
        <w:t>. During my employment with the Company, I will not directly or indirectly solicit or otherwise take away customers, merchants or vendors of the Company. For one year after the termination I will not directly or indirectly solicit or otherwise take away customers, merchants or vendors of the Company if, in so doing, I access, use or disclose any Confidential Information of the Company. I acknowledge and agree that the names and addresses of the Company’s customers, merchants or vendors, and all other confidential information related to them, including their buying and selling habits and special needs, whether created or obtained by, or disclosed to me during my employment, constitute Confidential Information of the Company.</w:t>
      </w:r>
    </w:p>
    <w:p>
      <w:pPr>
        <w:pStyle w:val="TextBody"/>
        <w:bidi w:val="0"/>
        <w:spacing w:before="0" w:after="240"/>
        <w:jc w:val="both"/>
        <w:rPr>
          <w:rFonts w:ascii="Times New Roman" w:hAnsi="Times New Roman"/>
          <w:sz w:val="20"/>
        </w:rPr>
      </w:pPr>
      <w:r>
        <w:rPr>
          <w:rFonts w:ascii="Arial" w:hAnsi="Arial"/>
          <w:color w:val="000000"/>
          <w:sz w:val="21"/>
        </w:rPr>
        <w:t xml:space="preserve">6. </w:t>
      </w:r>
      <w:r>
        <w:rPr>
          <w:rFonts w:ascii="Arial" w:hAnsi="Arial"/>
          <w:b/>
          <w:color w:val="000000"/>
          <w:sz w:val="21"/>
          <w:u w:val="single"/>
        </w:rPr>
        <w:t>Efforts; Duty Not to Compete</w:t>
      </w:r>
      <w:r>
        <w:rPr>
          <w:rFonts w:ascii="Arial" w:hAnsi="Arial"/>
          <w:color w:val="000000"/>
          <w:sz w:val="21"/>
        </w:rPr>
        <w:t>. I understand that my employment with the Company requires my undivided loyalty, attention and effort. As a result, I agree that during the term of my employment with Company (whether or not during business hours), I will not engage in any activity that is in any way competitive with the business or demonstrably anticipated business of Company, and I will not assist any other person or organization in competing or in preparing to compete with any business or demonstrably anticipated business of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7. </w:t>
      </w:r>
      <w:r>
        <w:rPr>
          <w:rFonts w:ascii="Arial" w:hAnsi="Arial"/>
          <w:b/>
          <w:color w:val="000000"/>
          <w:sz w:val="21"/>
          <w:u w:val="single"/>
        </w:rPr>
        <w:t>Company Property</w:t>
      </w:r>
      <w:r>
        <w:rPr>
          <w:rFonts w:ascii="Arial" w:hAnsi="Arial"/>
          <w:color w:val="000000"/>
          <w:sz w:val="21"/>
        </w:rPr>
        <w:t>.</w:t>
      </w:r>
      <w:r>
        <w:rPr>
          <w:rFonts w:ascii="Times New Roman" w:hAnsi="Times New Roman"/>
          <w:color w:val="000000"/>
          <w:sz w:val="20"/>
        </w:rPr>
        <w:t xml:space="preserve"> </w:t>
      </w:r>
      <w:r>
        <w:rPr>
          <w:rFonts w:ascii="Arial" w:hAnsi="Arial"/>
          <w:color w:val="000000"/>
          <w:sz w:val="21"/>
        </w:rPr>
        <w:t>All materials, documents and data pertaining to the business of the Company that come into my possession by virtue of my employment with the Company are the property of the Company. Upon termination of my employment (regardless of reason), or upon request of the Company at any time, I will deliver to the Company the originals and all copies of such documents and materials and any other property of any nature belonging to the Company or relating to the Company’s business in my possession or control, including all forms of Confidential Information. I will work with the Company to ensure that the location of all such information is fully disclosed to the Company, retrieved by the Company in a forensically sound manner, and is permanently deleted by the Company or its designee, and I will not delete or destroy any Confidential Information or company property in my possession or control.</w:t>
      </w:r>
    </w:p>
    <w:p>
      <w:pPr>
        <w:pStyle w:val="TextBody"/>
        <w:bidi w:val="0"/>
        <w:spacing w:before="0" w:after="240"/>
        <w:jc w:val="both"/>
        <w:rPr>
          <w:rFonts w:ascii="Times New Roman" w:hAnsi="Times New Roman"/>
          <w:sz w:val="20"/>
        </w:rPr>
      </w:pPr>
      <w:r>
        <w:rPr>
          <w:rFonts w:ascii="Arial" w:hAnsi="Arial"/>
          <w:color w:val="000000"/>
          <w:sz w:val="21"/>
        </w:rPr>
        <w:t xml:space="preserve">8. </w:t>
      </w:r>
      <w:r>
        <w:rPr>
          <w:rFonts w:ascii="Arial" w:hAnsi="Arial"/>
          <w:b/>
          <w:color w:val="000000"/>
          <w:sz w:val="21"/>
          <w:u w:val="single"/>
        </w:rPr>
        <w:t>Independent Obligations and Waivers</w:t>
      </w:r>
      <w:r>
        <w:rPr>
          <w:rFonts w:ascii="Arial" w:hAnsi="Arial"/>
          <w:color w:val="000000"/>
          <w:sz w:val="21"/>
        </w:rPr>
        <w:t>. I acknowledge that my obligations under this Agreement are intended to be agreements separate and independent from any other terms and provisions of my employment. The existence of any claim or cause of action by me against the Company, whether predicated on my employment or otherwise, shall not constitute a defense to the enforcement by the Company of my obligations hereunder. I further acknowledge that no delay or failure to require performance of any provision of this Agreement shall constitute a waiver of that provision as to that or any other instance. No waiver granted under this Agreement as to any one provision herein shall constitute a subsequent waiver or such provision or of any other provision herein, nor shall it constitute the waiver of any performance other than the actual performance specifically waived.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1"/>
        </w:rPr>
        <w:t xml:space="preserve">9. </w:t>
      </w:r>
      <w:r>
        <w:rPr>
          <w:rFonts w:ascii="Arial" w:hAnsi="Arial"/>
          <w:b/>
          <w:color w:val="000000"/>
          <w:sz w:val="21"/>
          <w:u w:val="single"/>
        </w:rPr>
        <w:t>Further Assurances</w:t>
      </w:r>
      <w:r>
        <w:rPr>
          <w:rFonts w:ascii="Arial" w:hAnsi="Arial"/>
          <w:color w:val="000000"/>
          <w:sz w:val="21"/>
        </w:rPr>
        <w:t>. I agree to execute such further documents and instruments and to take such further actions as may be reasonably necessary to carry out the purposes and intent of this Agreement.</w:t>
      </w:r>
    </w:p>
    <w:p>
      <w:pPr>
        <w:pStyle w:val="TextBody"/>
        <w:bidi w:val="0"/>
        <w:spacing w:before="0" w:after="240"/>
        <w:jc w:val="both"/>
        <w:rPr>
          <w:rFonts w:ascii="Times New Roman" w:hAnsi="Times New Roman"/>
          <w:sz w:val="20"/>
        </w:rPr>
      </w:pPr>
      <w:r>
        <w:rPr>
          <w:rFonts w:ascii="Arial" w:hAnsi="Arial"/>
          <w:color w:val="000000"/>
          <w:sz w:val="21"/>
        </w:rPr>
        <w:t xml:space="preserve">10. </w:t>
      </w:r>
      <w:r>
        <w:rPr>
          <w:rFonts w:ascii="Arial" w:hAnsi="Arial"/>
          <w:b/>
          <w:color w:val="000000"/>
          <w:sz w:val="21"/>
          <w:u w:val="single"/>
        </w:rPr>
        <w:t>Obligations After Termination</w:t>
      </w:r>
      <w:r>
        <w:rPr>
          <w:rFonts w:ascii="Arial" w:hAnsi="Arial"/>
          <w:color w:val="000000"/>
          <w:sz w:val="21"/>
        </w:rPr>
        <w:t>. I agree that my obligations under paragraphs 2, 3, 4, and 5 of this Agreement shall continue in effect after termination of my employment, regardless of the reason or reasons for termination, and whether such termination is voluntary or involuntary on my part, and that Company is entitled to communicate my obligations under this Agreement to any future employer or potential employer of mine. My obligations under paragraphs 2, 3 and 4 also shall be binding upon my heirs, executors, assigns, and administrators and shall inure to the benefit of Company, its subsidiaries, successors and assigns.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11. </w:t>
      </w:r>
      <w:r>
        <w:rPr>
          <w:rFonts w:ascii="Arial" w:hAnsi="Arial"/>
          <w:b/>
          <w:color w:val="000000"/>
          <w:sz w:val="21"/>
          <w:u w:val="single"/>
        </w:rPr>
        <w:t>Governing Law; Severability</w:t>
      </w:r>
      <w:r>
        <w:rPr>
          <w:rFonts w:ascii="Arial" w:hAnsi="Arial"/>
          <w:color w:val="000000"/>
          <w:sz w:val="21"/>
        </w:rPr>
        <w:t>. Any dispute in the meaning, effect or validity of this Agreement shall be resolved in accordance with the laws of the State of California without regard to the conflict of laws provisions thereof. I further agree that if one or more provisions of this Agreement are held to be illegal or unenforceable under applicable California law, such illegal or unenforceable portion(s) shall be limited or excluded from this Agreement to the minimum extent required so that this Agreement shall otherwise remain in full force and effect and enforceable in accordance with its terms. This Agreement is fully assignable and transferable by Company, but any purported assignment or transfer by me is void. I also understand that any breach of this Agreement will cause irreparable harm to Company for which damages would not be an adequate remedy, and, therefore, Company will be entitled to injunctive relief with respect thereto in addition to any other remedies and without any requirement to post bond.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 xml:space="preserve">12. </w:t>
      </w:r>
      <w:r>
        <w:rPr>
          <w:rFonts w:ascii="Arial" w:hAnsi="Arial"/>
          <w:b/>
          <w:color w:val="000000"/>
          <w:sz w:val="21"/>
          <w:u w:val="single"/>
        </w:rPr>
        <w:t>DTSA Notification</w:t>
      </w:r>
      <w:r>
        <w:rPr>
          <w:rFonts w:ascii="Arial" w:hAnsi="Arial"/>
          <w:color w:val="000000"/>
          <w:sz w:val="21"/>
        </w:rPr>
        <w:t>. Notwithstanding my confidentiality obligations set forth in this Agreement, I understand that, pursuant to the Defend Trade Secrets Act of 2016, I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understand that in the event it is determined that disclosure of Company trade secrets was not done in good faith pursuant to the above, I will be subject to substantial damages, including punitive damages and attorneys’ fees.</w:t>
      </w:r>
    </w:p>
    <w:p>
      <w:pPr>
        <w:pStyle w:val="TextBody"/>
        <w:bidi w:val="0"/>
        <w:spacing w:before="0" w:after="240"/>
        <w:jc w:val="both"/>
        <w:rPr>
          <w:rFonts w:ascii="Times New Roman" w:hAnsi="Times New Roman"/>
          <w:sz w:val="20"/>
        </w:rPr>
      </w:pPr>
      <w:r>
        <w:rPr>
          <w:rFonts w:ascii="Arial" w:hAnsi="Arial"/>
          <w:color w:val="000000"/>
          <w:sz w:val="21"/>
        </w:rPr>
        <w:t xml:space="preserve">13. </w:t>
      </w:r>
      <w:r>
        <w:rPr>
          <w:rFonts w:ascii="Arial" w:hAnsi="Arial"/>
          <w:b/>
          <w:color w:val="000000"/>
          <w:sz w:val="21"/>
          <w:u w:val="single"/>
        </w:rPr>
        <w:t>Name &amp; Likeness Rights</w:t>
      </w:r>
      <w:r>
        <w:rPr>
          <w:rFonts w:ascii="Arial" w:hAnsi="Arial"/>
          <w:color w:val="000000"/>
          <w:sz w:val="21"/>
        </w:rPr>
        <w:t>. I hereby authorize the Company to use, reuse, and to grant others the right to use and reuse, my image, photograph, likeness (including caricature), voice,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pStyle w:val="TextBody"/>
        <w:bidi w:val="0"/>
        <w:spacing w:before="0" w:after="240"/>
        <w:jc w:val="both"/>
        <w:rPr>
          <w:rFonts w:ascii="Times New Roman" w:hAnsi="Times New Roman"/>
          <w:sz w:val="20"/>
        </w:rPr>
      </w:pPr>
      <w:r>
        <w:rPr>
          <w:rFonts w:ascii="Arial" w:hAnsi="Arial"/>
          <w:color w:val="000000"/>
          <w:sz w:val="21"/>
        </w:rPr>
        <w:t xml:space="preserve">14. </w:t>
      </w:r>
      <w:r>
        <w:rPr>
          <w:rFonts w:ascii="Arial" w:hAnsi="Arial"/>
          <w:b/>
          <w:color w:val="000000"/>
          <w:sz w:val="21"/>
          <w:u w:val="single"/>
        </w:rPr>
        <w:t>Non-Disparagement.</w:t>
      </w:r>
      <w:r>
        <w:rPr>
          <w:rFonts w:ascii="Times New Roman" w:hAnsi="Times New Roman"/>
          <w:color w:val="000000"/>
          <w:sz w:val="20"/>
        </w:rPr>
        <w:t xml:space="preserve"> </w:t>
      </w:r>
      <w:r>
        <w:rPr>
          <w:rFonts w:ascii="Arial" w:hAnsi="Arial"/>
          <w:color w:val="000000"/>
          <w:sz w:val="21"/>
        </w:rPr>
        <w:t>I further agree that I will not make any statement or issue any communication (or encourage or induce anyone else to do so), written or otherwise, directly or indirectly, that disparages, criticizes or otherwise reflects adversely on, or encourages any adverse action against, the Company or any of its predecessors, successors, subsidiaries, divisions, parents or affiliated entities, or any of its or their former or current agents, directors, officers, owners, executives, employees or customers, or its or their business, products, services, policies or practices, to the press, the media or the public generally, or to any current, former or prospective employee thereof, except if testifying truthfully under oath pursuant to any lawful court order or subpoena or otherwise responding to or providing disclosures required by law, or in connection with a government investigation.</w:t>
      </w:r>
    </w:p>
    <w:p>
      <w:pPr>
        <w:pStyle w:val="TextBody"/>
        <w:bidi w:val="0"/>
        <w:jc w:val="both"/>
        <w:rPr>
          <w:rFonts w:ascii="Times New Roman" w:hAnsi="Times New Roman"/>
          <w:sz w:val="20"/>
        </w:rPr>
      </w:pPr>
      <w:r>
        <w:rPr>
          <w:rFonts w:ascii="Arial" w:hAnsi="Arial"/>
          <w:color w:val="000000"/>
          <w:sz w:val="21"/>
        </w:rPr>
        <w:t xml:space="preserve">15. </w:t>
      </w:r>
      <w:r>
        <w:rPr>
          <w:rFonts w:ascii="Arial" w:hAnsi="Arial"/>
          <w:b/>
          <w:color w:val="000000"/>
          <w:sz w:val="21"/>
          <w:u w:val="single"/>
        </w:rPr>
        <w:t>At Will Employment</w:t>
      </w:r>
      <w:r>
        <w:rPr>
          <w:rFonts w:ascii="Arial" w:hAnsi="Arial"/>
          <w:color w:val="000000"/>
          <w:sz w:val="21"/>
        </w:rPr>
        <w:t>. I understand that this Agreement does not constitute a contract of employment or obligate the Company to employ me for any stated period of time. I</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1"/>
        </w:rPr>
        <w:t>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w:t>
      </w:r>
      <w:r>
        <w:rPr>
          <w:rFonts w:ascii="Times New Roman" w:hAnsi="Times New Roman"/>
          <w:color w:val="000000"/>
          <w:sz w:val="20"/>
        </w:rPr>
        <w:t xml:space="preserve"> </w:t>
      </w:r>
    </w:p>
    <w:p>
      <w:pPr>
        <w:pStyle w:val="TextBody"/>
        <w:pBdr>
          <w:bottom w:val="dotted" w:sz="2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1"/>
        </w:rPr>
        <w:t>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w:t>
      </w:r>
      <w:r>
        <w:rPr>
          <w:rFonts w:ascii="Times New Roman" w:hAnsi="Times New Roman"/>
          <w:color w:val="000000"/>
          <w:sz w:val="20"/>
        </w:rPr>
        <w:t xml:space="preserve">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1"/>
        </w:rPr>
        <w:t>Name: Mauricio Monico</w:t>
      </w:r>
      <w:r>
        <w:rPr>
          <w:rFonts w:ascii="Times New Roman" w:hAnsi="Times New Roman"/>
          <w:color w:val="000000"/>
          <w:sz w:val="20"/>
        </w:rPr>
        <w:t xml:space="preserve"> </w:t>
      </w:r>
    </w:p>
    <w:p>
      <w:pPr>
        <w:pStyle w:val="TextBody"/>
        <w:bidi w:val="0"/>
        <w:jc w:val="right"/>
        <w:rPr/>
      </w:pPr>
      <w:r>
        <w:rPr/>
        <w:t> </w:t>
      </w:r>
    </w:p>
    <w:p>
      <w:pPr>
        <w:pStyle w:val="TextBody"/>
        <w:bidi w:val="0"/>
        <w:spacing w:before="0" w:after="480"/>
        <w:jc w:val="center"/>
        <w:rPr>
          <w:rFonts w:ascii="Times New Roman" w:hAnsi="Times New Roman"/>
          <w:sz w:val="20"/>
        </w:rPr>
      </w:pPr>
      <w:r>
        <w:rPr>
          <w:rFonts w:ascii="Arial" w:hAnsi="Arial"/>
          <w:color w:val="000000"/>
          <w:sz w:val="21"/>
        </w:rPr>
        <w:t>Signature:</w:t>
      </w:r>
      <w:r>
        <w:rPr>
          <w:rFonts w:ascii="Times New Roman" w:hAnsi="Times New Roman"/>
          <w:color w:val="000000"/>
          <w:sz w:val="20"/>
        </w:rPr>
        <w:t xml:space="preserve"> </w:t>
      </w:r>
    </w:p>
    <w:p>
      <w:pPr>
        <w:pStyle w:val="TextBody"/>
        <w:bidi w:val="0"/>
        <w:spacing w:before="0" w:after="480"/>
        <w:jc w:val="left"/>
        <w:rPr>
          <w:rFonts w:ascii="Arial" w:hAnsi="Arial"/>
          <w:color w:val="000000"/>
          <w:sz w:val="21"/>
        </w:rPr>
      </w:pPr>
      <w:r>
        <w:rPr>
          <w:rFonts w:ascii="Arial" w:hAnsi="Arial"/>
          <w:color w:val="000000"/>
          <w:sz w:val="21"/>
        </w:rPr>
        <w:t>Accepted and Agreed to:</w:t>
      </w:r>
    </w:p>
    <w:p>
      <w:pPr>
        <w:pStyle w:val="TextBody"/>
        <w:bidi w:val="0"/>
        <w:spacing w:before="0" w:after="480"/>
        <w:jc w:val="left"/>
        <w:rPr>
          <w:rFonts w:ascii="Arial" w:hAnsi="Arial"/>
          <w:b/>
          <w:smallCaps/>
          <w:color w:val="000000"/>
          <w:sz w:val="21"/>
        </w:rPr>
      </w:pPr>
      <w:r>
        <w:rPr>
          <w:rFonts w:ascii="Arial" w:hAnsi="Arial"/>
          <w:b/>
          <w:smallCaps/>
          <w:color w:val="000000"/>
          <w:sz w:val="21"/>
        </w:rPr>
        <w:t>CONTEXTLOGIC INC.</w:t>
      </w:r>
    </w:p>
    <w:p>
      <w:pPr>
        <w:pStyle w:val="TextBody"/>
        <w:bidi w:val="0"/>
        <w:jc w:val="left"/>
        <w:rPr/>
      </w:pPr>
      <w:r>
        <w:rPr/>
        <w:drawing>
          <wp:inline distT="0" distB="0" distL="0" distR="0">
            <wp:extent cx="1790700" cy="733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7"/>
                    <a:stretch>
                      <a:fillRect/>
                    </a:stretch>
                  </pic:blipFill>
                  <pic:spPr bwMode="auto">
                    <a:xfrm>
                      <a:off x="0" y="0"/>
                      <a:ext cx="1790700" cy="7334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Joe Yan</w:t>
      </w:r>
    </w:p>
    <w:p>
      <w:pPr>
        <w:pStyle w:val="TextBody"/>
        <w:bidi w:val="0"/>
        <w:jc w:val="left"/>
        <w:rPr>
          <w:rFonts w:ascii="Arial" w:hAnsi="Arial"/>
          <w:color w:val="000000"/>
          <w:sz w:val="21"/>
        </w:rPr>
      </w:pPr>
      <w:r>
        <w:rPr>
          <w:rFonts w:ascii="Arial" w:hAnsi="Arial"/>
          <w:color w:val="000000"/>
          <w:sz w:val="21"/>
        </w:rPr>
        <w:t>CEO</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1"/>
        </w:rPr>
      </w:pPr>
      <w:r>
        <w:rPr>
          <w:rFonts w:ascii="Arial" w:hAnsi="Arial"/>
          <w:b/>
          <w:color w:val="000000"/>
          <w:sz w:val="21"/>
        </w:rPr>
        <w:t>APPENDIX A TO</w:t>
      </w:r>
    </w:p>
    <w:p>
      <w:pPr>
        <w:pStyle w:val="TextBody"/>
        <w:bidi w:val="0"/>
        <w:spacing w:before="0" w:after="600"/>
        <w:jc w:val="center"/>
        <w:rPr>
          <w:rFonts w:ascii="Arial" w:hAnsi="Arial"/>
          <w:b/>
          <w:color w:val="000000"/>
          <w:sz w:val="21"/>
          <w:u w:val="single"/>
        </w:rPr>
      </w:pPr>
      <w:r>
        <w:rPr>
          <w:rFonts w:ascii="Arial" w:hAnsi="Arial"/>
          <w:b/>
          <w:color w:val="000000"/>
          <w:sz w:val="21"/>
          <w:u w:val="single"/>
        </w:rPr>
        <w:t>CONFIDENTIAL INFORMATION AND INVENTION ASSIGNMENT AGREEMENT</w:t>
      </w:r>
    </w:p>
    <w:p>
      <w:pPr>
        <w:pStyle w:val="TextBody"/>
        <w:bidi w:val="0"/>
        <w:spacing w:before="0" w:after="240"/>
        <w:jc w:val="both"/>
        <w:rPr>
          <w:rFonts w:ascii="Times New Roman" w:hAnsi="Times New Roman"/>
          <w:sz w:val="20"/>
        </w:rPr>
      </w:pPr>
      <w:r>
        <w:rPr>
          <w:rFonts w:ascii="Arial" w:hAnsi="Arial"/>
          <w:color w:val="000000"/>
          <w:sz w:val="21"/>
        </w:rPr>
        <w:t xml:space="preserve">California Labor Code Section 2870. </w:t>
      </w:r>
      <w:r>
        <w:rPr>
          <w:rFonts w:ascii="Arial" w:hAnsi="Arial"/>
          <w:b/>
          <w:color w:val="000000"/>
          <w:sz w:val="21"/>
        </w:rPr>
        <w:t>Application of provision providing that employee shall assign or offer to assign rights in invention to employer.</w:t>
      </w:r>
    </w:p>
    <w:p>
      <w:pPr>
        <w:pStyle w:val="TextBody"/>
        <w:bidi w:val="0"/>
        <w:spacing w:before="0" w:after="240"/>
        <w:jc w:val="both"/>
        <w:rPr>
          <w:rFonts w:ascii="Arial" w:hAnsi="Arial"/>
          <w:color w:val="000000"/>
          <w:sz w:val="21"/>
        </w:rPr>
      </w:pPr>
      <w:r>
        <w:rPr>
          <w:rFonts w:ascii="Arial" w:hAnsi="Arial"/>
          <w:color w:val="000000"/>
          <w:sz w:val="21"/>
        </w:rPr>
        <w:t>I have been notified and understand that the provisions of the Confidential Information and Invention Assignment Agreement do not apply to any Assigned Invention that qualifies fully under the provisions of Section 2870 of the California Labor code (or any comparable law of any other State), which states as follows:</w:t>
      </w:r>
    </w:p>
    <w:p>
      <w:pPr>
        <w:pStyle w:val="TextBody"/>
        <w:bidi w:val="0"/>
        <w:spacing w:before="0" w:after="240"/>
        <w:jc w:val="both"/>
        <w:rPr>
          <w:rFonts w:ascii="Arial" w:hAnsi="Arial"/>
          <w:color w:val="000000"/>
          <w:sz w:val="21"/>
        </w:rPr>
      </w:pPr>
      <w:r>
        <w:rPr>
          <w:rFonts w:ascii="Arial" w:hAnsi="Arial"/>
          <w:color w:val="000000"/>
          <w:sz w:val="21"/>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240"/>
        <w:jc w:val="both"/>
        <w:rPr>
          <w:rFonts w:ascii="Arial" w:hAnsi="Arial"/>
          <w:color w:val="000000"/>
          <w:sz w:val="21"/>
        </w:rPr>
      </w:pPr>
      <w:r>
        <w:rPr>
          <w:rFonts w:ascii="Arial" w:hAnsi="Arial"/>
          <w:color w:val="000000"/>
          <w:sz w:val="21"/>
        </w:rPr>
        <w:t>(1) Relate at the time of conception or reduction to practice of the invention to the employer’s business, or actual or demonstrably anticipated research or development of the employer; or</w:t>
      </w:r>
    </w:p>
    <w:p>
      <w:pPr>
        <w:pStyle w:val="TextBody"/>
        <w:bidi w:val="0"/>
        <w:spacing w:before="0" w:after="240"/>
        <w:jc w:val="both"/>
        <w:rPr>
          <w:rFonts w:ascii="Arial" w:hAnsi="Arial"/>
          <w:color w:val="000000"/>
          <w:sz w:val="21"/>
        </w:rPr>
      </w:pPr>
      <w:r>
        <w:rPr>
          <w:rFonts w:ascii="Arial" w:hAnsi="Arial"/>
          <w:color w:val="000000"/>
          <w:sz w:val="21"/>
        </w:rPr>
        <w:t>(2) Result from any work performed by the employee for his employer.</w:t>
      </w:r>
    </w:p>
    <w:p>
      <w:pPr>
        <w:pStyle w:val="TextBody"/>
        <w:bidi w:val="0"/>
        <w:spacing w:before="0" w:after="240"/>
        <w:jc w:val="both"/>
        <w:rPr>
          <w:rFonts w:ascii="Times New Roman" w:hAnsi="Times New Roman"/>
          <w:sz w:val="20"/>
        </w:rPr>
      </w:pPr>
      <w:r>
        <w:rPr>
          <w:rFonts w:ascii="Arial" w:hAnsi="Arial"/>
          <w:color w:val="000000"/>
          <w:sz w:val="21"/>
        </w:rPr>
        <w:t>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1"/>
        </w:rPr>
      </w:pPr>
      <w:r>
        <w:rPr>
          <w:rFonts w:ascii="Arial" w:hAnsi="Arial"/>
          <w:b/>
          <w:color w:val="000000"/>
          <w:sz w:val="21"/>
        </w:rPr>
        <w:t>APPENDIX B TO</w:t>
      </w:r>
    </w:p>
    <w:p>
      <w:pPr>
        <w:pStyle w:val="TextBody"/>
        <w:bidi w:val="0"/>
        <w:spacing w:before="0" w:after="600"/>
        <w:jc w:val="center"/>
        <w:rPr>
          <w:rFonts w:ascii="Arial" w:hAnsi="Arial"/>
          <w:b/>
          <w:color w:val="000000"/>
          <w:sz w:val="21"/>
          <w:u w:val="single"/>
        </w:rPr>
      </w:pPr>
      <w:r>
        <w:rPr>
          <w:rFonts w:ascii="Arial" w:hAnsi="Arial"/>
          <w:b/>
          <w:color w:val="000000"/>
          <w:sz w:val="21"/>
          <w:u w:val="single"/>
        </w:rPr>
        <w:t>CONFIDENTIAL INFORMATION AND INVENTION ASSIGNMENT AGREEMENT</w:t>
      </w:r>
    </w:p>
    <w:p>
      <w:pPr>
        <w:pStyle w:val="TextBody"/>
        <w:bidi w:val="0"/>
        <w:spacing w:before="0" w:after="600"/>
        <w:jc w:val="center"/>
        <w:rPr>
          <w:rFonts w:ascii="Arial" w:hAnsi="Arial"/>
          <w:b/>
          <w:color w:val="000000"/>
          <w:sz w:val="21"/>
        </w:rPr>
      </w:pPr>
      <w:r>
        <w:rPr>
          <w:rFonts w:ascii="Arial" w:hAnsi="Arial"/>
          <w:b/>
          <w:color w:val="000000"/>
          <w:sz w:val="21"/>
        </w:rPr>
        <w:t>LIST OF PRIOR INVENTIONS</w:t>
      </w:r>
    </w:p>
    <w:p>
      <w:pPr>
        <w:pStyle w:val="TextBody"/>
        <w:bidi w:val="0"/>
        <w:jc w:val="left"/>
        <w:rPr>
          <w:rFonts w:ascii="Arial" w:hAnsi="Arial"/>
          <w:color w:val="000000"/>
          <w:sz w:val="21"/>
        </w:rPr>
      </w:pPr>
      <w:r>
        <w:rPr>
          <w:rFonts w:ascii="Arial" w:hAnsi="Arial"/>
          <w:color w:val="000000"/>
          <w:sz w:val="21"/>
        </w:rPr>
        <w:t>Identifying Number</w:t>
      </w:r>
    </w:p>
    <w:p>
      <w:pPr>
        <w:pStyle w:val="TextBody"/>
        <w:bidi w:val="0"/>
        <w:jc w:val="left"/>
        <w:rPr>
          <w:rFonts w:ascii="Times New Roman" w:hAnsi="Times New Roman"/>
          <w:sz w:val="20"/>
        </w:rPr>
      </w:pPr>
      <w:r>
        <w:rPr>
          <w:rFonts w:ascii="Arial" w:hAnsi="Arial"/>
          <w:color w:val="000000"/>
          <w:sz w:val="21"/>
          <w:u w:val="single"/>
        </w:rPr>
        <w:t>Title</w:t>
      </w:r>
      <w:r>
        <w:rPr>
          <w:rFonts w:ascii="Times New Roman" w:hAnsi="Times New Roman"/>
          <w:color w:val="000000"/>
          <w:sz w:val="20"/>
        </w:rPr>
        <w:t xml:space="preserve"> </w:t>
      </w:r>
      <w:r>
        <w:rPr>
          <w:rFonts w:ascii="Arial" w:hAnsi="Arial"/>
          <w:color w:val="000000"/>
          <w:sz w:val="21"/>
          <w:u w:val="single"/>
        </w:rPr>
        <w:t>Date</w:t>
      </w:r>
      <w:r>
        <w:rPr>
          <w:rFonts w:ascii="Times New Roman" w:hAnsi="Times New Roman"/>
          <w:color w:val="000000"/>
          <w:sz w:val="20"/>
        </w:rPr>
        <w:t xml:space="preserve"> </w:t>
      </w:r>
      <w:r>
        <w:rPr>
          <w:rFonts w:ascii="Arial" w:hAnsi="Arial"/>
          <w:color w:val="000000"/>
          <w:sz w:val="21"/>
          <w:u w:val="single"/>
        </w:rPr>
        <w:t>or Brief Description</w:t>
      </w:r>
    </w:p>
    <w:p>
      <w:pPr>
        <w:pStyle w:val="TextBody"/>
        <w:bidi w:val="0"/>
        <w:spacing w:before="0" w:after="480"/>
        <w:jc w:val="left"/>
        <w:rPr>
          <w:rFonts w:ascii="Times New Roman" w:hAnsi="Times New Roman"/>
          <w:sz w:val="20"/>
        </w:rPr>
      </w:pPr>
      <w:r>
        <w:rPr>
          <w:rFonts w:ascii="Arial" w:hAnsi="Arial"/>
          <w:color w:val="000000"/>
          <w:sz w:val="21"/>
        </w:rPr>
        <w:br/>
        <w:br/>
        <w:br/>
        <w:br/>
        <w:br/>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1"/>
        </w:rPr>
        <w:br/>
        <w:br/>
        <w:br/>
        <w:br/>
      </w:r>
      <w:r>
        <w:rPr>
          <w:rFonts w:ascii="Arial" w:hAnsi="Arial"/>
          <w:b/>
          <w:i/>
          <w:color w:val="000000"/>
          <w:sz w:val="21"/>
        </w:rPr>
        <w:t>If I have any prior inventions or improvements to list, I will print and fill out this page and send it separately to hr@wish.com. The completed form will then be placed in my personnel file.</w:t>
      </w:r>
      <w:r>
        <w:rPr>
          <w:rFonts w:ascii="Times New Roman" w:hAnsi="Times New Roman"/>
          <w:color w:val="000000"/>
          <w:sz w:val="20"/>
        </w:rPr>
        <w:t xml:space="preserve"> </w:t>
      </w:r>
    </w:p>
    <w:p>
      <w:pPr>
        <w:pStyle w:val="TextBody"/>
        <w:bidi w:val="0"/>
        <w:jc w:val="left"/>
        <w:rPr/>
      </w:pPr>
      <w:r>
        <w:rPr/>
        <w:t> </w:t>
      </w:r>
    </w:p>
    <w:p>
      <w:pPr>
        <w:pStyle w:val="TextBody"/>
        <w:bidi w:val="0"/>
        <w:spacing w:before="0" w:after="480"/>
        <w:jc w:val="left"/>
        <w:rPr/>
      </w:pPr>
      <w:r>
        <w:rPr/>
        <w:t> </w:t>
      </w:r>
    </w:p>
    <w:p>
      <w:pPr>
        <w:pStyle w:val="TextBody"/>
        <w:bidi w:val="0"/>
        <w:spacing w:before="0" w:after="480"/>
        <w:jc w:val="left"/>
        <w:rPr>
          <w:rFonts w:ascii="Times New Roman" w:hAnsi="Times New Roman"/>
          <w:sz w:val="20"/>
        </w:rPr>
      </w:pPr>
      <w:r>
        <w:rPr>
          <w:rFonts w:ascii="Arial" w:hAnsi="Arial"/>
          <w:color w:val="000000"/>
          <w:sz w:val="21"/>
        </w:rPr>
        <w:t>Signature:</w:t>
        <w:br/>
      </w:r>
      <w:r>
        <w:rPr>
          <w:rFonts w:ascii="Arial" w:hAnsi="Arial"/>
          <w:color w:val="FF0000"/>
          <w:sz w:val="21"/>
        </w:rPr>
        <w:br/>
      </w:r>
      <w:r>
        <w:rPr>
          <w:rFonts w:ascii="Arial" w:hAnsi="Arial"/>
          <w:color w:val="FFFFFF"/>
          <w:sz w:val="21"/>
        </w:rPr>
        <w:br/>
      </w:r>
      <w:r>
        <w:rPr>
          <w:rFonts w:ascii="Arial" w:hAnsi="Arial"/>
          <w:b/>
          <w:color w:val="FFFFFF"/>
          <w:sz w:val="21"/>
        </w:rPr>
        <w:t>candidate_sig</w:t>
      </w:r>
      <w:r>
        <w:rPr>
          <w:rFonts w:ascii="Arial" w:hAnsi="Arial"/>
          <w:color w:val="FF0000"/>
          <w:sz w:val="21"/>
        </w:rPr>
        <w:br/>
      </w:r>
      <w:r>
        <w:rPr>
          <w:rFonts w:ascii="Times New Roman" w:hAnsi="Times New Roman"/>
          <w:color w:val="FF0000"/>
          <w:sz w:val="20"/>
        </w:rPr>
        <w:t> </w:t>
      </w:r>
    </w:p>
    <w:p>
      <w:pPr>
        <w:pStyle w:val="TextBody"/>
        <w:bidi w:val="0"/>
        <w:jc w:val="left"/>
        <w:rPr>
          <w:rFonts w:ascii="Times New Roman" w:hAnsi="Times New Roman"/>
          <w:sz w:val="20"/>
        </w:rPr>
      </w:pPr>
      <w:r>
        <w:rPr>
          <w:rFonts w:ascii="Arial" w:hAnsi="Arial"/>
          <w:color w:val="000000"/>
          <w:sz w:val="21"/>
        </w:rPr>
        <w:t>Name: Mauricio Monico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1"/>
        </w:rPr>
      </w:pPr>
      <w:r>
        <w:rPr>
          <w:rFonts w:ascii="Arial" w:hAnsi="Arial"/>
          <w:b/>
          <w:color w:val="000000"/>
          <w:sz w:val="21"/>
        </w:rPr>
        <w:t>EXHIBIT C</w:t>
      </w:r>
    </w:p>
    <w:p>
      <w:pPr>
        <w:pStyle w:val="TextBody"/>
        <w:bidi w:val="0"/>
        <w:jc w:val="center"/>
        <w:rPr>
          <w:rFonts w:ascii="Times New Roman" w:hAnsi="Times New Roman"/>
          <w:sz w:val="20"/>
        </w:rPr>
      </w:pPr>
      <w:r>
        <w:rPr>
          <w:rFonts w:ascii="Arial" w:hAnsi="Arial"/>
          <w:b/>
          <w:color w:val="000000"/>
          <w:sz w:val="21"/>
        </w:rPr>
        <w:t>LIST OF CURRENT BUSINESS SERVICES AND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 xml:space="preserve">Company: </w:t>
      </w:r>
    </w:p>
    <w:p>
      <w:pPr>
        <w:pStyle w:val="TextBody"/>
        <w:bidi w:val="0"/>
        <w:jc w:val="left"/>
        <w:rPr>
          <w:rFonts w:ascii="Arial" w:hAnsi="Arial"/>
          <w:b/>
          <w:color w:val="000000"/>
          <w:sz w:val="21"/>
        </w:rPr>
      </w:pPr>
      <w:r>
        <w:rPr>
          <w:rFonts w:ascii="Arial" w:hAnsi="Arial"/>
          <w:b/>
          <w:color w:val="000000"/>
          <w:sz w:val="21"/>
        </w:rPr>
        <w:t xml:space="preserve">Industry: </w:t>
      </w:r>
    </w:p>
    <w:p>
      <w:pPr>
        <w:pStyle w:val="TextBody"/>
        <w:bidi w:val="0"/>
        <w:jc w:val="left"/>
        <w:rPr>
          <w:rFonts w:ascii="Arial" w:hAnsi="Arial"/>
          <w:b/>
          <w:color w:val="000000"/>
          <w:sz w:val="21"/>
        </w:rPr>
      </w:pPr>
      <w:r>
        <w:rPr>
          <w:rFonts w:ascii="Arial" w:hAnsi="Arial"/>
          <w:b/>
          <w:color w:val="000000"/>
          <w:sz w:val="21"/>
        </w:rPr>
        <w:t xml:space="preserve">Description of Role: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 xml:space="preserve">Company: </w:t>
      </w:r>
    </w:p>
    <w:p>
      <w:pPr>
        <w:pStyle w:val="TextBody"/>
        <w:bidi w:val="0"/>
        <w:jc w:val="left"/>
        <w:rPr>
          <w:rFonts w:ascii="Arial" w:hAnsi="Arial"/>
          <w:b/>
          <w:color w:val="000000"/>
          <w:sz w:val="21"/>
        </w:rPr>
      </w:pPr>
      <w:r>
        <w:rPr>
          <w:rFonts w:ascii="Arial" w:hAnsi="Arial"/>
          <w:b/>
          <w:color w:val="000000"/>
          <w:sz w:val="21"/>
        </w:rPr>
        <w:t xml:space="preserve">Industry: </w:t>
      </w:r>
    </w:p>
    <w:p>
      <w:pPr>
        <w:pStyle w:val="TextBody"/>
        <w:bidi w:val="0"/>
        <w:jc w:val="left"/>
        <w:rPr>
          <w:rFonts w:ascii="Arial" w:hAnsi="Arial"/>
          <w:b/>
          <w:color w:val="000000"/>
          <w:sz w:val="21"/>
        </w:rPr>
      </w:pPr>
      <w:r>
        <w:rPr>
          <w:rFonts w:ascii="Arial" w:hAnsi="Arial"/>
          <w:b/>
          <w:color w:val="000000"/>
          <w:sz w:val="21"/>
        </w:rPr>
        <w:t xml:space="preserve">Description of Role: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 xml:space="preserve">Company: </w:t>
      </w:r>
    </w:p>
    <w:p>
      <w:pPr>
        <w:pStyle w:val="TextBody"/>
        <w:bidi w:val="0"/>
        <w:jc w:val="left"/>
        <w:rPr>
          <w:rFonts w:ascii="Arial" w:hAnsi="Arial"/>
          <w:b/>
          <w:color w:val="000000"/>
          <w:sz w:val="21"/>
        </w:rPr>
      </w:pPr>
      <w:r>
        <w:rPr>
          <w:rFonts w:ascii="Arial" w:hAnsi="Arial"/>
          <w:b/>
          <w:color w:val="000000"/>
          <w:sz w:val="21"/>
        </w:rPr>
        <w:t xml:space="preserve">Industry: </w:t>
      </w:r>
    </w:p>
    <w:p>
      <w:pPr>
        <w:pStyle w:val="TextBody"/>
        <w:bidi w:val="0"/>
        <w:jc w:val="left"/>
        <w:rPr>
          <w:rFonts w:ascii="Arial" w:hAnsi="Arial"/>
          <w:b/>
          <w:color w:val="000000"/>
          <w:sz w:val="21"/>
        </w:rPr>
      </w:pPr>
      <w:r>
        <w:rPr>
          <w:rFonts w:ascii="Arial" w:hAnsi="Arial"/>
          <w:b/>
          <w:color w:val="000000"/>
          <w:sz w:val="21"/>
        </w:rPr>
        <w:t xml:space="preserve">Description of Role: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 xml:space="preserve">Company: </w:t>
      </w:r>
    </w:p>
    <w:p>
      <w:pPr>
        <w:pStyle w:val="TextBody"/>
        <w:bidi w:val="0"/>
        <w:jc w:val="left"/>
        <w:rPr>
          <w:rFonts w:ascii="Arial" w:hAnsi="Arial"/>
          <w:b/>
          <w:color w:val="000000"/>
          <w:sz w:val="21"/>
        </w:rPr>
      </w:pPr>
      <w:r>
        <w:rPr>
          <w:rFonts w:ascii="Arial" w:hAnsi="Arial"/>
          <w:b/>
          <w:color w:val="000000"/>
          <w:sz w:val="21"/>
        </w:rPr>
        <w:t xml:space="preserve">Industry: </w:t>
      </w:r>
    </w:p>
    <w:p>
      <w:pPr>
        <w:pStyle w:val="TextBody"/>
        <w:bidi w:val="0"/>
        <w:jc w:val="left"/>
        <w:rPr>
          <w:rFonts w:ascii="Times New Roman" w:hAnsi="Times New Roman"/>
          <w:sz w:val="20"/>
        </w:rPr>
      </w:pPr>
      <w:r>
        <w:rPr>
          <w:rFonts w:ascii="Arial" w:hAnsi="Arial"/>
          <w:b/>
          <w:color w:val="000000"/>
          <w:sz w:val="21"/>
        </w:rPr>
        <w:t>Description of Role: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sz w:val="20"/>
        </w:rPr>
      </w:pPr>
      <w:r>
        <w:rPr>
          <w:rFonts w:ascii="Arial" w:hAnsi="Arial"/>
          <w:color w:val="000000"/>
          <w:sz w:val="21"/>
        </w:rPr>
        <w:t>Signature:</w:t>
        <w:br/>
      </w:r>
      <w:r>
        <w:rPr>
          <w:rFonts w:ascii="Arial" w:hAnsi="Arial"/>
          <w:color w:val="FF0000"/>
          <w:sz w:val="21"/>
        </w:rPr>
        <w:br/>
      </w:r>
      <w:r>
        <w:rPr>
          <w:rFonts w:ascii="Arial" w:hAnsi="Arial"/>
          <w:color w:val="FFFFFF"/>
          <w:sz w:val="21"/>
        </w:rPr>
        <w:br/>
      </w:r>
      <w:r>
        <w:rPr>
          <w:rFonts w:ascii="Arial" w:hAnsi="Arial"/>
          <w:color w:val="FF0000"/>
          <w:sz w:val="21"/>
        </w:rPr>
        <w:br/>
      </w:r>
      <w:r>
        <w:rPr>
          <w:rFonts w:ascii="Times New Roman" w:hAnsi="Times New Roman"/>
          <w:color w:val="FF0000"/>
          <w:sz w:val="20"/>
        </w:rPr>
        <w:t> </w:t>
      </w:r>
    </w:p>
    <w:p>
      <w:pPr>
        <w:pStyle w:val="TextBody"/>
        <w:bidi w:val="0"/>
        <w:jc w:val="left"/>
        <w:rPr>
          <w:rFonts w:ascii="Times New Roman" w:hAnsi="Times New Roman"/>
          <w:sz w:val="20"/>
        </w:rPr>
      </w:pPr>
      <w:r>
        <w:rPr>
          <w:rFonts w:ascii="Arial" w:hAnsi="Arial"/>
          <w:color w:val="000000"/>
          <w:sz w:val="21"/>
        </w:rPr>
        <w:t>Name: Mauricio Monico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4" w:name="wish-ex23_1.htm"/>
      <w:bookmarkStart w:id="45" w:name="kswishex23_1"/>
      <w:bookmarkEnd w:id="44"/>
      <w:bookmarkEnd w:id="45"/>
      <w:r>
        <w:rPr>
          <w:rFonts w:ascii="Arial" w:hAnsi="Arial"/>
          <w:b/>
          <w:color w:val="000000"/>
          <w:sz w:val="20"/>
        </w:rPr>
        <w:t>Exhibit 23.1</w:t>
      </w:r>
      <w:r>
        <w:br w:type="page"/>
      </w:r>
    </w:p>
    <w:p>
      <w:pPr>
        <w:pStyle w:val="TextBody"/>
        <w:bidi w:val="0"/>
        <w:jc w:val="center"/>
        <w:rPr/>
      </w:pPr>
      <w:r>
        <w:rPr/>
        <w:t> </w:t>
      </w:r>
    </w:p>
    <w:p>
      <w:pPr>
        <w:pStyle w:val="TextBody"/>
        <w:bidi w:val="0"/>
        <w:spacing w:before="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333-251374, 333-262433, 333-263538, 333-264625, and 333-270074) of ContextLogic Inc. of our report dated March 4, 2024 relating to the financial statements and the effectiveness of internal control over financial reporting, which appears in this Form 10-K.</w:t>
      </w:r>
    </w:p>
    <w:p>
      <w:pPr>
        <w:pStyle w:val="TextBody"/>
        <w:bidi w:val="0"/>
        <w:jc w:val="left"/>
        <w:rPr>
          <w:rFonts w:ascii="Times New Roman" w:hAnsi="Times New Roman"/>
          <w:sz w:val="20"/>
        </w:rPr>
      </w:pPr>
      <w:r>
        <w:rPr>
          <w:rFonts w:ascii="Times New Roman" w:hAnsi="Times New Roman"/>
          <w:color w:val="000000"/>
          <w:sz w:val="20"/>
        </w:rPr>
        <w:t xml:space="preserve">/s/ PricewaterhouseCoopers LLP </w:t>
        <w:br/>
        <w:t>San Francisco, California</w:t>
      </w:r>
      <w:r>
        <w:rPr>
          <w:rFonts w:ascii="Times New Roman" w:hAnsi="Times New Roman"/>
          <w:color w:val="FF0000"/>
          <w:sz w:val="20"/>
        </w:rPr>
        <w:t xml:space="preserve"> </w:t>
      </w:r>
      <w:r>
        <w:rPr>
          <w:rFonts w:ascii="Times New Roman" w:hAnsi="Times New Roman"/>
          <w:b/>
          <w:color w:val="FF0000"/>
          <w:sz w:val="20"/>
        </w:rPr>
        <w:br/>
      </w:r>
      <w:r>
        <w:rPr>
          <w:rFonts w:ascii="Times New Roman" w:hAnsi="Times New Roman"/>
          <w:color w:val="000000"/>
          <w:sz w:val="20"/>
        </w:rPr>
        <w:t>March 4, 2024</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6" w:name="wish-ex31_1.htm"/>
      <w:bookmarkStart w:id="47" w:name="kswishex31_1"/>
      <w:bookmarkEnd w:id="46"/>
      <w:bookmarkEnd w:id="47"/>
      <w:r>
        <w:rPr>
          <w:rFonts w:ascii="Arial" w:hAnsi="Arial"/>
          <w:b/>
          <w:color w:val="000000"/>
          <w:sz w:val="20"/>
        </w:rPr>
        <w:t>Exhibit 31.1</w:t>
      </w:r>
      <w:r>
        <w:br w:type="page"/>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80" w:after="283"/>
        <w:jc w:val="both"/>
        <w:rPr>
          <w:rFonts w:ascii="Arial" w:hAnsi="Arial"/>
          <w:color w:val="000000"/>
          <w:sz w:val="20"/>
        </w:rPr>
      </w:pPr>
      <w:r>
        <w:rPr>
          <w:rFonts w:ascii="Arial" w:hAnsi="Arial"/>
          <w:color w:val="000000"/>
          <w:sz w:val="20"/>
        </w:rPr>
        <w:t>I, Jun Yan,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Annual Report on Form 10-K of ContextLogic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spacing w:before="120" w:after="283"/>
        <w:jc w:val="left"/>
        <w:rPr/>
      </w:pPr>
      <w:r>
        <w:rPr/>
        <w:t> </w:t>
      </w:r>
    </w:p>
    <w:tbl>
      <w:tblPr>
        <w:tblW w:w="5729" w:type="dxa"/>
        <w:jc w:val="left"/>
        <w:tblInd w:w="0" w:type="dxa"/>
        <w:tblLayout w:type="fixed"/>
        <w:tblCellMar>
          <w:top w:w="28" w:type="dxa"/>
          <w:left w:w="28" w:type="dxa"/>
          <w:bottom w:w="28" w:type="dxa"/>
          <w:right w:w="28" w:type="dxa"/>
        </w:tblCellMar>
      </w:tblPr>
      <w:tblGrid>
        <w:gridCol w:w="1891"/>
        <w:gridCol w:w="146"/>
        <w:gridCol w:w="406"/>
        <w:gridCol w:w="328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Executive Officer and Director</w:t>
            </w:r>
          </w:p>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8" w:name="wish-ex31_2.htm"/>
      <w:bookmarkStart w:id="49" w:name="kswishex31_2"/>
      <w:bookmarkEnd w:id="48"/>
      <w:bookmarkEnd w:id="49"/>
      <w:r>
        <w:rPr>
          <w:rFonts w:ascii="Arial" w:hAnsi="Arial"/>
          <w:b/>
          <w:color w:val="000000"/>
          <w:sz w:val="20"/>
        </w:rPr>
        <w:t>Exhibit 31.2</w:t>
      </w:r>
      <w:r>
        <w:br w:type="page"/>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80" w:after="283"/>
        <w:jc w:val="both"/>
        <w:rPr>
          <w:rFonts w:ascii="Arial" w:hAnsi="Arial"/>
          <w:color w:val="000000"/>
          <w:sz w:val="20"/>
        </w:rPr>
      </w:pPr>
      <w:r>
        <w:rPr>
          <w:rFonts w:ascii="Arial" w:hAnsi="Arial"/>
          <w:color w:val="000000"/>
          <w:sz w:val="20"/>
        </w:rPr>
        <w:t>I, Vivian Liu,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Annual Report on Form 10-K of ContextLogic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59" w:type="dxa"/>
        <w:jc w:val="left"/>
        <w:tblInd w:w="0" w:type="dxa"/>
        <w:tblLayout w:type="fixed"/>
        <w:tblCellMar>
          <w:top w:w="28" w:type="dxa"/>
          <w:left w:w="28" w:type="dxa"/>
          <w:bottom w:w="28" w:type="dxa"/>
          <w:right w:w="28" w:type="dxa"/>
        </w:tblCellMar>
      </w:tblPr>
      <w:tblGrid>
        <w:gridCol w:w="1891"/>
        <w:gridCol w:w="146"/>
        <w:gridCol w:w="406"/>
        <w:gridCol w:w="45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Vivian Liu</w:t>
            </w:r>
          </w:p>
        </w:tc>
      </w:tr>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51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Vivian Liu</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4516" w:type="dxa"/>
            <w:tcBorders/>
            <w:shd w:fill="FFFFFF" w:val="clear"/>
            <w:vAlign w:val="center"/>
          </w:tcPr>
          <w:p>
            <w:pPr>
              <w:pStyle w:val="TableContents"/>
              <w:bidi w:val="0"/>
              <w:jc w:val="center"/>
              <w:rPr>
                <w:rFonts w:ascii="Arial" w:hAnsi="Arial"/>
                <w:color w:val="000000"/>
                <w:sz w:val="20"/>
              </w:rPr>
            </w:pPr>
            <w:r>
              <w:rPr>
                <w:rFonts w:ascii="Arial" w:hAnsi="Arial"/>
                <w:color w:val="000000"/>
                <w:sz w:val="20"/>
              </w:rPr>
              <w:t>Chief Financial Officer and Chief Operating Officer</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wish-ex32_1.htm"/>
      <w:bookmarkStart w:id="51" w:name="kswishex32_1"/>
      <w:bookmarkEnd w:id="50"/>
      <w:bookmarkEnd w:id="51"/>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jc w:val="center"/>
        <w:rPr>
          <w:rFonts w:ascii="Times New Roman" w:hAnsi="Times New Roman"/>
          <w:sz w:val="20"/>
        </w:rPr>
      </w:pPr>
      <w:r>
        <w:rPr>
          <w:rFonts w:ascii="Arial" w:hAnsi="Arial"/>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In connection with the Annual Report of ContextLogic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 for the periods presented therein.</w:t>
      </w:r>
    </w:p>
    <w:p>
      <w:pPr>
        <w:pStyle w:val="TextBody"/>
        <w:bidi w:val="0"/>
        <w:jc w:val="both"/>
        <w:rPr/>
      </w:pPr>
      <w:r>
        <w:rPr/>
        <w:t> </w:t>
      </w:r>
    </w:p>
    <w:tbl>
      <w:tblPr>
        <w:tblW w:w="5692" w:type="dxa"/>
        <w:jc w:val="left"/>
        <w:tblInd w:w="0" w:type="dxa"/>
        <w:tblLayout w:type="fixed"/>
        <w:tblCellMar>
          <w:top w:w="28" w:type="dxa"/>
          <w:left w:w="28" w:type="dxa"/>
          <w:bottom w:w="28" w:type="dxa"/>
          <w:right w:w="28" w:type="dxa"/>
        </w:tblCellMar>
      </w:tblPr>
      <w:tblGrid>
        <w:gridCol w:w="1891"/>
        <w:gridCol w:w="109"/>
        <w:gridCol w:w="406"/>
        <w:gridCol w:w="328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 Yan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Executive Officer and Director</w:t>
            </w:r>
          </w:p>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wish-ex32_2.htm"/>
      <w:bookmarkStart w:id="53" w:name="kswishex32_2"/>
      <w:bookmarkEnd w:id="52"/>
      <w:bookmarkEnd w:id="53"/>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jc w:val="center"/>
        <w:rPr>
          <w:rFonts w:ascii="Times New Roman" w:hAnsi="Times New Roman"/>
          <w:sz w:val="20"/>
        </w:rPr>
      </w:pPr>
      <w:r>
        <w:rPr>
          <w:rFonts w:ascii="Arial" w:hAnsi="Arial"/>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In connection with the Annual Report of ContextLogic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 for the periods presented therein.</w:t>
      </w:r>
    </w:p>
    <w:p>
      <w:pPr>
        <w:pStyle w:val="TextBody"/>
        <w:bidi w:val="0"/>
        <w:jc w:val="left"/>
        <w:rPr/>
      </w:pPr>
      <w:r>
        <w:rPr/>
        <w:t> </w:t>
      </w:r>
    </w:p>
    <w:tbl>
      <w:tblPr>
        <w:tblW w:w="6959" w:type="dxa"/>
        <w:jc w:val="left"/>
        <w:tblInd w:w="0" w:type="dxa"/>
        <w:tblLayout w:type="fixed"/>
        <w:tblCellMar>
          <w:top w:w="28" w:type="dxa"/>
          <w:left w:w="28" w:type="dxa"/>
          <w:bottom w:w="28" w:type="dxa"/>
          <w:right w:w="28" w:type="dxa"/>
        </w:tblCellMar>
      </w:tblPr>
      <w:tblGrid>
        <w:gridCol w:w="1891"/>
        <w:gridCol w:w="146"/>
        <w:gridCol w:w="406"/>
        <w:gridCol w:w="45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Vivian Liu</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Vivian Liu</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Financial Officer and Chief Operating Officer</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4" w:name="wish-ex97_1.htm"/>
      <w:bookmarkStart w:id="55" w:name="kswishex97_1"/>
      <w:bookmarkEnd w:id="54"/>
      <w:bookmarkEnd w:id="55"/>
      <w:r>
        <w:rPr/>
        <w:t> </w:t>
      </w:r>
      <w:r>
        <w:br w:type="page"/>
      </w:r>
    </w:p>
    <w:p>
      <w:pPr>
        <w:pStyle w:val="TextBody"/>
        <w:bidi w:val="0"/>
        <w:jc w:val="right"/>
        <w:rPr>
          <w:rFonts w:ascii="Arial" w:hAnsi="Arial"/>
          <w:b/>
          <w:color w:val="000000"/>
          <w:sz w:val="20"/>
        </w:rPr>
      </w:pPr>
      <w:r>
        <w:rPr>
          <w:rFonts w:ascii="Arial" w:hAnsi="Arial"/>
          <w:b/>
          <w:color w:val="000000"/>
          <w:sz w:val="20"/>
        </w:rPr>
        <w:t>Exhibit 97.1</w:t>
      </w:r>
    </w:p>
    <w:p>
      <w:pPr>
        <w:pStyle w:val="TextBody"/>
        <w:bidi w:val="0"/>
        <w:spacing w:before="490" w:after="283"/>
        <w:jc w:val="center"/>
        <w:rPr/>
      </w:pPr>
      <w:r>
        <w:rPr/>
        <w:drawing>
          <wp:inline distT="0" distB="0" distL="0" distR="0">
            <wp:extent cx="1076325" cy="352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8"/>
                    <a:stretch>
                      <a:fillRect/>
                    </a:stretch>
                  </pic:blipFill>
                  <pic:spPr bwMode="auto">
                    <a:xfrm>
                      <a:off x="0" y="0"/>
                      <a:ext cx="1076325" cy="352425"/>
                    </a:xfrm>
                    <a:prstGeom prst="rect">
                      <a:avLst/>
                    </a:prstGeom>
                  </pic:spPr>
                </pic:pic>
              </a:graphicData>
            </a:graphic>
          </wp:inline>
        </w:drawing>
      </w:r>
      <w:r>
        <w:rPr/>
        <w:t> </w:t>
      </w:r>
    </w:p>
    <w:p>
      <w:pPr>
        <w:pStyle w:val="TextBody"/>
        <w:bidi w:val="0"/>
        <w:spacing w:before="490" w:after="283"/>
        <w:jc w:val="center"/>
        <w:rPr>
          <w:rFonts w:ascii="Times New Roman" w:hAnsi="Times New Roman"/>
          <w:sz w:val="20"/>
        </w:rPr>
      </w:pPr>
      <w:r>
        <w:rPr>
          <w:rFonts w:ascii="Times New Roman" w:hAnsi="Times New Roman"/>
          <w:b/>
          <w:color w:val="000000"/>
          <w:sz w:val="24"/>
        </w:rPr>
        <w:t>CONTEXTLOGIC INC.</w:t>
      </w:r>
      <w:r>
        <w:rPr>
          <w:rFonts w:ascii="Times New Roman" w:hAnsi="Times New Roman"/>
          <w:color w:val="000000"/>
          <w:sz w:val="20"/>
        </w:rPr>
        <w:t xml:space="preserve"> </w:t>
      </w:r>
      <w:r>
        <w:rPr>
          <w:rFonts w:ascii="Times New Roman" w:hAnsi="Times New Roman"/>
          <w:b/>
          <w:color w:val="000000"/>
          <w:sz w:val="24"/>
        </w:rPr>
        <w:t>POLICY FOR THE</w:t>
      </w:r>
    </w:p>
    <w:p>
      <w:pPr>
        <w:pStyle w:val="TextBody"/>
        <w:bidi w:val="0"/>
        <w:jc w:val="center"/>
        <w:rPr>
          <w:rFonts w:ascii="Times New Roman" w:hAnsi="Times New Roman"/>
          <w:b/>
          <w:color w:val="000000"/>
          <w:sz w:val="24"/>
        </w:rPr>
      </w:pPr>
      <w:r>
        <w:rPr>
          <w:rFonts w:ascii="Times New Roman" w:hAnsi="Times New Roman"/>
          <w:b/>
          <w:color w:val="000000"/>
          <w:sz w:val="24"/>
        </w:rPr>
        <w:t>RECOVERY OF ERRONEOUSLY AWARDED COMPENSATION</w:t>
      </w:r>
    </w:p>
    <w:p>
      <w:pPr>
        <w:pStyle w:val="TextBody"/>
        <w:bidi w:val="0"/>
        <w:jc w:val="center"/>
        <w:rPr/>
      </w:pPr>
      <w:r>
        <w:rPr/>
        <w:t> </w:t>
      </w:r>
    </w:p>
    <w:p>
      <w:pPr>
        <w:pStyle w:val="TextBody"/>
        <w:bidi w:val="0"/>
        <w:spacing w:before="237"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Purpose</w:t>
      </w:r>
      <w:r>
        <w:rPr>
          <w:rFonts w:ascii="Times New Roman" w:hAnsi="Times New Roman"/>
          <w:color w:val="000000"/>
          <w:sz w:val="22"/>
        </w:rPr>
        <w:t xml:space="preserve">. The purpose of this Policy for the Recovery of Erroneously Awarded Compensation (the “Policy”) is to describe the circumstances under which Executive Officers of ContextLogic Inc. dba Wish (“Wish” or the “Company”) will be required to repay or return Erroneously Awarded Compensation (as defined below)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pursuant to which such Executive Officer will agree to be bound by the terms of and comply with this Policy.</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2. </w:t>
      </w:r>
      <w:r>
        <w:rPr>
          <w:rFonts w:ascii="Times New Roman" w:hAnsi="Times New Roman"/>
          <w:b/>
          <w:color w:val="000000"/>
          <w:sz w:val="22"/>
        </w:rPr>
        <w:t>Administration</w:t>
      </w:r>
      <w:r>
        <w:rPr>
          <w:rFonts w:ascii="Times New Roman" w:hAnsi="Times New Roman"/>
          <w:color w:val="000000"/>
          <w:sz w:val="22"/>
        </w:rPr>
        <w:t>. This Policy shall be administered by the Compensation Committee of the Company’s Board of Directors (the “Committee”). The Committee is authorized to interpret and construe this Policy and to make 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the Policy.</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Definitions</w:t>
      </w:r>
      <w:r>
        <w:rPr>
          <w:rFonts w:ascii="Times New Roman" w:hAnsi="Times New Roman"/>
          <w:color w:val="000000"/>
          <w:sz w:val="22"/>
        </w:rPr>
        <w:t>. As used in this Policy, the following capitalized terms shall have the meanings set forth below.</w:t>
      </w:r>
    </w:p>
    <w:p>
      <w:pPr>
        <w:pStyle w:val="TextBody"/>
        <w:bidi w:val="0"/>
        <w:spacing w:before="239" w:after="283"/>
        <w:jc w:val="both"/>
        <w:rPr>
          <w:rFonts w:ascii="Times New Roman" w:hAnsi="Times New Roman"/>
          <w:sz w:val="20"/>
        </w:rPr>
      </w:pPr>
      <w:r>
        <w:rPr>
          <w:rFonts w:ascii="Times New Roman" w:hAnsi="Times New Roman"/>
          <w:color w:val="000000"/>
          <w:sz w:val="22"/>
        </w:rPr>
        <w:t>(a) “</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pStyle w:val="TextBody"/>
        <w:bidi w:val="0"/>
        <w:spacing w:before="239" w:after="283"/>
        <w:jc w:val="both"/>
        <w:rPr>
          <w:rFonts w:ascii="Times New Roman" w:hAnsi="Times New Roman"/>
          <w:sz w:val="20"/>
        </w:rPr>
      </w:pPr>
      <w:r>
        <w:rPr>
          <w:rFonts w:ascii="Times New Roman" w:hAnsi="Times New Roman"/>
          <w:color w:val="000000"/>
          <w:sz w:val="22"/>
        </w:rPr>
        <w:t>(b) “</w:t>
      </w:r>
      <w:r>
        <w:rPr>
          <w:rFonts w:ascii="Times New Roman" w:hAnsi="Times New Roman"/>
          <w:b/>
          <w:i/>
          <w:color w:val="000000"/>
          <w:sz w:val="22"/>
        </w:rPr>
        <w:t>Board</w:t>
      </w:r>
      <w:r>
        <w:rPr>
          <w:rFonts w:ascii="Times New Roman" w:hAnsi="Times New Roman"/>
          <w:color w:val="000000"/>
          <w:sz w:val="20"/>
        </w:rPr>
        <w:t xml:space="preserve">” </w:t>
      </w:r>
      <w:r>
        <w:rPr>
          <w:rFonts w:ascii="Times New Roman" w:hAnsi="Times New Roman"/>
          <w:color w:val="000000"/>
          <w:sz w:val="22"/>
        </w:rPr>
        <w:t>shall mean the Board of Directors of the Company.</w:t>
      </w:r>
    </w:p>
    <w:p>
      <w:pPr>
        <w:pStyle w:val="TextBody"/>
        <w:bidi w:val="0"/>
        <w:spacing w:before="239" w:after="283"/>
        <w:jc w:val="both"/>
        <w:rPr>
          <w:rFonts w:ascii="Times New Roman" w:hAnsi="Times New Roman"/>
          <w:sz w:val="20"/>
        </w:rPr>
      </w:pPr>
      <w:r>
        <w:rPr>
          <w:rFonts w:ascii="Times New Roman" w:hAnsi="Times New Roman"/>
          <w:color w:val="000000"/>
          <w:sz w:val="22"/>
        </w:rPr>
        <w:t>(c) “</w:t>
      </w:r>
      <w:r>
        <w:rPr>
          <w:rFonts w:ascii="Times New Roman" w:hAnsi="Times New Roman"/>
          <w:b/>
          <w:i/>
          <w:color w:val="000000"/>
          <w:sz w:val="22"/>
        </w:rPr>
        <w:t>Clawback Eligible Incentive Compensation</w:t>
      </w:r>
      <w:r>
        <w:rPr>
          <w:rFonts w:ascii="Times New Roman" w:hAnsi="Times New Roman"/>
          <w:color w:val="000000"/>
          <w:sz w:val="20"/>
        </w:rPr>
        <w:t xml:space="preserve">” </w:t>
      </w:r>
      <w:r>
        <w:rPr>
          <w:rFonts w:ascii="Times New Roman" w:hAnsi="Times New Roman"/>
          <w:color w:val="000000"/>
          <w:sz w:val="22"/>
        </w:rPr>
        <w:t>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Company Group), all Incentive-Based Compensation Received by such Executive Officer (i) on or after the Effective Date (even if such Incentive-Based Compensation was approved, awarded, granted or paid prior to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before="239" w:after="283"/>
        <w:jc w:val="both"/>
        <w:rPr>
          <w:rFonts w:ascii="Times New Roman" w:hAnsi="Times New Roman"/>
          <w:sz w:val="20"/>
        </w:rPr>
      </w:pPr>
      <w:r>
        <w:rPr>
          <w:rFonts w:ascii="Times New Roman" w:hAnsi="Times New Roman"/>
          <w:color w:val="000000"/>
          <w:sz w:val="22"/>
        </w:rPr>
        <w:t>(d) “</w:t>
      </w:r>
      <w:r>
        <w:rPr>
          <w:rFonts w:ascii="Times New Roman" w:hAnsi="Times New Roman"/>
          <w:b/>
          <w:i/>
          <w:color w:val="000000"/>
          <w:sz w:val="22"/>
        </w:rPr>
        <w:t>Clawback Period</w:t>
      </w:r>
      <w:r>
        <w:rPr>
          <w:rFonts w:ascii="Times New Roman" w:hAnsi="Times New Roman"/>
          <w:color w:val="000000"/>
          <w:sz w:val="20"/>
        </w:rPr>
        <w:t xml:space="preserve">” </w:t>
      </w:r>
      <w:r>
        <w:rPr>
          <w:rFonts w:ascii="Times New Roman" w:hAnsi="Times New Roman"/>
          <w:color w:val="000000"/>
          <w:sz w:val="22"/>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225" w:after="283"/>
        <w:jc w:val="both"/>
        <w:rPr>
          <w:rFonts w:ascii="Times New Roman" w:hAnsi="Times New Roman"/>
          <w:sz w:val="20"/>
        </w:rPr>
      </w:pPr>
      <w:r>
        <w:rPr>
          <w:rFonts w:ascii="Times New Roman" w:hAnsi="Times New Roman"/>
          <w:color w:val="000000"/>
          <w:sz w:val="22"/>
        </w:rPr>
        <w:t>(e) “</w:t>
      </w:r>
      <w:r>
        <w:rPr>
          <w:rFonts w:ascii="Times New Roman" w:hAnsi="Times New Roman"/>
          <w:b/>
          <w:i/>
          <w:color w:val="000000"/>
          <w:sz w:val="22"/>
        </w:rPr>
        <w:t>Committee</w:t>
      </w:r>
      <w:r>
        <w:rPr>
          <w:rFonts w:ascii="Times New Roman" w:hAnsi="Times New Roman"/>
          <w:color w:val="000000"/>
          <w:sz w:val="20"/>
        </w:rPr>
        <w:t xml:space="preserve">” </w:t>
      </w:r>
      <w:r>
        <w:rPr>
          <w:rFonts w:ascii="Times New Roman" w:hAnsi="Times New Roman"/>
          <w:color w:val="000000"/>
          <w:sz w:val="22"/>
        </w:rPr>
        <w:t>shall mean the Compensation Committee of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 “</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shall mean ContextLogic Inc., a Delaware corporation.</w:t>
      </w:r>
    </w:p>
    <w:p>
      <w:pPr>
        <w:pStyle w:val="TextBody"/>
        <w:bidi w:val="0"/>
        <w:spacing w:before="239" w:after="283"/>
        <w:jc w:val="both"/>
        <w:rPr>
          <w:rFonts w:ascii="Times New Roman" w:hAnsi="Times New Roman"/>
          <w:sz w:val="20"/>
        </w:rPr>
      </w:pPr>
      <w:r>
        <w:rPr>
          <w:rFonts w:ascii="Times New Roman" w:hAnsi="Times New Roman"/>
          <w:color w:val="000000"/>
          <w:sz w:val="22"/>
        </w:rPr>
        <w:t>(g) “</w:t>
      </w:r>
      <w:r>
        <w:rPr>
          <w:rFonts w:ascii="Times New Roman" w:hAnsi="Times New Roman"/>
          <w:b/>
          <w:i/>
          <w:color w:val="000000"/>
          <w:sz w:val="22"/>
        </w:rPr>
        <w:t>Company Group</w:t>
      </w:r>
      <w:r>
        <w:rPr>
          <w:rFonts w:ascii="Times New Roman" w:hAnsi="Times New Roman"/>
          <w:color w:val="000000"/>
          <w:sz w:val="20"/>
        </w:rPr>
        <w:t xml:space="preserve">” </w:t>
      </w:r>
      <w:r>
        <w:rPr>
          <w:rFonts w:ascii="Times New Roman" w:hAnsi="Times New Roman"/>
          <w:color w:val="000000"/>
          <w:sz w:val="22"/>
        </w:rPr>
        <w:t>shall mean the Company and its subsidiaries and affiliated entities worldwide.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(h) “</w:t>
      </w:r>
      <w:r>
        <w:rPr>
          <w:rFonts w:ascii="Times New Roman" w:hAnsi="Times New Roman"/>
          <w:b/>
          <w:i/>
          <w:color w:val="000000"/>
          <w:sz w:val="22"/>
        </w:rPr>
        <w:t>Effective Date</w:t>
      </w:r>
      <w:r>
        <w:rPr>
          <w:rFonts w:ascii="Times New Roman" w:hAnsi="Times New Roman"/>
          <w:color w:val="000000"/>
          <w:sz w:val="20"/>
        </w:rPr>
        <w:t xml:space="preserve">” </w:t>
      </w:r>
      <w:r>
        <w:rPr>
          <w:rFonts w:ascii="Times New Roman" w:hAnsi="Times New Roman"/>
          <w:color w:val="000000"/>
          <w:sz w:val="22"/>
        </w:rPr>
        <w:t>shall mean the effective date of this Policy (and the effective date of the Nasdaq Listing Standards), which date is October 2, 2023.</w:t>
      </w:r>
    </w:p>
    <w:p>
      <w:pPr>
        <w:pStyle w:val="TextBody"/>
        <w:bidi w:val="0"/>
        <w:spacing w:before="240" w:after="283"/>
        <w:jc w:val="both"/>
        <w:rPr>
          <w:rFonts w:ascii="Times New Roman" w:hAnsi="Times New Roman"/>
          <w:sz w:val="20"/>
        </w:rPr>
      </w:pPr>
      <w:r>
        <w:rPr>
          <w:rFonts w:ascii="Times New Roman" w:hAnsi="Times New Roman"/>
          <w:color w:val="000000"/>
          <w:sz w:val="22"/>
        </w:rPr>
        <w:t>(i) “</w:t>
      </w:r>
      <w:r>
        <w:rPr>
          <w:rFonts w:ascii="Times New Roman" w:hAnsi="Times New Roman"/>
          <w:b/>
          <w:i/>
          <w:color w:val="000000"/>
          <w:sz w:val="22"/>
        </w:rPr>
        <w:t>Erroneously Awarded Compensation</w:t>
      </w:r>
      <w:r>
        <w:rPr>
          <w:rFonts w:ascii="Times New Roman" w:hAnsi="Times New Roman"/>
          <w:color w:val="000000"/>
          <w:sz w:val="20"/>
        </w:rPr>
        <w:t xml:space="preserve">” </w:t>
      </w:r>
      <w:r>
        <w:rPr>
          <w:rFonts w:ascii="Times New Roman" w:hAnsi="Times New Roman"/>
          <w:color w:val="000000"/>
          <w:sz w:val="22"/>
        </w:rPr>
        <w:t>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pStyle w:val="TextBody"/>
        <w:bidi w:val="0"/>
        <w:spacing w:before="239" w:after="283"/>
        <w:jc w:val="both"/>
        <w:rPr>
          <w:rFonts w:ascii="Times New Roman" w:hAnsi="Times New Roman"/>
          <w:sz w:val="20"/>
        </w:rPr>
      </w:pPr>
      <w:r>
        <w:rPr>
          <w:rFonts w:ascii="Times New Roman" w:hAnsi="Times New Roman"/>
          <w:color w:val="000000"/>
          <w:sz w:val="22"/>
        </w:rPr>
        <w:t>(j) “</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shall mean each individual who is or was designated as an “officer” of the Company in accordance with 17 C.F.R. 240.16a-1(f). Identification of an executive officer for purposes of this Policy includes,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pStyle w:val="TextBody"/>
        <w:bidi w:val="0"/>
        <w:spacing w:before="239" w:after="283"/>
        <w:jc w:val="both"/>
        <w:rPr>
          <w:rFonts w:ascii="Times New Roman" w:hAnsi="Times New Roman"/>
          <w:sz w:val="20"/>
        </w:rPr>
      </w:pPr>
      <w:r>
        <w:rPr>
          <w:rFonts w:ascii="Times New Roman" w:hAnsi="Times New Roman"/>
          <w:color w:val="000000"/>
          <w:sz w:val="22"/>
        </w:rPr>
        <w:t>(k) “</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sz w:val="20"/>
        </w:rPr>
      </w:pPr>
      <w:r>
        <w:rPr>
          <w:rFonts w:ascii="Times New Roman" w:hAnsi="Times New Roman"/>
          <w:color w:val="000000"/>
          <w:sz w:val="22"/>
        </w:rPr>
        <w:t>(l) “</w:t>
      </w:r>
      <w:r>
        <w:rPr>
          <w:rFonts w:ascii="Times New Roman" w:hAnsi="Times New Roman"/>
          <w:b/>
          <w:i/>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 subjective, strategic or operational metrics or measures; and (iv) equity awards that vest solely upon continued service or the passage of time.</w:t>
      </w:r>
    </w:p>
    <w:p>
      <w:pPr>
        <w:pStyle w:val="TextBody"/>
        <w:bidi w:val="0"/>
        <w:spacing w:before="239" w:after="283"/>
        <w:jc w:val="both"/>
        <w:rPr>
          <w:rFonts w:ascii="Times New Roman" w:hAnsi="Times New Roman"/>
          <w:sz w:val="20"/>
        </w:rPr>
      </w:pPr>
      <w:r>
        <w:rPr>
          <w:rFonts w:ascii="Times New Roman" w:hAnsi="Times New Roman"/>
          <w:color w:val="000000"/>
          <w:sz w:val="22"/>
        </w:rPr>
        <w:t>(m) “</w:t>
      </w:r>
      <w:r>
        <w:rPr>
          <w:rFonts w:ascii="Times New Roman" w:hAnsi="Times New Roman"/>
          <w:b/>
          <w:i/>
          <w:color w:val="000000"/>
          <w:sz w:val="22"/>
        </w:rPr>
        <w:t>Listing Standards</w:t>
      </w:r>
      <w:r>
        <w:rPr>
          <w:rFonts w:ascii="Times New Roman" w:hAnsi="Times New Roman"/>
          <w:color w:val="000000"/>
          <w:sz w:val="20"/>
        </w:rPr>
        <w:t xml:space="preserve">” </w:t>
      </w:r>
      <w:r>
        <w:rPr>
          <w:rFonts w:ascii="Times New Roman" w:hAnsi="Times New Roman"/>
          <w:color w:val="000000"/>
          <w:sz w:val="22"/>
        </w:rPr>
        <w:t>shall mean Nasdaq Listing Rule 5608.</w:t>
      </w:r>
    </w:p>
    <w:p>
      <w:pPr>
        <w:pStyle w:val="TextBody"/>
        <w:bidi w:val="0"/>
        <w:spacing w:before="239" w:after="283"/>
        <w:jc w:val="both"/>
        <w:rPr>
          <w:rFonts w:ascii="Times New Roman" w:hAnsi="Times New Roman"/>
          <w:sz w:val="20"/>
        </w:rPr>
      </w:pPr>
      <w:r>
        <w:rPr>
          <w:rFonts w:ascii="Times New Roman" w:hAnsi="Times New Roman"/>
          <w:color w:val="000000"/>
          <w:sz w:val="22"/>
        </w:rPr>
        <w:t>(n) “</w:t>
      </w:r>
      <w:r>
        <w:rPr>
          <w:rFonts w:ascii="Times New Roman" w:hAnsi="Times New Roman"/>
          <w:b/>
          <w:i/>
          <w:color w:val="000000"/>
          <w:sz w:val="22"/>
        </w:rPr>
        <w:t>Nasdaq</w:t>
      </w:r>
      <w:r>
        <w:rPr>
          <w:rFonts w:ascii="Times New Roman" w:hAnsi="Times New Roman"/>
          <w:color w:val="000000"/>
          <w:sz w:val="20"/>
        </w:rPr>
        <w:t xml:space="preserve">” </w:t>
      </w:r>
      <w:r>
        <w:rPr>
          <w:rFonts w:ascii="Times New Roman" w:hAnsi="Times New Roman"/>
          <w:color w:val="000000"/>
          <w:sz w:val="22"/>
        </w:rPr>
        <w:t>shall mean The Nasdaq Stock Market.</w:t>
      </w:r>
    </w:p>
    <w:p>
      <w:pPr>
        <w:pStyle w:val="TextBody"/>
        <w:bidi w:val="0"/>
        <w:spacing w:before="239" w:after="283"/>
        <w:jc w:val="both"/>
        <w:rPr>
          <w:rFonts w:ascii="Times New Roman" w:hAnsi="Times New Roman"/>
          <w:sz w:val="20"/>
        </w:rPr>
      </w:pPr>
      <w:r>
        <w:rPr>
          <w:rFonts w:ascii="Times New Roman" w:hAnsi="Times New Roman"/>
          <w:color w:val="000000"/>
          <w:sz w:val="22"/>
        </w:rPr>
        <w:t>(o) “</w:t>
      </w:r>
      <w:r>
        <w:rPr>
          <w:rFonts w:ascii="Times New Roman" w:hAnsi="Times New Roman"/>
          <w:b/>
          <w:i/>
          <w:color w:val="000000"/>
          <w:sz w:val="22"/>
        </w:rPr>
        <w:t>Policy</w:t>
      </w:r>
      <w:r>
        <w:rPr>
          <w:rFonts w:ascii="Times New Roman" w:hAnsi="Times New Roman"/>
          <w:color w:val="000000"/>
          <w:sz w:val="20"/>
        </w:rPr>
        <w:t xml:space="preserve">” </w:t>
      </w:r>
      <w:r>
        <w:rPr>
          <w:rFonts w:ascii="Times New Roman" w:hAnsi="Times New Roman"/>
          <w:color w:val="000000"/>
          <w:sz w:val="22"/>
        </w:rPr>
        <w:t>shall mean this Policy for the Recovery of Erroneously Awarded Compensation, as the same may be amended, restated, supplemented or otherwise modified from time to time.</w:t>
      </w:r>
    </w:p>
    <w:p>
      <w:pPr>
        <w:pStyle w:val="TextBody"/>
        <w:bidi w:val="0"/>
        <w:spacing w:before="238" w:after="283"/>
        <w:jc w:val="both"/>
        <w:rPr>
          <w:rFonts w:ascii="Times New Roman" w:hAnsi="Times New Roman"/>
          <w:sz w:val="20"/>
        </w:rPr>
      </w:pPr>
      <w:r>
        <w:rPr>
          <w:rFonts w:ascii="Times New Roman" w:hAnsi="Times New Roman"/>
          <w:color w:val="000000"/>
          <w:sz w:val="22"/>
        </w:rPr>
        <w:t>(p)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pStyle w:val="TextBody"/>
        <w:bidi w:val="0"/>
        <w:spacing w:before="239" w:after="283"/>
        <w:jc w:val="both"/>
        <w:rPr>
          <w:rFonts w:ascii="Times New Roman" w:hAnsi="Times New Roman"/>
          <w:sz w:val="20"/>
        </w:rPr>
      </w:pPr>
      <w:r>
        <w:rPr>
          <w:rFonts w:ascii="Times New Roman" w:hAnsi="Times New Roman"/>
          <w:color w:val="000000"/>
          <w:sz w:val="22"/>
        </w:rPr>
        <w:t>(q) “</w:t>
      </w:r>
      <w:r>
        <w:rPr>
          <w:rFonts w:ascii="Times New Roman" w:hAnsi="Times New Roman"/>
          <w:b/>
          <w:i/>
          <w:color w:val="000000"/>
          <w:sz w:val="22"/>
        </w:rPr>
        <w:t>Restatement Date</w:t>
      </w:r>
      <w:r>
        <w:rPr>
          <w:rFonts w:ascii="Times New Roman" w:hAnsi="Times New Roman"/>
          <w:color w:val="000000"/>
          <w:sz w:val="20"/>
        </w:rPr>
        <w:t xml:space="preserve">” </w:t>
      </w:r>
      <w:r>
        <w:rPr>
          <w:rFonts w:ascii="Times New Roman" w:hAnsi="Times New Roman"/>
          <w:color w:val="000000"/>
          <w:sz w:val="22"/>
        </w:rPr>
        <w:t>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pStyle w:val="TextBody"/>
        <w:bidi w:val="0"/>
        <w:spacing w:before="239" w:after="283"/>
        <w:jc w:val="left"/>
        <w:rPr>
          <w:rFonts w:ascii="Times New Roman" w:hAnsi="Times New Roman"/>
          <w:sz w:val="20"/>
        </w:rPr>
      </w:pPr>
      <w:r>
        <w:rPr>
          <w:rFonts w:ascii="Times New Roman" w:hAnsi="Times New Roman"/>
          <w:color w:val="000000"/>
          <w:sz w:val="22"/>
        </w:rPr>
        <w:t>(r) “</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shall mean the U.S. Securities and Exchange Commission.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4. </w:t>
      </w:r>
      <w:r>
        <w:rPr>
          <w:rFonts w:ascii="Times New Roman" w:hAnsi="Times New Roman"/>
          <w:b/>
          <w:color w:val="000000"/>
          <w:sz w:val="22"/>
        </w:rPr>
        <w:t>Required Recovery of Erroneously Awarded Compensation</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 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pStyle w:val="TextBody"/>
        <w:bidi w:val="0"/>
        <w:spacing w:before="239" w:after="283"/>
        <w:jc w:val="both"/>
        <w:rPr>
          <w:rFonts w:ascii="Times New Roman" w:hAnsi="Times New Roman"/>
          <w:sz w:val="20"/>
        </w:rPr>
      </w:pPr>
      <w:r>
        <w:rPr>
          <w:rFonts w:ascii="Times New Roman" w:hAnsi="Times New Roman"/>
          <w:color w:val="000000"/>
          <w:sz w:val="22"/>
        </w:rPr>
        <w:t>(b) The Committee shall determine, in its sole discretion, the timing and method for recovering Erroneously Awarded Compensation reasonably based on all applicable facts and circumstances and taking into account the time value of money and the cost to shareholders of delaying recovery. Such methods may include, without limitation, (i) seeking reimbursement of all or part of any cash or equity-based award, (ii) canceling prior cash or equity-based awards, whether vested or unvested or paid or unpaid, (iii) canceling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may the Company Group accept an amount that is less than the amount of Erroneously Awarded Compensation in satisfaction of an Executive Officer’s obligations hereunder.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 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 Notwithstanding anything herein to the contrary, the Company shall not be required to recover Erroneously Awarded Compensation from any Executive Officer if the following conditions are met and the Committee determines that recovery would be impracticable: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(ii) 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(iii) 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5. </w:t>
      </w:r>
      <w:r>
        <w:rPr>
          <w:rFonts w:ascii="Times New Roman" w:hAnsi="Times New Roman"/>
          <w:b/>
          <w:color w:val="000000"/>
          <w:sz w:val="22"/>
        </w:rPr>
        <w:t>Reporting and Disclosure</w:t>
      </w:r>
      <w:r>
        <w:rPr>
          <w:rFonts w:ascii="Times New Roman" w:hAnsi="Times New Roman"/>
          <w:color w:val="000000"/>
          <w:sz w:val="22"/>
        </w:rPr>
        <w:t>. The Company shall file all disclosures with respect to this Policy in accordance with the requirements of applicable federal securities laws, including the disclosure required by the applicable SEC filings. The Company shall also file a copy of this Policy and any amendments thereto as an exhibit to its annual report on Form 10-K.</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6. </w:t>
      </w:r>
      <w:r>
        <w:rPr>
          <w:rFonts w:ascii="Times New Roman" w:hAnsi="Times New Roman"/>
          <w:b/>
          <w:color w:val="000000"/>
          <w:sz w:val="22"/>
        </w:rPr>
        <w:t>No Indemnification of Executive Officers</w:t>
      </w:r>
      <w:r>
        <w:rPr>
          <w:rFonts w:ascii="Times New Roman" w:hAnsi="Times New Roman"/>
          <w:color w:val="000000"/>
          <w:sz w:val="22"/>
        </w:rPr>
        <w:t>. Notwithstanding the terms of any indemnification or insurance policy or any contractual arrangement with 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7. </w:t>
      </w:r>
      <w:r>
        <w:rPr>
          <w:rFonts w:ascii="Times New Roman" w:hAnsi="Times New Roman"/>
          <w:b/>
          <w:color w:val="000000"/>
          <w:sz w:val="22"/>
        </w:rPr>
        <w:t>Committee Indemnification</w:t>
      </w:r>
      <w:r>
        <w:rPr>
          <w:rFonts w:ascii="Times New Roman" w:hAnsi="Times New Roman"/>
          <w:color w:val="000000"/>
          <w:sz w:val="22"/>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left"/>
        <w:rPr>
          <w:rFonts w:ascii="Times New Roman" w:hAnsi="Times New Roman"/>
          <w:sz w:val="20"/>
        </w:rPr>
      </w:pPr>
      <w:r>
        <w:rPr>
          <w:rFonts w:ascii="Times New Roman" w:hAnsi="Times New Roman"/>
          <w:color w:val="000000"/>
          <w:sz w:val="22"/>
        </w:rPr>
        <w:t xml:space="preserve">8. </w:t>
      </w:r>
      <w:r>
        <w:rPr>
          <w:rFonts w:ascii="Times New Roman" w:hAnsi="Times New Roman"/>
          <w:b/>
          <w:color w:val="000000"/>
          <w:sz w:val="22"/>
        </w:rPr>
        <w:t>Effective Date</w:t>
      </w:r>
      <w:r>
        <w:rPr>
          <w:rFonts w:ascii="Times New Roman" w:hAnsi="Times New Roman"/>
          <w:color w:val="000000"/>
          <w:sz w:val="22"/>
        </w:rPr>
        <w:t>. This Policy shall be effective as of the Effective Date.</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b/>
          <w:color w:val="000000"/>
          <w:sz w:val="22"/>
        </w:rPr>
        <w:t>Amendment</w:t>
      </w:r>
      <w:r>
        <w:rPr>
          <w:rFonts w:ascii="Times New Roman" w:hAnsi="Times New Roman"/>
          <w:color w:val="000000"/>
          <w:sz w:val="22"/>
        </w:rPr>
        <w:t xml:space="preserve">; </w:t>
      </w:r>
      <w:r>
        <w:rPr>
          <w:rFonts w:ascii="Times New Roman" w:hAnsi="Times New Roman"/>
          <w:b/>
          <w:color w:val="000000"/>
          <w:sz w:val="22"/>
        </w:rPr>
        <w:t>Termination</w:t>
      </w:r>
      <w:r>
        <w:rPr>
          <w:rFonts w:ascii="Times New Roman" w:hAnsi="Times New Roman"/>
          <w:color w:val="000000"/>
          <w:sz w:val="22"/>
        </w:rPr>
        <w:t>. The Committee may amend, modify, supplement, rescind or replace all or any portion of this Policy at any time and from time to time in its discretion and shall amend this Policy as it deems necessary, including as and when it determines that it is legally required by any applicable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b/>
          <w:color w:val="000000"/>
          <w:sz w:val="22"/>
        </w:rPr>
        <w:t>Other Recoupment Rights; Company Claims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 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b/>
          <w:color w:val="000000"/>
          <w:sz w:val="22"/>
        </w:rPr>
        <w:t>Successors</w:t>
      </w:r>
      <w:r>
        <w:rPr>
          <w:rFonts w:ascii="Times New Roman" w:hAnsi="Times New Roman"/>
          <w:color w:val="000000"/>
          <w:sz w:val="22"/>
        </w:rPr>
        <w:t>. This Policy shall be binding and enforceable against all Executive Officers and their beneficiaries, heirs, executors, administrators or other legal representatives.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Exhibit A</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CONTEXTLOGIC INC. POLICY FOR THE</w:t>
      </w:r>
    </w:p>
    <w:p>
      <w:pPr>
        <w:pStyle w:val="TextBody"/>
        <w:bidi w:val="0"/>
        <w:jc w:val="center"/>
        <w:rPr>
          <w:rFonts w:ascii="Times New Roman" w:hAnsi="Times New Roman"/>
          <w:b/>
          <w:color w:val="000000"/>
          <w:sz w:val="22"/>
        </w:rPr>
      </w:pPr>
      <w:r>
        <w:rPr>
          <w:rFonts w:ascii="Times New Roman" w:hAnsi="Times New Roman"/>
          <w:b/>
          <w:color w:val="000000"/>
          <w:sz w:val="22"/>
        </w:rPr>
        <w:t>RECOVERY OF ERRONEOUSLY AWARDED COMPENSATION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ACKNOWLEDGMENT FORM</w:t>
      </w:r>
    </w:p>
    <w:p>
      <w:pPr>
        <w:pStyle w:val="TextBody"/>
        <w:bidi w:val="0"/>
        <w:spacing w:before="238" w:after="283"/>
        <w:jc w:val="both"/>
        <w:rPr>
          <w:rFonts w:ascii="Times New Roman" w:hAnsi="Times New Roman"/>
          <w:sz w:val="20"/>
        </w:rPr>
      </w:pPr>
      <w:r>
        <w:rPr>
          <w:rFonts w:ascii="Times New Roman" w:hAnsi="Times New Roman"/>
          <w:color w:val="000000"/>
          <w:sz w:val="22"/>
        </w:rPr>
        <w:t>By signing below, the undersigned acknowledges and confirms that the undersigned has received and reviewed a copy of the Company Policy for the Recovery of Erroneously Awarded Compensation (as may be amended, restated, supplemented or otherwise modified from time to time,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Capitalized terms used but not otherwise defined in this Acknowledgment Form (this “</w:t>
      </w:r>
      <w:r>
        <w:rPr>
          <w:rFonts w:ascii="Times New Roman" w:hAnsi="Times New Roman"/>
          <w:b/>
          <w:i/>
          <w:color w:val="000000"/>
          <w:sz w:val="22"/>
        </w:rPr>
        <w:t>Acknowledgment Form</w:t>
      </w:r>
      <w:r>
        <w:rPr>
          <w:rFonts w:ascii="Times New Roman" w:hAnsi="Times New Roman"/>
          <w:color w:val="000000"/>
          <w:sz w:val="20"/>
        </w:rPr>
        <w:t>”</w:t>
      </w:r>
      <w:r>
        <w:rPr>
          <w:rFonts w:ascii="Times New Roman" w:hAnsi="Times New Roman"/>
          <w:color w:val="000000"/>
          <w:sz w:val="22"/>
        </w:rPr>
        <w:t>) shall have the meanings ascribed to such terms in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signing this Acknowledgment Form, the undersigned acknowledges and agrees that the undersigned is and will continue to be subject to the Policy and that the Policy will apply both during and after the undersigned’s employment with the Company Group (as defined in the Policy).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pStyle w:val="TextBody"/>
        <w:bidi w:val="0"/>
        <w:spacing w:before="600" w:after="283"/>
        <w:jc w:val="both"/>
        <w:rPr>
          <w:rFonts w:ascii="Times New Roman" w:hAnsi="Times New Roman"/>
          <w:color w:val="000000"/>
          <w:sz w:val="22"/>
        </w:rPr>
      </w:pPr>
      <w:r>
        <w:rPr>
          <w:rFonts w:ascii="Times New Roman" w:hAnsi="Times New Roman"/>
          <w:color w:val="000000"/>
          <w:sz w:val="22"/>
        </w:rPr>
        <w:t>________________________________ Signature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________________________________</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Print Name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________________________________</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Title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________________________________</w:t>
      </w:r>
    </w:p>
    <w:p>
      <w:pPr>
        <w:pStyle w:val="TextBody"/>
        <w:bidi w:val="0"/>
        <w:jc w:val="both"/>
        <w:rPr>
          <w:rFonts w:ascii="Times New Roman" w:hAnsi="Times New Roman"/>
          <w:color w:val="000000"/>
          <w:sz w:val="22"/>
        </w:rPr>
      </w:pPr>
      <w:r>
        <w:rPr>
          <w:rFonts w:ascii="Times New Roman" w:hAnsi="Times New Roman"/>
          <w:color w:val="000000"/>
          <w:sz w:val="22"/>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250/000121390024012273/ea193410ex2-1_contextlogic.htm" TargetMode="External"/><Relationship Id="rId3" Type="http://schemas.openxmlformats.org/officeDocument/2006/relationships/hyperlink" Target="https://www.sec.gov/Archives/edgar/data/1822250/000119312520321538/d59411dex31.htm" TargetMode="External"/><Relationship Id="rId4" Type="http://schemas.openxmlformats.org/officeDocument/2006/relationships/hyperlink" Target="https://www.sec.gov/Archives/edgar/data/1822250/000119312520321538/d59411dex32.htm" TargetMode="External"/><Relationship Id="rId5" Type="http://schemas.openxmlformats.org/officeDocument/2006/relationships/hyperlink" Target="https://www.sec.gov/Archives/edgar/data/1822250/000119312520321538/d59411dex32.htm" TargetMode="External"/><Relationship Id="rId6" Type="http://schemas.openxmlformats.org/officeDocument/2006/relationships/hyperlink" Target="https://www.sec.gov/Archives/edgar/data/1822250/000121390024012296/ea193404ex3-1_contextlogic.htm" TargetMode="External"/><Relationship Id="rId7" Type="http://schemas.openxmlformats.org/officeDocument/2006/relationships/hyperlink" Target="https://www.sec.gov/Archives/edgar/data/1822250/000119312520311160/d82777dex41.htm" TargetMode="External"/><Relationship Id="rId8" Type="http://schemas.openxmlformats.org/officeDocument/2006/relationships/hyperlink" Target="https://www.sec.gov/Archives/edgar/data/1822250/000119312520298630/d82777dex42.htm" TargetMode="External"/><Relationship Id="rId9" Type="http://schemas.openxmlformats.org/officeDocument/2006/relationships/hyperlink" Target="https://www.sec.gov/Archives/edgar/data/1822250/000121390024012296/ea193404ex4-1_contextlogic.htm" TargetMode="External"/><Relationship Id="rId10" Type="http://schemas.openxmlformats.org/officeDocument/2006/relationships/hyperlink" Target="https://www.sec.gov/Archives/edgar/data/1822250/000119312520298630/d82777dex101.htm" TargetMode="External"/><Relationship Id="rId11" Type="http://schemas.openxmlformats.org/officeDocument/2006/relationships/hyperlink" Target="https://www.sec.gov/Archives/edgar/data/1822250/000119312520318376/d37713dex991.htm" TargetMode="External"/><Relationship Id="rId12" Type="http://schemas.openxmlformats.org/officeDocument/2006/relationships/hyperlink" Target="https://www.sec.gov/Archives/edgar/data/1822250/000119312520318376/d37713dex992.htm" TargetMode="External"/><Relationship Id="rId13" Type="http://schemas.openxmlformats.org/officeDocument/2006/relationships/hyperlink" Target="https://www.sec.gov/Archives/edgar/data/1822250/000119312520318376/d37713dex993.htm" TargetMode="External"/><Relationship Id="rId14" Type="http://schemas.openxmlformats.org/officeDocument/2006/relationships/hyperlink" Target="https://www.sec.gov/Archives/edgar/data/1822250/000119312521306131/d199272dex101.htm" TargetMode="External"/><Relationship Id="rId15" Type="http://schemas.openxmlformats.org/officeDocument/2006/relationships/hyperlink" Target="https://www.sec.gov/Archives/edgar/data/1822250/000119312520298630/d82777dex1010.htm" TargetMode="External"/><Relationship Id="rId16" Type="http://schemas.openxmlformats.org/officeDocument/2006/relationships/hyperlink" Target="https://www.sec.gov/Archives/edgar/data/1822250/000119312520311160/d82777dex1011.htm" TargetMode="External"/><Relationship Id="rId17" Type="http://schemas.openxmlformats.org/officeDocument/2006/relationships/hyperlink" Target="https://www.sec.gov/Archives/edgar/data/1822250/000119312522023465/d287171dex991.htm" TargetMode="External"/><Relationship Id="rId18" Type="http://schemas.openxmlformats.org/officeDocument/2006/relationships/hyperlink" Target="https://www.sec.gov/Archives/edgar/data/1822250/000119312520298630/d82777dex211.htm" TargetMode="External"/><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85646</Words>
  <Characters>469180</Characters>
  <CharactersWithSpaces>555072</CharactersWithSpaces>
  <Paragraphs>7691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