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460" w:right="1560" w:hanging="3439"/>
        <w:spacing w:after="0" w:line="320"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3680" w:right="1560" w:hanging="3659"/>
        <w:spacing w:after="0" w:line="281" w:lineRule="auto"/>
        <w:tabs>
          <w:tab w:leader="none" w:pos="48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______</w:t>
      </w:r>
    </w:p>
    <w:p>
      <w:pPr>
        <w:spacing w:after="0" w:line="1" w:lineRule="exact"/>
        <w:rPr>
          <w:sz w:val="24"/>
          <w:szCs w:val="24"/>
          <w:color w:val="auto"/>
        </w:rPr>
      </w:pPr>
    </w:p>
    <w:tbl>
      <w:tblPr>
        <w:tblLayout w:type="fixed"/>
        <w:tblInd w:w="1480" w:type="dxa"/>
        <w:tblCellMar>
          <w:top w:w="0" w:type="dxa"/>
          <w:left w:w="0" w:type="dxa"/>
          <w:bottom w:w="0" w:type="dxa"/>
          <w:right w:w="0" w:type="dxa"/>
        </w:tblCellMar>
      </w:tblPr>
      <w:tr>
        <w:trPr>
          <w:trHeight w:val="247"/>
        </w:trPr>
        <w:tc>
          <w:tcPr>
            <w:tcW w:w="6120" w:type="dxa"/>
            <w:vAlign w:val="bottom"/>
            <w:gridSpan w:val="3"/>
          </w:tcPr>
          <w:p>
            <w:pPr>
              <w:jc w:val="center"/>
              <w:ind w:left="2085"/>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6"/>
                <w:szCs w:val="16"/>
                <w:b w:val="1"/>
                <w:bCs w:val="1"/>
                <w:color w:val="auto"/>
              </w:rPr>
              <w:t>001-39775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2"/>
        </w:trPr>
        <w:tc>
          <w:tcPr>
            <w:tcW w:w="6120" w:type="dxa"/>
            <w:vAlign w:val="bottom"/>
            <w:gridSpan w:val="3"/>
          </w:tcPr>
          <w:p>
            <w:pPr>
              <w:ind w:left="2280"/>
              <w:spacing w:after="0"/>
              <w:rPr>
                <w:sz w:val="20"/>
                <w:szCs w:val="20"/>
                <w:color w:val="auto"/>
              </w:rPr>
            </w:pPr>
            <w:r>
              <w:rPr>
                <w:rFonts w:ascii="Arial" w:cs="Arial" w:eastAsia="Arial" w:hAnsi="Arial"/>
                <w:sz w:val="43"/>
                <w:szCs w:val="43"/>
                <w:b w:val="1"/>
                <w:bCs w:val="1"/>
                <w:color w:val="auto"/>
              </w:rPr>
              <w:t>ContextLogic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560" w:type="dxa"/>
            <w:vAlign w:val="bottom"/>
            <w:gridSpan w:val="4"/>
          </w:tcPr>
          <w:p>
            <w:pPr>
              <w:jc w:val="center"/>
              <w:ind w:left="625"/>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204"/>
        </w:trPr>
        <w:tc>
          <w:tcPr>
            <w:tcW w:w="302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6120" w:type="dxa"/>
            <w:vAlign w:val="bottom"/>
            <w:gridSpan w:val="3"/>
          </w:tcPr>
          <w:p>
            <w:pPr>
              <w:jc w:val="center"/>
              <w:ind w:right="3440"/>
              <w:spacing w:after="0"/>
              <w:rPr>
                <w:sz w:val="20"/>
                <w:szCs w:val="20"/>
                <w:color w:val="auto"/>
              </w:rPr>
            </w:pPr>
            <w:r>
              <w:rPr>
                <w:rFonts w:ascii="Arial" w:cs="Arial" w:eastAsia="Arial" w:hAnsi="Arial"/>
                <w:sz w:val="16"/>
                <w:szCs w:val="16"/>
                <w:b w:val="1"/>
                <w:bCs w:val="1"/>
                <w:color w:val="auto"/>
              </w:rPr>
              <w:t>Delaware</w:t>
            </w:r>
          </w:p>
        </w:tc>
        <w:tc>
          <w:tcPr>
            <w:tcW w:w="14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c>
          <w:tcPr>
            <w:tcW w:w="0" w:type="dxa"/>
            <w:vAlign w:val="bottom"/>
          </w:tcPr>
          <w:p>
            <w:pPr>
              <w:spacing w:after="0"/>
              <w:rPr>
                <w:sz w:val="1"/>
                <w:szCs w:val="1"/>
                <w:color w:val="auto"/>
              </w:rPr>
            </w:pPr>
          </w:p>
        </w:tc>
      </w:tr>
      <w:tr>
        <w:trPr>
          <w:trHeight w:val="148"/>
        </w:trPr>
        <w:tc>
          <w:tcPr>
            <w:tcW w:w="6120" w:type="dxa"/>
            <w:vAlign w:val="bottom"/>
            <w:gridSpan w:val="3"/>
          </w:tcPr>
          <w:p>
            <w:pPr>
              <w:jc w:val="center"/>
              <w:ind w:right="3460"/>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612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17"/>
        </w:trPr>
        <w:tc>
          <w:tcPr>
            <w:tcW w:w="6120" w:type="dxa"/>
            <w:vAlign w:val="bottom"/>
            <w:gridSpan w:val="3"/>
          </w:tcPr>
          <w:p>
            <w:pPr>
              <w:jc w:val="center"/>
              <w:ind w:right="3460"/>
              <w:spacing w:after="0"/>
              <w:rPr>
                <w:sz w:val="20"/>
                <w:szCs w:val="20"/>
                <w:color w:val="auto"/>
              </w:rPr>
            </w:pPr>
            <w:r>
              <w:rPr>
                <w:rFonts w:ascii="Arial" w:cs="Arial" w:eastAsia="Arial" w:hAnsi="Arial"/>
                <w:sz w:val="16"/>
                <w:szCs w:val="16"/>
                <w:b w:val="1"/>
                <w:bCs w:val="1"/>
                <w:color w:val="auto"/>
              </w:rPr>
              <w:t>One Sansome Street 33rd Floor</w:t>
            </w:r>
          </w:p>
        </w:tc>
        <w:tc>
          <w:tcPr>
            <w:tcW w:w="144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94"/>
        </w:trPr>
        <w:tc>
          <w:tcPr>
            <w:tcW w:w="6120" w:type="dxa"/>
            <w:vAlign w:val="bottom"/>
            <w:gridSpan w:val="3"/>
          </w:tcPr>
          <w:p>
            <w:pPr>
              <w:jc w:val="center"/>
              <w:ind w:right="3440"/>
              <w:spacing w:after="0"/>
              <w:rPr>
                <w:sz w:val="20"/>
                <w:szCs w:val="20"/>
                <w:color w:val="auto"/>
              </w:rPr>
            </w:pPr>
            <w:r>
              <w:rPr>
                <w:rFonts w:ascii="Arial" w:cs="Arial" w:eastAsia="Arial" w:hAnsi="Arial"/>
                <w:sz w:val="16"/>
                <w:szCs w:val="16"/>
                <w:b w:val="1"/>
                <w:bCs w:val="1"/>
                <w:color w:val="auto"/>
              </w:rPr>
              <w:t>San Francisco, CA</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20" w:type="dxa"/>
            <w:vAlign w:val="bottom"/>
            <w:gridSpan w:val="3"/>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407"/>
        </w:trPr>
        <w:tc>
          <w:tcPr>
            <w:tcW w:w="48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Title of each class</w:t>
            </w:r>
          </w:p>
        </w:tc>
        <w:tc>
          <w:tcPr>
            <w:tcW w:w="1940" w:type="dxa"/>
            <w:vAlign w:val="bottom"/>
          </w:tcPr>
          <w:p>
            <w:pPr>
              <w:jc w:val="center"/>
              <w:ind w:right="224"/>
              <w:spacing w:after="0"/>
              <w:rPr>
                <w:sz w:val="20"/>
                <w:szCs w:val="20"/>
                <w:color w:val="auto"/>
              </w:rPr>
            </w:pPr>
            <w:r>
              <w:rPr>
                <w:rFonts w:ascii="Arial" w:cs="Arial" w:eastAsia="Arial" w:hAnsi="Arial"/>
                <w:sz w:val="16"/>
                <w:szCs w:val="16"/>
                <w:b w:val="1"/>
                <w:bCs w:val="1"/>
                <w:color w:val="auto"/>
                <w:w w:val="99"/>
              </w:rPr>
              <w:t>Trading Symbol(s)</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8"/>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Class A Common Stock, $0.0001 par value</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ind w:right="244"/>
              <w:spacing w:after="0"/>
              <w:rPr>
                <w:sz w:val="20"/>
                <w:szCs w:val="20"/>
                <w:color w:val="auto"/>
              </w:rPr>
            </w:pPr>
            <w:r>
              <w:rPr>
                <w:rFonts w:ascii="Arial" w:cs="Arial" w:eastAsia="Arial" w:hAnsi="Arial"/>
                <w:sz w:val="14"/>
                <w:szCs w:val="14"/>
                <w:color w:val="auto"/>
              </w:rPr>
              <w:t>WISH</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48" w:lineRule="exact"/>
        <w:rPr>
          <w:sz w:val="24"/>
          <w:szCs w:val="24"/>
          <w:color w:val="auto"/>
        </w:rPr>
      </w:pPr>
    </w:p>
    <w:p>
      <w:pPr>
        <w:jc w:val="both"/>
        <w:ind w:right="20" w:firstLine="599"/>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right="20" w:firstLine="599"/>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right="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3" w:lineRule="exact"/>
        <w:rPr>
          <w:sz w:val="24"/>
          <w:szCs w:val="24"/>
          <w:color w:val="auto"/>
        </w:rPr>
      </w:pPr>
    </w:p>
    <w:p>
      <w:pPr>
        <w:ind w:right="40" w:firstLine="59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1800" w:hanging="598"/>
        <w:spacing w:after="0" w:line="249"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2022, the number of shares of the registrant’s Class A common stock outstanding was 677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87"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00" w:type="dxa"/>
            <w:vAlign w:val="bottom"/>
            <w:gridSpan w:val="17"/>
            <w:vMerge w:val="restart"/>
          </w:tcPr>
          <w:p>
            <w:pPr>
              <w:spacing w:after="0"/>
              <w:rPr>
                <w:sz w:val="20"/>
                <w:szCs w:val="20"/>
                <w:color w:val="auto"/>
              </w:rPr>
            </w:pPr>
            <w:r>
              <w:rPr>
                <w:rFonts w:ascii="Arial" w:cs="Arial" w:eastAsia="Arial" w:hAnsi="Arial"/>
                <w:sz w:val="18"/>
                <w:szCs w:val="18"/>
                <w:b w:val="1"/>
                <w:bCs w:val="1"/>
                <w:color w:val="0563C1"/>
              </w:rPr>
              <w:t>Special Note Regarding Forward-Looking Statements</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456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rPr>
              <w:t>FINANCIAL INFORMATION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40" w:type="dxa"/>
            <w:vAlign w:val="bottom"/>
            <w:tcBorders>
              <w:top w:val="single" w:sz="8" w:color="0563C1"/>
            </w:tcBorders>
            <w:gridSpan w:val="6"/>
          </w:tcPr>
          <w:p>
            <w:pPr>
              <w:spacing w:after="0" w:line="182" w:lineRule="exact"/>
              <w:rPr>
                <w:sz w:val="20"/>
                <w:szCs w:val="20"/>
                <w:color w:val="auto"/>
              </w:rPr>
            </w:pPr>
            <w:r>
              <w:rPr>
                <w:rFonts w:ascii="Arial" w:cs="Arial" w:eastAsia="Arial" w:hAnsi="Arial"/>
                <w:sz w:val="18"/>
                <w:szCs w:val="18"/>
                <w:color w:val="0563C1"/>
              </w:rPr>
              <w:t>Condensed Consolidated</w:t>
            </w:r>
          </w:p>
        </w:tc>
        <w:tc>
          <w:tcPr>
            <w:tcW w:w="7060" w:type="dxa"/>
            <w:vAlign w:val="bottom"/>
            <w:gridSpan w:val="11"/>
          </w:tcPr>
          <w:p>
            <w:pPr>
              <w:spacing w:after="0" w:line="182" w:lineRule="exact"/>
              <w:rPr>
                <w:sz w:val="20"/>
                <w:szCs w:val="20"/>
                <w:color w:val="auto"/>
              </w:rPr>
            </w:pPr>
            <w:r>
              <w:rPr>
                <w:rFonts w:ascii="Arial" w:cs="Arial" w:eastAsia="Arial" w:hAnsi="Arial"/>
                <w:sz w:val="18"/>
                <w:szCs w:val="18"/>
                <w:color w:val="0563C1"/>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40" w:type="dxa"/>
            <w:vAlign w:val="bottom"/>
            <w:tcBorders>
              <w:top w:val="single" w:sz="8" w:color="0563C1"/>
            </w:tcBorders>
            <w:gridSpan w:val="12"/>
          </w:tcPr>
          <w:p>
            <w:pPr>
              <w:spacing w:after="0" w:line="182" w:lineRule="exact"/>
              <w:rPr>
                <w:sz w:val="20"/>
                <w:szCs w:val="20"/>
                <w:color w:val="auto"/>
              </w:rPr>
            </w:pPr>
            <w:r>
              <w:rPr>
                <w:rFonts w:ascii="Arial" w:cs="Arial" w:eastAsia="Arial" w:hAnsi="Arial"/>
                <w:sz w:val="18"/>
                <w:szCs w:val="18"/>
                <w:color w:val="0563C1"/>
              </w:rPr>
              <w:t>Condensed Consolidated Balance Sheets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0563C1"/>
              <w:bottom w:val="single" w:sz="8" w:color="0563C1"/>
            </w:tcBorders>
            <w:gridSpan w:val="7"/>
          </w:tcPr>
          <w:p>
            <w:pPr>
              <w:spacing w:after="0" w:line="182" w:lineRule="exact"/>
              <w:rPr>
                <w:sz w:val="20"/>
                <w:szCs w:val="20"/>
                <w:color w:val="auto"/>
              </w:rPr>
            </w:pPr>
            <w:r>
              <w:rPr>
                <w:rFonts w:ascii="Arial" w:cs="Arial" w:eastAsia="Arial" w:hAnsi="Arial"/>
                <w:sz w:val="18"/>
                <w:szCs w:val="18"/>
                <w:color w:val="0563C1"/>
              </w:rPr>
              <w:t>Condensed Consolidated Statements of</w:t>
            </w:r>
          </w:p>
        </w:tc>
        <w:tc>
          <w:tcPr>
            <w:tcW w:w="780" w:type="dxa"/>
            <w:vAlign w:val="bottom"/>
            <w:tcBorders>
              <w:bottom w:val="single" w:sz="8" w:color="0563C1"/>
            </w:tcBorders>
          </w:tcPr>
          <w:p>
            <w:pPr>
              <w:spacing w:after="0" w:line="182" w:lineRule="exact"/>
              <w:rPr>
                <w:sz w:val="20"/>
                <w:szCs w:val="20"/>
                <w:color w:val="auto"/>
              </w:rPr>
            </w:pPr>
            <w:r>
              <w:rPr>
                <w:rFonts w:ascii="Arial" w:cs="Arial" w:eastAsia="Arial" w:hAnsi="Arial"/>
                <w:sz w:val="18"/>
                <w:szCs w:val="18"/>
                <w:color w:val="0563C1"/>
                <w:w w:val="86"/>
              </w:rPr>
              <w:t>Operations</w:t>
            </w:r>
          </w:p>
        </w:tc>
        <w:tc>
          <w:tcPr>
            <w:tcW w:w="518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Condensed Consolidated Statements of Comprehensive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563C1"/>
            </w:tcBorders>
            <w:gridSpan w:val="14"/>
          </w:tcPr>
          <w:p>
            <w:pPr>
              <w:spacing w:after="0" w:line="182" w:lineRule="exact"/>
              <w:rPr>
                <w:sz w:val="20"/>
                <w:szCs w:val="20"/>
                <w:color w:val="auto"/>
              </w:rPr>
            </w:pPr>
            <w:r>
              <w:rPr>
                <w:rFonts w:ascii="Arial" w:cs="Arial" w:eastAsia="Arial" w:hAnsi="Arial"/>
                <w:sz w:val="18"/>
                <w:szCs w:val="18"/>
                <w:color w:val="0563C1"/>
              </w:rPr>
              <w:t>Condensed Consolidated Statements of Stockholders’ Equity</w:t>
            </w: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563C1"/>
              <w:bottom w:val="single" w:sz="8" w:color="0563C1"/>
            </w:tcBorders>
            <w:gridSpan w:val="9"/>
          </w:tcPr>
          <w:p>
            <w:pPr>
              <w:spacing w:after="0" w:line="182" w:lineRule="exact"/>
              <w:rPr>
                <w:sz w:val="20"/>
                <w:szCs w:val="20"/>
                <w:color w:val="auto"/>
              </w:rPr>
            </w:pPr>
            <w:r>
              <w:rPr>
                <w:rFonts w:ascii="Arial" w:cs="Arial" w:eastAsia="Arial" w:hAnsi="Arial"/>
                <w:sz w:val="18"/>
                <w:szCs w:val="18"/>
                <w:color w:val="0563C1"/>
                <w:w w:val="99"/>
              </w:rPr>
              <w:t>Condensed Consolidated Statements of Cash Flows</w:t>
            </w:r>
          </w:p>
        </w:tc>
        <w:tc>
          <w:tcPr>
            <w:tcW w:w="680" w:type="dxa"/>
            <w:vAlign w:val="bottom"/>
            <w:tcBorders>
              <w:top w:val="single" w:sz="8" w:color="0563C1"/>
            </w:tcBorders>
            <w:gridSpan w:val="4"/>
          </w:tcPr>
          <w:p>
            <w:pPr>
              <w:spacing w:after="0"/>
              <w:rPr>
                <w:sz w:val="15"/>
                <w:szCs w:val="15"/>
                <w:color w:val="auto"/>
              </w:rPr>
            </w:pPr>
          </w:p>
        </w:tc>
        <w:tc>
          <w:tcPr>
            <w:tcW w:w="500" w:type="dxa"/>
            <w:vAlign w:val="bottom"/>
            <w:gridSpan w:val="2"/>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5360" w:type="dxa"/>
            <w:vAlign w:val="bottom"/>
            <w:tcBorders>
              <w:top w:val="single" w:sz="8" w:color="0563C1"/>
            </w:tcBorders>
            <w:gridSpan w:val="15"/>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w:t>
            </w:r>
          </w:p>
        </w:tc>
        <w:tc>
          <w:tcPr>
            <w:tcW w:w="3940" w:type="dxa"/>
            <w:vAlign w:val="bottom"/>
            <w:gridSpan w:val="2"/>
          </w:tcPr>
          <w:p>
            <w:pPr>
              <w:spacing w:after="0" w:line="182" w:lineRule="exact"/>
              <w:rPr>
                <w:sz w:val="20"/>
                <w:szCs w:val="20"/>
                <w:color w:val="auto"/>
              </w:rPr>
            </w:pPr>
            <w:r>
              <w:rPr>
                <w:rFonts w:ascii="Arial" w:cs="Arial" w:eastAsia="Arial" w:hAnsi="Arial"/>
                <w:sz w:val="18"/>
                <w:szCs w:val="18"/>
                <w:color w:val="0563C1"/>
              </w:rPr>
              <w:t>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563C1"/>
            </w:tcBorders>
            <w:gridSpan w:val="16"/>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563C1"/>
            </w:tcBorders>
            <w:gridSpan w:val="11"/>
          </w:tcPr>
          <w:p>
            <w:pPr>
              <w:spacing w:after="0" w:line="182" w:lineRule="exact"/>
              <w:rPr>
                <w:sz w:val="20"/>
                <w:szCs w:val="20"/>
                <w:color w:val="auto"/>
              </w:rPr>
            </w:pPr>
            <w:r>
              <w:rPr>
                <w:rFonts w:ascii="Arial" w:cs="Arial" w:eastAsia="Arial" w:hAnsi="Arial"/>
                <w:sz w:val="18"/>
                <w:szCs w:val="18"/>
                <w:color w:val="0563C1"/>
              </w:rPr>
              <w:t>Controls and Procedures</w:t>
            </w:r>
          </w:p>
        </w:tc>
        <w:tc>
          <w:tcPr>
            <w:tcW w:w="458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OTHER INFORMATION</w:t>
            </w:r>
          </w:p>
        </w:tc>
        <w:tc>
          <w:tcPr>
            <w:tcW w:w="7300" w:type="dxa"/>
            <w:vAlign w:val="bottom"/>
            <w:gridSpan w:val="12"/>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4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Legal Proceedings</w:t>
            </w:r>
          </w:p>
        </w:tc>
        <w:tc>
          <w:tcPr>
            <w:tcW w:w="736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rPr>
              <w:t>Risk Factors</w:t>
            </w:r>
          </w:p>
        </w:tc>
        <w:tc>
          <w:tcPr>
            <w:tcW w:w="780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000" w:type="dxa"/>
            <w:vAlign w:val="bottom"/>
            <w:tcBorders>
              <w:top w:val="single" w:sz="8" w:color="0563C1"/>
            </w:tcBorders>
            <w:gridSpan w:val="2"/>
          </w:tcPr>
          <w:p>
            <w:pPr>
              <w:spacing w:after="0" w:line="182" w:lineRule="exact"/>
              <w:rPr>
                <w:sz w:val="20"/>
                <w:szCs w:val="20"/>
                <w:color w:val="auto"/>
              </w:rPr>
            </w:pPr>
            <w:r>
              <w:rPr>
                <w:rFonts w:ascii="Arial" w:cs="Arial" w:eastAsia="Arial" w:hAnsi="Arial"/>
                <w:sz w:val="18"/>
                <w:szCs w:val="18"/>
                <w:color w:val="0563C1"/>
              </w:rPr>
              <w:t>Exhibits</w:t>
            </w:r>
          </w:p>
        </w:tc>
        <w:tc>
          <w:tcPr>
            <w:tcW w:w="830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640" w:type="dxa"/>
            <w:vAlign w:val="bottom"/>
            <w:tcBorders>
              <w:top w:val="single" w:sz="8" w:color="0563C1"/>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7"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("Exchange Act"), which statements involve substantial risks and uncertainties. Forward-looking statements include all statements that are not historical facts such as information concerning our possible or assumed future results of operations and expenses, user experience, including new or planned features or services, management strategies and plans, competitive position, merchant programs, partnership expectations,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spacing w:after="0" w:line="12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and our other filings with the Securities and Exchange Commission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26"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future financial performance; implementation and execution of business strategies, including turnaround and restructuring plans; our future liquidity, operating expenditures, and financial condition; the potential impact of our marketing and product initiatives, including the global brand campaign and ad spending to support the rebrand effort; new executive hires and transitions; our continued listing on Nasdaq; new merchant programs and related outcomes; the impact of coronavirus disease 2019 (“COVID-19”) on our business; our future market position and competitive changes in the marketplace; technological advances; expected consumer behavior; the outcome of ongoing litigation; the effect of new or revised tax laws and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6"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Below is a summary of the principal factors that make an investment in our Class A common stock speculative or risky. This summary does not contain all of the information that may be important to you, and you should read this summary together with the more detailed discussion of risks and uncertainties set forth in the section titled “Risk Factors” included elsewhere in this Quarterly Report on Form 10-Q:</w:t>
      </w:r>
    </w:p>
    <w:p>
      <w:pPr>
        <w:spacing w:after="0" w:line="54" w:lineRule="exact"/>
        <w:rPr>
          <w:sz w:val="20"/>
          <w:szCs w:val="20"/>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efforts to acquire new users and engage existing users may not be successful or may be more costly than we expect, which could prevent us from maintaining or increasing our revenue.</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promote, maintain, and protect our brand and reputation and offer a compelling user experience, our ability to attract new users and engage with our existing base of users will be impaired.</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transition to a new, Interim Chief Executive Officer (“CEO”) may impact our ability to execute on our business strategy in a timely manner.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the services of members of our senior management team we may not be able to execute our business strategy.</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55"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brand, reputation, and business may be harmed if merchants on our platform use unethical or illegal business practices, including the sale of counterfeit or fraudulent products or if our policies and practices with respect to such sales are perceived or found to be inadequate, and we may be impacted by the unlawful activity of merchants on our platform.</w:t>
      </w:r>
    </w:p>
    <w:p>
      <w:pPr>
        <w:spacing w:after="0" w:line="55"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company is evolving and we are in the process of executing on new business strategies and restructuring efforts; if we fail to successfully execute on these, our business, financial condition, and operating results could be harmed.</w:t>
      </w:r>
    </w:p>
    <w:p>
      <w:pPr>
        <w:spacing w:after="0" w:line="3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successfully execute or achieve the expected benefits of our restructuring and turnaround initiatives, which could adversely affect our business.</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in which we operate is rapidly evolving and we face intense competition; if we do not compete effectively, our results of operations and financial condition could be harmed.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COVID-19 pandemic may adversely affect our business and results of operations.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tension between the United States and China, or between other countries, may intensify and the United States, China, or other countries may adopt drastic measures in the future that impact our business.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Merchants on our platform may experience additional disruptions to their supply and restrictions on their ability to deliver products to our users in a timely manner, which could harm our business.</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and our merchants and users may be subject to sales and other taxes and these taxes may negatively impact our revenue and growth.</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significant disruption in service on our platform or in our computer systems, some of which are currently hosted by third-party providers, for any reason, including cyber threats, could damage our reputation and result in a loss of users, which would harm our business and results of operations.</w:t>
      </w:r>
    </w:p>
    <w:p>
      <w:pPr>
        <w:spacing w:after="0" w:line="55"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involved in litigation matters or other legal proceedings or regulatory investigations that are expensive, time consuming, and may result in restrictions on our business operations.</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comply with all applicable listing requirements or standards of the Nasdaq Global Select market and Nasdaq could delist our common stock.</w:t>
      </w:r>
    </w:p>
    <w:p>
      <w:pPr>
        <w:spacing w:after="0" w:line="59"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ind w:right="99"/>
              <w:spacing w:after="0"/>
              <w:rPr>
                <w:sz w:val="20"/>
                <w:szCs w:val="20"/>
                <w:color w:val="auto"/>
              </w:rPr>
            </w:pPr>
            <w:r>
              <w:rPr>
                <w:rFonts w:ascii="Arial" w:cs="Arial" w:eastAsia="Arial" w:hAnsi="Arial"/>
                <w:sz w:val="16"/>
                <w:szCs w:val="16"/>
                <w:b w:val="1"/>
                <w:bCs w:val="1"/>
                <w:color w:val="auto"/>
              </w:rPr>
              <w:t>As of September 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As of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Funds receivable</w:t>
            </w: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Right-of-use assets</w:t>
            </w: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911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0"/>
              <w:spacing w:after="0"/>
              <w:rPr>
                <w:sz w:val="20"/>
                <w:szCs w:val="20"/>
                <w:color w:val="auto"/>
              </w:rPr>
            </w:pPr>
            <w:r>
              <w:rPr>
                <w:rFonts w:ascii="Arial" w:cs="Arial" w:eastAsia="Arial" w:hAnsi="Arial"/>
                <w:sz w:val="16"/>
                <w:szCs w:val="16"/>
                <w:color w:val="auto"/>
              </w:rPr>
              <w:t>Merchants payable</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Refunds liability</w:t>
            </w: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180" w:type="dxa"/>
            <w:vAlign w:val="bottom"/>
          </w:tcPr>
          <w:p>
            <w:pPr>
              <w:ind w:left="200"/>
              <w:spacing w:after="0" w:line="161" w:lineRule="exact"/>
              <w:rPr>
                <w:sz w:val="20"/>
                <w:szCs w:val="20"/>
                <w:color w:val="auto"/>
              </w:rPr>
            </w:pPr>
            <w:r>
              <w:rPr>
                <w:rFonts w:ascii="Arial" w:cs="Arial" w:eastAsia="Arial" w:hAnsi="Arial"/>
                <w:sz w:val="16"/>
                <w:szCs w:val="16"/>
                <w:color w:val="auto"/>
              </w:rPr>
              <w:t>Preferred stock, $0.0001 par value: 100 shares authorized as of September 30, 2022 and</w:t>
            </w: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tcPr>
          <w:p>
            <w:pPr>
              <w:ind w:left="200"/>
              <w:spacing w:after="0" w:line="163" w:lineRule="exact"/>
              <w:rPr>
                <w:sz w:val="20"/>
                <w:szCs w:val="20"/>
                <w:color w:val="auto"/>
              </w:rPr>
            </w:pPr>
            <w:r>
              <w:rPr>
                <w:rFonts w:ascii="Arial" w:cs="Arial" w:eastAsia="Arial" w:hAnsi="Arial"/>
                <w:sz w:val="16"/>
                <w:szCs w:val="16"/>
                <w:color w:val="auto"/>
              </w:rPr>
              <w:t>December 31, 2021; No shares issued and outstanding as of September 30, 2022 and</w:t>
            </w:r>
          </w:p>
        </w:tc>
        <w:tc>
          <w:tcPr>
            <w:tcW w:w="14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December 31, 2021</w:t>
            </w:r>
          </w:p>
        </w:tc>
        <w:tc>
          <w:tcPr>
            <w:tcW w:w="14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-1944370</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-1944370</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-607060</wp:posOffset>
            </wp:positionV>
            <wp:extent cx="6858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ind w:left="200"/>
        <w:spacing w:after="0" w:line="233" w:lineRule="auto"/>
        <w:rPr>
          <w:sz w:val="20"/>
          <w:szCs w:val="20"/>
          <w:color w:val="auto"/>
        </w:rPr>
      </w:pPr>
      <w:r>
        <w:rPr>
          <w:rFonts w:ascii="Arial" w:cs="Arial" w:eastAsia="Arial" w:hAnsi="Arial"/>
          <w:sz w:val="16"/>
          <w:szCs w:val="16"/>
          <w:color w:val="auto"/>
        </w:rPr>
        <w:t>Common stock, $0.0001 par value: 3,000 Class A shares and 3,500 (3,000 Class A, 500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ind w:left="200" w:right="4360" w:firstLine="1"/>
        <w:spacing w:after="0" w:line="211" w:lineRule="auto"/>
        <w:tabs>
          <w:tab w:leader="none" w:pos="407"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shares authorized as of September 30, 2022 and December 31, 2021; 675 Class A shares and 658 (593 Class A, 65 Class B) shares issued and outstanding as of September 30, 2022</w:t>
      </w:r>
    </w:p>
    <w:tbl>
      <w:tblPr>
        <w:tblLayout w:type="fixed"/>
        <w:tblInd w:w="0" w:type="dxa"/>
        <w:tblCellMar>
          <w:top w:w="0" w:type="dxa"/>
          <w:left w:w="0" w:type="dxa"/>
          <w:bottom w:w="0" w:type="dxa"/>
          <w:right w:w="0" w:type="dxa"/>
        </w:tblCellMar>
      </w:tblPr>
      <w:tr>
        <w:trPr>
          <w:trHeight w:val="187"/>
        </w:trPr>
        <w:tc>
          <w:tcPr>
            <w:tcW w:w="7180" w:type="dxa"/>
            <w:vAlign w:val="bottom"/>
          </w:tcPr>
          <w:p>
            <w:pPr>
              <w:ind w:left="200"/>
              <w:spacing w:after="0"/>
              <w:rPr>
                <w:sz w:val="20"/>
                <w:szCs w:val="20"/>
                <w:color w:val="auto"/>
              </w:rPr>
            </w:pPr>
            <w:r>
              <w:rPr>
                <w:rFonts w:ascii="Arial" w:cs="Arial" w:eastAsia="Arial" w:hAnsi="Arial"/>
                <w:sz w:val="16"/>
                <w:szCs w:val="16"/>
                <w:color w:val="auto"/>
              </w:rPr>
              <w:t>and December 31, 2021</w:t>
            </w:r>
          </w:p>
        </w:tc>
        <w:tc>
          <w:tcPr>
            <w:tcW w:w="7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718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3,404</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8"/>
                <w:szCs w:val="18"/>
                <w:color w:val="auto"/>
              </w:rPr>
            </w:pPr>
          </w:p>
        </w:tc>
      </w:tr>
      <w:tr>
        <w:trPr>
          <w:trHeight w:val="203"/>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 income</w:t>
            </w:r>
          </w:p>
        </w:tc>
        <w:tc>
          <w:tcPr>
            <w:tcW w:w="7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(11 )</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7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(2,819 )</w:t>
            </w:r>
          </w:p>
        </w:tc>
        <w:tc>
          <w:tcPr>
            <w:tcW w:w="7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(2,545 )</w:t>
            </w:r>
          </w:p>
        </w:tc>
      </w:tr>
      <w:tr>
        <w:trPr>
          <w:trHeight w:val="19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76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-161925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1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21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7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and marketing</w:t>
            </w: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0"/>
              <w:spacing w:after="0"/>
              <w:rPr>
                <w:sz w:val="20"/>
                <w:szCs w:val="20"/>
                <w:color w:val="auto"/>
              </w:rPr>
            </w:pPr>
            <w:r>
              <w:rPr>
                <w:rFonts w:ascii="Arial" w:cs="Arial" w:eastAsia="Arial" w:hAnsi="Arial"/>
                <w:sz w:val="16"/>
                <w:szCs w:val="16"/>
                <w:color w:val="auto"/>
              </w:rPr>
              <w:t>Product development</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7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58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7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760" w:type="dxa"/>
            <w:vAlign w:val="bottom"/>
          </w:tcPr>
          <w:p>
            <w:pPr>
              <w:spacing w:after="0"/>
              <w:rPr>
                <w:sz w:val="17"/>
                <w:szCs w:val="17"/>
                <w:color w:val="auto"/>
              </w:rPr>
            </w:pPr>
          </w:p>
        </w:tc>
        <w:tc>
          <w:tcPr>
            <w:tcW w:w="660" w:type="dxa"/>
            <w:vAlign w:val="bottom"/>
            <w:gridSpan w:val="2"/>
          </w:tcPr>
          <w:p>
            <w:pPr>
              <w:jc w:val="right"/>
              <w:ind w:right="139"/>
              <w:spacing w:after="0"/>
              <w:rPr>
                <w:sz w:val="20"/>
                <w:szCs w:val="20"/>
                <w:color w:val="auto"/>
              </w:rPr>
            </w:pPr>
            <w:r>
              <w:rPr>
                <w:rFonts w:ascii="Arial" w:cs="Arial" w:eastAsia="Arial" w:hAnsi="Arial"/>
                <w:sz w:val="16"/>
                <w:szCs w:val="16"/>
                <w:color w:val="auto"/>
              </w:rPr>
              <w:t>(122 )</w:t>
            </w:r>
          </w:p>
        </w:tc>
        <w:tc>
          <w:tcPr>
            <w:tcW w:w="740" w:type="dxa"/>
            <w:vAlign w:val="bottom"/>
          </w:tcPr>
          <w:p>
            <w:pPr>
              <w:spacing w:after="0"/>
              <w:rPr>
                <w:sz w:val="17"/>
                <w:szCs w:val="17"/>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6"/>
                <w:szCs w:val="16"/>
                <w:color w:val="auto"/>
              </w:rPr>
              <w:t>(60 )</w:t>
            </w:r>
          </w:p>
        </w:tc>
        <w:tc>
          <w:tcPr>
            <w:tcW w:w="24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(271 )</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(292 )</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7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tcPr>
          <w:p>
            <w:pPr>
              <w:spacing w:after="0"/>
              <w:rPr>
                <w:sz w:val="17"/>
                <w:szCs w:val="17"/>
                <w:color w:val="auto"/>
              </w:rPr>
            </w:pPr>
          </w:p>
        </w:tc>
        <w:tc>
          <w:tcPr>
            <w:tcW w:w="660" w:type="dxa"/>
            <w:vAlign w:val="bottom"/>
            <w:gridSpan w:val="2"/>
          </w:tcPr>
          <w:p>
            <w:pPr>
              <w:jc w:val="right"/>
              <w:ind w:right="139"/>
              <w:spacing w:after="0"/>
              <w:rPr>
                <w:sz w:val="20"/>
                <w:szCs w:val="20"/>
                <w:color w:val="auto"/>
              </w:rPr>
            </w:pPr>
            <w:r>
              <w:rPr>
                <w:rFonts w:ascii="Arial" w:cs="Arial" w:eastAsia="Arial" w:hAnsi="Arial"/>
                <w:sz w:val="16"/>
                <w:szCs w:val="16"/>
                <w:color w:val="auto"/>
              </w:rPr>
              <w:t>(124 )</w:t>
            </w:r>
          </w:p>
        </w:tc>
        <w:tc>
          <w:tcPr>
            <w:tcW w:w="740" w:type="dxa"/>
            <w:vAlign w:val="bottom"/>
          </w:tcPr>
          <w:p>
            <w:pPr>
              <w:spacing w:after="0"/>
              <w:rPr>
                <w:sz w:val="17"/>
                <w:szCs w:val="17"/>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6"/>
                <w:szCs w:val="16"/>
                <w:color w:val="auto"/>
              </w:rPr>
              <w:t>(64 )</w:t>
            </w:r>
          </w:p>
        </w:tc>
        <w:tc>
          <w:tcPr>
            <w:tcW w:w="24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(274 )</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(0.18</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(0.10</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(0.41</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29"/>
        </w:trPr>
        <w:tc>
          <w:tcPr>
            <w:tcW w:w="5860" w:type="dxa"/>
            <w:vAlign w:val="bottom"/>
          </w:tcPr>
          <w:p>
            <w:pPr>
              <w:ind w:left="20"/>
              <w:spacing w:after="0" w:line="129" w:lineRule="exact"/>
              <w:rPr>
                <w:sz w:val="20"/>
                <w:szCs w:val="20"/>
                <w:color w:val="auto"/>
              </w:rPr>
            </w:pPr>
            <w:r>
              <w:rPr>
                <w:rFonts w:ascii="Arial" w:cs="Arial" w:eastAsia="Arial" w:hAnsi="Arial"/>
                <w:sz w:val="14"/>
                <w:szCs w:val="14"/>
                <w:color w:val="auto"/>
              </w:rPr>
              <w:t>Weighted-average shares used in computing net loss per share, basic and</w:t>
            </w:r>
          </w:p>
        </w:tc>
        <w:tc>
          <w:tcPr>
            <w:tcW w:w="76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673</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628</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667</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5" w:lineRule="exact"/>
              <w:rPr>
                <w:sz w:val="20"/>
                <w:szCs w:val="20"/>
                <w:color w:val="auto"/>
              </w:rPr>
            </w:pPr>
            <w:r>
              <w:rPr>
                <w:rFonts w:ascii="Arial" w:cs="Arial" w:eastAsia="Arial" w:hAnsi="Arial"/>
                <w:sz w:val="16"/>
                <w:szCs w:val="16"/>
                <w:color w:val="auto"/>
              </w:rPr>
              <w:t>diluted</w:t>
            </w:r>
          </w:p>
        </w:tc>
        <w:tc>
          <w:tcPr>
            <w:tcW w:w="7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-1344930</wp:posOffset>
            </wp:positionV>
            <wp:extent cx="7747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-1344930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-1344930</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-814070</wp:posOffset>
            </wp:positionV>
            <wp:extent cx="774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-814070</wp:posOffset>
            </wp:positionV>
            <wp:extent cx="685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-814070</wp:posOffset>
            </wp:positionV>
            <wp:extent cx="6858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-548005</wp:posOffset>
            </wp:positionV>
            <wp:extent cx="7747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-548005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-256540</wp:posOffset>
            </wp:positionV>
            <wp:extent cx="269176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1765" cy="25717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2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80" w:type="dxa"/>
            <w:vAlign w:val="bottom"/>
          </w:tcPr>
          <w:p>
            <w:pPr>
              <w:spacing w:after="0"/>
              <w:rPr>
                <w:sz w:val="18"/>
                <w:szCs w:val="18"/>
                <w:color w:val="auto"/>
              </w:rPr>
            </w:pPr>
          </w:p>
        </w:tc>
        <w:tc>
          <w:tcPr>
            <w:tcW w:w="22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(124</w:t>
            </w:r>
          </w:p>
        </w:tc>
        <w:tc>
          <w:tcPr>
            <w:tcW w:w="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(274</w:t>
            </w: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(303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8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FF0FC"/>
          </w:tcPr>
          <w:p>
            <w:pPr>
              <w:ind w:left="200"/>
              <w:spacing w:after="0" w:line="148" w:lineRule="exact"/>
              <w:rPr>
                <w:sz w:val="20"/>
                <w:szCs w:val="20"/>
                <w:color w:val="auto"/>
              </w:rPr>
            </w:pPr>
            <w:r>
              <w:rPr>
                <w:rFonts w:ascii="Arial" w:cs="Arial" w:eastAsia="Arial" w:hAnsi="Arial"/>
                <w:sz w:val="16"/>
                <w:szCs w:val="16"/>
                <w:color w:val="auto"/>
              </w:rPr>
              <w:t>Unrealized holding gains (losses) on derivatives and marketable securities,</w:t>
            </w:r>
          </w:p>
        </w:tc>
        <w:tc>
          <w:tcPr>
            <w:tcW w:w="76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(5 )</w:t>
            </w:r>
          </w:p>
        </w:tc>
        <w:tc>
          <w:tcPr>
            <w:tcW w:w="76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of tax</w:t>
            </w:r>
          </w:p>
        </w:tc>
        <w:tc>
          <w:tcPr>
            <w:tcW w:w="760" w:type="dxa"/>
            <w:vAlign w:val="bottom"/>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760" w:type="dxa"/>
            <w:vAlign w:val="bottom"/>
          </w:tcPr>
          <w:p>
            <w:pPr>
              <w:spacing w:after="0"/>
              <w:rPr>
                <w:sz w:val="17"/>
                <w:szCs w:val="17"/>
                <w:color w:val="auto"/>
              </w:rPr>
            </w:pPr>
          </w:p>
        </w:tc>
        <w:tc>
          <w:tcPr>
            <w:tcW w:w="640" w:type="dxa"/>
            <w:vAlign w:val="bottom"/>
            <w:gridSpan w:val="2"/>
          </w:tcPr>
          <w:p>
            <w:pPr>
              <w:jc w:val="right"/>
              <w:ind w:right="139"/>
              <w:spacing w:after="0"/>
              <w:rPr>
                <w:sz w:val="20"/>
                <w:szCs w:val="20"/>
                <w:color w:val="auto"/>
              </w:rPr>
            </w:pPr>
            <w:r>
              <w:rPr>
                <w:rFonts w:ascii="Arial" w:cs="Arial" w:eastAsia="Arial" w:hAnsi="Arial"/>
                <w:sz w:val="16"/>
                <w:szCs w:val="16"/>
                <w:color w:val="auto"/>
              </w:rPr>
              <w:t>(5 )</w:t>
            </w:r>
          </w:p>
        </w:tc>
        <w:tc>
          <w:tcPr>
            <w:tcW w:w="820" w:type="dxa"/>
            <w:vAlign w:val="bottom"/>
          </w:tcPr>
          <w:p>
            <w:pPr>
              <w:spacing w:after="0"/>
              <w:rPr>
                <w:sz w:val="17"/>
                <w:szCs w:val="17"/>
                <w:color w:val="auto"/>
              </w:rPr>
            </w:pPr>
          </w:p>
        </w:tc>
        <w:tc>
          <w:tcPr>
            <w:tcW w:w="5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600" w:type="dxa"/>
            <w:vAlign w:val="bottom"/>
            <w:gridSpan w:val="2"/>
          </w:tcPr>
          <w:p>
            <w:pPr>
              <w:jc w:val="right"/>
              <w:ind w:right="99"/>
              <w:spacing w:after="0"/>
              <w:rPr>
                <w:sz w:val="20"/>
                <w:szCs w:val="20"/>
                <w:color w:val="auto"/>
              </w:rPr>
            </w:pPr>
            <w:r>
              <w:rPr>
                <w:rFonts w:ascii="Arial" w:cs="Arial" w:eastAsia="Arial" w:hAnsi="Arial"/>
                <w:sz w:val="16"/>
                <w:szCs w:val="16"/>
                <w:color w:val="auto"/>
              </w:rPr>
              <w:t>(9 )</w:t>
            </w:r>
          </w:p>
        </w:tc>
        <w:tc>
          <w:tcPr>
            <w:tcW w:w="760" w:type="dxa"/>
            <w:vAlign w:val="bottom"/>
          </w:tcPr>
          <w:p>
            <w:pPr>
              <w:spacing w:after="0"/>
              <w:rPr>
                <w:sz w:val="17"/>
                <w:szCs w:val="17"/>
                <w:color w:val="auto"/>
              </w:rPr>
            </w:pP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(129</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(288</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(303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 millions)</w:t>
      </w:r>
    </w:p>
    <w:p>
      <w:pPr>
        <w:ind w:left="4960"/>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13"/>
          </w:tcPr>
          <w:p>
            <w:pPr>
              <w:jc w:val="center"/>
              <w:ind w:right="588"/>
              <w:spacing w:after="0"/>
              <w:rPr>
                <w:sz w:val="20"/>
                <w:szCs w:val="20"/>
                <w:color w:val="auto"/>
              </w:rPr>
            </w:pPr>
            <w:r>
              <w:rPr>
                <w:rFonts w:ascii="Arial" w:cs="Arial" w:eastAsia="Arial" w:hAnsi="Arial"/>
                <w:sz w:val="14"/>
                <w:szCs w:val="14"/>
                <w:b w:val="1"/>
                <w:bCs w:val="1"/>
                <w:color w:val="auto"/>
              </w:rPr>
              <w:t>Three Months Ended September 30, 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tcPr>
          <w:p>
            <w:pPr>
              <w:jc w:val="center"/>
              <w:ind w:right="200"/>
              <w:spacing w:after="0" w:line="133"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288"/>
              <w:spacing w:after="0" w:line="133"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tcPr>
          <w:p>
            <w:pPr>
              <w:jc w:val="center"/>
              <w:ind w:right="268"/>
              <w:spacing w:after="0" w:line="158"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228"/>
              <w:spacing w:after="0" w:line="158"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June 30, 2022</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gridSpan w:val="2"/>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3,383</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(2,695</w:t>
            </w:r>
          </w:p>
        </w:tc>
        <w:tc>
          <w:tcPr>
            <w:tcW w:w="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560" w:type="dxa"/>
            <w:vAlign w:val="bottom"/>
          </w:tcPr>
          <w:p>
            <w:pPr>
              <w:ind w:left="200"/>
              <w:spacing w:after="0" w:line="139" w:lineRule="exact"/>
              <w:rPr>
                <w:sz w:val="20"/>
                <w:szCs w:val="20"/>
                <w:color w:val="auto"/>
              </w:rPr>
            </w:pPr>
            <w:r>
              <w:rPr>
                <w:rFonts w:ascii="Arial" w:cs="Arial" w:eastAsia="Arial" w:hAnsi="Arial"/>
                <w:sz w:val="14"/>
                <w:szCs w:val="14"/>
                <w:color w:val="auto"/>
              </w:rPr>
              <w:t>Issuance of common stock upon settlement of</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gridSpan w:val="2"/>
            <w:vMerge w:val="restart"/>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vMerge w:val="restart"/>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(3 )</w:t>
            </w: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(5 )</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3"/>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5"/>
        </w:trPr>
        <w:tc>
          <w:tcPr>
            <w:tcW w:w="35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(5 )</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5"/>
        </w:trPr>
        <w:tc>
          <w:tcPr>
            <w:tcW w:w="35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(124 )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Balances as of September 30, 2022</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675</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gridSpan w:val="2"/>
            <w:shd w:val="clear" w:color="auto" w:fill="CFF0FC"/>
          </w:tcPr>
          <w:p>
            <w:pPr>
              <w:ind w:left="6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3,404</w:t>
            </w: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18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(2,819</w:t>
            </w:r>
          </w:p>
        </w:tc>
        <w:tc>
          <w:tcPr>
            <w:tcW w:w="16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3"/>
          </w:tcPr>
          <w:p>
            <w:pPr>
              <w:jc w:val="center"/>
              <w:ind w:right="608"/>
              <w:spacing w:after="0"/>
              <w:rPr>
                <w:sz w:val="20"/>
                <w:szCs w:val="20"/>
                <w:color w:val="auto"/>
              </w:rPr>
            </w:pPr>
            <w:r>
              <w:rPr>
                <w:rFonts w:ascii="Arial" w:cs="Arial" w:eastAsia="Arial" w:hAnsi="Arial"/>
                <w:sz w:val="14"/>
                <w:szCs w:val="14"/>
                <w:b w:val="1"/>
                <w:bCs w:val="1"/>
                <w:color w:val="auto"/>
              </w:rPr>
              <w:t>Nine Months Ended September 30, 2022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368"/>
              <w:spacing w:after="0" w:line="133"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tcPr>
          <w:p>
            <w:pPr>
              <w:jc w:val="center"/>
              <w:ind w:right="348"/>
              <w:spacing w:after="0" w:line="158"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3"/>
                <w:szCs w:val="13"/>
                <w:color w:val="auto"/>
              </w:rPr>
            </w:pPr>
          </w:p>
        </w:tc>
        <w:tc>
          <w:tcPr>
            <w:tcW w:w="1300" w:type="dxa"/>
            <w:vAlign w:val="bottom"/>
            <w:gridSpan w:val="4"/>
          </w:tcPr>
          <w:p>
            <w:pPr>
              <w:jc w:val="right"/>
              <w:ind w:right="288"/>
              <w:spacing w:after="0" w:line="158"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rPr>
              <w:t>Income (Loss)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December 31, 2021</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658</w:t>
            </w:r>
          </w:p>
        </w:tc>
        <w:tc>
          <w:tcPr>
            <w:tcW w:w="220" w:type="dxa"/>
            <w:vAlign w:val="bottom"/>
            <w:shd w:val="clear" w:color="auto" w:fill="CFF0FC"/>
          </w:tcPr>
          <w:p>
            <w:pPr>
              <w:spacing w:after="0"/>
              <w:rPr>
                <w:sz w:val="14"/>
                <w:szCs w:val="14"/>
                <w:color w:val="auto"/>
              </w:rPr>
            </w:pPr>
          </w:p>
        </w:tc>
        <w:tc>
          <w:tcPr>
            <w:tcW w:w="520" w:type="dxa"/>
            <w:vAlign w:val="bottom"/>
            <w:tcBorders>
              <w:top w:val="single" w:sz="8" w:color="auto"/>
            </w:tcBorders>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3,360</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(2,545</w:t>
            </w:r>
          </w:p>
        </w:tc>
        <w:tc>
          <w:tcPr>
            <w:tcW w:w="2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560" w:type="dxa"/>
            <w:vAlign w:val="bottom"/>
          </w:tcPr>
          <w:p>
            <w:pPr>
              <w:ind w:left="200"/>
              <w:spacing w:after="0" w:line="139" w:lineRule="exact"/>
              <w:rPr>
                <w:sz w:val="20"/>
                <w:szCs w:val="20"/>
                <w:color w:val="auto"/>
              </w:rPr>
            </w:pPr>
            <w:r>
              <w:rPr>
                <w:rFonts w:ascii="Arial" w:cs="Arial" w:eastAsia="Arial" w:hAnsi="Arial"/>
                <w:sz w:val="14"/>
                <w:szCs w:val="14"/>
                <w:color w:val="auto"/>
              </w:rPr>
              <w:t>Issuance of common stock upon exercise of options</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vMerge w:val="restart"/>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restart"/>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rPr>
                <w:sz w:val="20"/>
                <w:szCs w:val="20"/>
                <w:color w:val="auto"/>
              </w:rPr>
            </w:pPr>
            <w:r>
              <w:rPr>
                <w:rFonts w:ascii="Arial" w:cs="Arial" w:eastAsia="Arial" w:hAnsi="Arial"/>
                <w:sz w:val="14"/>
                <w:szCs w:val="14"/>
                <w:color w:val="auto"/>
              </w:rPr>
              <w:t>for cash</w:t>
            </w: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6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Issuance of common stock upon settlement of</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gridSpan w:val="2"/>
            <w:vMerge w:val="restart"/>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80" w:type="dxa"/>
            <w:vAlign w:val="bottom"/>
            <w:gridSpan w:val="3"/>
            <w:vMerge w:val="restart"/>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8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(10 )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3"/>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3"/>
            <w:shd w:val="clear" w:color="auto" w:fill="CFF0FC"/>
          </w:tcPr>
          <w:p>
            <w:pPr>
              <w:jc w:val="right"/>
              <w:ind w:right="88"/>
              <w:spacing w:after="0"/>
              <w:rPr>
                <w:sz w:val="20"/>
                <w:szCs w:val="20"/>
                <w:color w:val="auto"/>
              </w:rPr>
            </w:pPr>
            <w:r>
              <w:rPr>
                <w:rFonts w:ascii="Arial" w:cs="Arial" w:eastAsia="Arial" w:hAnsi="Arial"/>
                <w:sz w:val="14"/>
                <w:szCs w:val="14"/>
                <w:color w:val="auto"/>
              </w:rPr>
              <w:t>(14 )</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76"/>
        </w:trPr>
        <w:tc>
          <w:tcPr>
            <w:tcW w:w="35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68"/>
              <w:spacing w:after="0"/>
              <w:rPr>
                <w:sz w:val="20"/>
                <w:szCs w:val="20"/>
                <w:color w:val="auto"/>
              </w:rPr>
            </w:pPr>
            <w:r>
              <w:rPr>
                <w:rFonts w:ascii="Arial" w:cs="Arial" w:eastAsia="Arial" w:hAnsi="Arial"/>
                <w:sz w:val="14"/>
                <w:szCs w:val="14"/>
                <w:color w:val="auto"/>
              </w:rPr>
              <w:t>(274 )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(274 )</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Balances as of September 30, 2022</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675</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FF0FC"/>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w w:val="99"/>
              </w:rPr>
              <w:t>—</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3,404</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220" w:type="dxa"/>
            <w:vAlign w:val="bottom"/>
            <w:tcBorders>
              <w:bottom w:val="single" w:sz="8" w:color="CFF0FC"/>
            </w:tcBorders>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(2,819</w:t>
            </w:r>
          </w:p>
        </w:tc>
        <w:tc>
          <w:tcPr>
            <w:tcW w:w="200" w:type="dxa"/>
            <w:vAlign w:val="bottom"/>
            <w:tcBorders>
              <w:bottom w:val="single" w:sz="8" w:color="CFF0FC"/>
            </w:tcBorders>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-1936750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-1919605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-1936750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-1919605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-1936750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-1919605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-1936750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-1919605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-1936750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-1919605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-1936750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-1919605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21" w:right="49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millions)</w:t>
      </w:r>
    </w:p>
    <w:p>
      <w:pPr>
        <w:ind w:left="5060"/>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13"/>
          </w:tcPr>
          <w:p>
            <w:pPr>
              <w:jc w:val="center"/>
              <w:ind w:right="588"/>
              <w:spacing w:after="0"/>
              <w:rPr>
                <w:sz w:val="20"/>
                <w:szCs w:val="20"/>
                <w:color w:val="auto"/>
              </w:rPr>
            </w:pPr>
            <w:r>
              <w:rPr>
                <w:rFonts w:ascii="Arial" w:cs="Arial" w:eastAsia="Arial" w:hAnsi="Arial"/>
                <w:sz w:val="14"/>
                <w:szCs w:val="14"/>
                <w:b w:val="1"/>
                <w:bCs w:val="1"/>
                <w:color w:val="auto"/>
              </w:rPr>
              <w:t>Three Months Ended September 30, 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5"/>
          </w:tcPr>
          <w:p>
            <w:pPr>
              <w:jc w:val="center"/>
              <w:ind w:right="240"/>
              <w:spacing w:after="0" w:line="133"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980" w:type="dxa"/>
            <w:vAlign w:val="bottom"/>
            <w:gridSpan w:val="4"/>
          </w:tcPr>
          <w:p>
            <w:pPr>
              <w:jc w:val="center"/>
              <w:ind w:right="340"/>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12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32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Balances as of June 30, 2021</w:t>
            </w:r>
          </w:p>
        </w:tc>
        <w:tc>
          <w:tcPr>
            <w:tcW w:w="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627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tcBorders>
              <w:top w:val="single" w:sz="8" w:color="auto"/>
            </w:tcBorders>
            <w:gridSpan w:val="2"/>
            <w:shd w:val="clear" w:color="auto" w:fill="CFF0FC"/>
          </w:tcPr>
          <w:p>
            <w:pPr>
              <w:jc w:val="center"/>
              <w:ind w:right="40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74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Issuance of common stock upon exercise of options</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for cash</w:t>
            </w: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40" w:type="dxa"/>
            <w:vAlign w:val="bottom"/>
            <w:gridSpan w:val="2"/>
            <w:shd w:val="clear" w:color="auto" w:fill="CFF0FC"/>
          </w:tcPr>
          <w:p>
            <w:pPr>
              <w:ind w:left="180"/>
              <w:spacing w:after="0" w:line="139" w:lineRule="exact"/>
              <w:rPr>
                <w:sz w:val="20"/>
                <w:szCs w:val="20"/>
                <w:color w:val="auto"/>
              </w:rPr>
            </w:pPr>
            <w:r>
              <w:rPr>
                <w:rFonts w:ascii="Arial" w:cs="Arial" w:eastAsia="Arial" w:hAnsi="Arial"/>
                <w:sz w:val="14"/>
                <w:szCs w:val="14"/>
                <w:color w:val="auto"/>
              </w:rPr>
              <w:t>Issuance of common stock upon settlement of</w:t>
            </w:r>
          </w:p>
        </w:tc>
        <w:tc>
          <w:tcPr>
            <w:tcW w:w="5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restricted stock units</w:t>
            </w:r>
          </w:p>
        </w:tc>
        <w:tc>
          <w:tcPr>
            <w:tcW w:w="5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3"/>
          </w:tcPr>
          <w:p>
            <w:pPr>
              <w:jc w:val="right"/>
              <w:ind w:righ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Other comprehensive gain, net</w:t>
            </w:r>
          </w:p>
        </w:tc>
        <w:tc>
          <w:tcPr>
            <w:tcW w:w="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as of September 30, 2021</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635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FF0FC"/>
          </w:tcPr>
          <w:p>
            <w:pPr>
              <w:jc w:val="center"/>
              <w:ind w:right="40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(2,487</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3"/>
          </w:tcPr>
          <w:p>
            <w:pPr>
              <w:jc w:val="right"/>
              <w:ind w:right="868"/>
              <w:spacing w:after="0"/>
              <w:rPr>
                <w:sz w:val="20"/>
                <w:szCs w:val="20"/>
                <w:color w:val="auto"/>
              </w:rPr>
            </w:pPr>
            <w:r>
              <w:rPr>
                <w:rFonts w:ascii="Arial" w:cs="Arial" w:eastAsia="Arial" w:hAnsi="Arial"/>
                <w:sz w:val="14"/>
                <w:szCs w:val="14"/>
                <w:b w:val="1"/>
                <w:bCs w:val="1"/>
                <w:color w:val="auto"/>
              </w:rPr>
              <w:t>Nine Months Ended September 30, 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Borders>
              <w:bottom w:val="single" w:sz="8" w:color="auto"/>
            </w:tcBorders>
            <w:gridSpan w:val="5"/>
          </w:tcPr>
          <w:p>
            <w:pPr>
              <w:jc w:val="center"/>
              <w:ind w:left="1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60"/>
              <w:spacing w:after="0" w:line="133"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8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right"/>
              <w:ind w:right="168"/>
              <w:spacing w:after="0" w:line="15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Balances as of December 31, 2020</w:t>
            </w:r>
          </w:p>
        </w:tc>
        <w:tc>
          <w:tcPr>
            <w:tcW w:w="40" w:type="dxa"/>
            <w:vAlign w:val="bottom"/>
            <w:shd w:val="clear" w:color="auto" w:fill="CFF0FC"/>
          </w:tcPr>
          <w:p>
            <w:pPr>
              <w:spacing w:after="0"/>
              <w:rPr>
                <w:sz w:val="14"/>
                <w:szCs w:val="14"/>
                <w:color w:val="auto"/>
              </w:rPr>
            </w:pPr>
          </w:p>
        </w:tc>
        <w:tc>
          <w:tcPr>
            <w:tcW w:w="5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587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3,210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74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Issuance of common stock upon exercise of options for</w:t>
            </w: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cash</w:t>
            </w:r>
          </w:p>
        </w:tc>
        <w:tc>
          <w:tcPr>
            <w:tcW w:w="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40" w:type="dxa"/>
            <w:vAlign w:val="bottom"/>
            <w:gridSpan w:val="2"/>
            <w:shd w:val="clear" w:color="auto" w:fill="CFF0FC"/>
          </w:tcPr>
          <w:p>
            <w:pPr>
              <w:ind w:left="180"/>
              <w:spacing w:after="0" w:line="139" w:lineRule="exact"/>
              <w:rPr>
                <w:sz w:val="20"/>
                <w:szCs w:val="20"/>
                <w:color w:val="auto"/>
              </w:rPr>
            </w:pPr>
            <w:r>
              <w:rPr>
                <w:rFonts w:ascii="Arial" w:cs="Arial" w:eastAsia="Arial" w:hAnsi="Arial"/>
                <w:sz w:val="14"/>
                <w:szCs w:val="14"/>
                <w:color w:val="auto"/>
              </w:rPr>
              <w:t>Issuance of common stock upon settlement of restricted</w:t>
            </w:r>
          </w:p>
        </w:tc>
        <w:tc>
          <w:tcPr>
            <w:tcW w:w="6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0" w:type="dxa"/>
            <w:vAlign w:val="bottom"/>
            <w:gridSpan w:val="3"/>
            <w:vMerge w:val="restart"/>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5"/>
        </w:trPr>
        <w:tc>
          <w:tcPr>
            <w:tcW w:w="37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stock units</w:t>
            </w:r>
          </w:p>
        </w:tc>
        <w:tc>
          <w:tcPr>
            <w:tcW w:w="620" w:type="dxa"/>
            <w:vAlign w:val="bottom"/>
            <w:gridSpan w:val="3"/>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Net exercises of common stock warrant</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Issuance of common stock through ESPP</w:t>
            </w: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0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Other comprehensive loss, net</w:t>
            </w:r>
          </w:p>
        </w:tc>
        <w:tc>
          <w:tcPr>
            <w:tcW w:w="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0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(303 )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(303 )</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Balances as of September 30, 2021</w:t>
            </w: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635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3,315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(2,487</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-1962785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-1945005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-1962785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-1945005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-1962785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-1945005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-1962785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-1945005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-1962785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-1945005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-1962785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-1945005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25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8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(274 )</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(303 )</w:t>
            </w: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Noncash inventory write downs</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lease assets, property, and equipment</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(3 )</w:t>
            </w: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Funds receivable</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Prepaid expenses, other current and noncurrent assets</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(10 )</w:t>
            </w: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(364 )</w:t>
            </w: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Merchants payable</w:t>
            </w:r>
          </w:p>
        </w:tc>
        <w:tc>
          <w:tcPr>
            <w:tcW w:w="8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(64 )</w:t>
            </w:r>
          </w:p>
        </w:tc>
        <w:tc>
          <w:tcPr>
            <w:tcW w:w="9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(238 )</w:t>
            </w: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and refund liabilities</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(36 )</w:t>
            </w: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(181 )</w:t>
            </w: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Lease liabilities</w:t>
            </w:r>
          </w:p>
        </w:tc>
        <w:tc>
          <w:tcPr>
            <w:tcW w:w="8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(6 )</w:t>
            </w:r>
          </w:p>
        </w:tc>
        <w:tc>
          <w:tcPr>
            <w:tcW w:w="9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(3 )</w:t>
            </w: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(24 )</w:t>
            </w:r>
          </w:p>
        </w:tc>
      </w:tr>
      <w:tr>
        <w:trPr>
          <w:trHeight w:val="20"/>
        </w:trPr>
        <w:tc>
          <w:tcPr>
            <w:tcW w:w="8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8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(313 )</w:t>
            </w:r>
          </w:p>
        </w:tc>
        <w:tc>
          <w:tcPr>
            <w:tcW w:w="9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(902 )</w:t>
            </w:r>
          </w:p>
        </w:tc>
      </w:tr>
      <w:tr>
        <w:trPr>
          <w:trHeight w:val="203"/>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Purchases of property and equipment and development of internal-use software</w:t>
            </w:r>
          </w:p>
        </w:tc>
        <w:tc>
          <w:tcPr>
            <w:tcW w:w="8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(2 )</w:t>
            </w:r>
          </w:p>
        </w:tc>
        <w:tc>
          <w:tcPr>
            <w:tcW w:w="9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marketable securities</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(303 )</w:t>
            </w: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(235 )</w:t>
            </w: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Sales of marketable securities</w:t>
            </w:r>
          </w:p>
        </w:tc>
        <w:tc>
          <w:tcPr>
            <w:tcW w:w="880" w:type="dxa"/>
            <w:vAlign w:val="bottom"/>
          </w:tcPr>
          <w:p>
            <w:pPr>
              <w:spacing w:after="0"/>
              <w:rPr>
                <w:sz w:val="17"/>
                <w:szCs w:val="17"/>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Maturities of marketable securities</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8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common stock through employee equity incentive plans</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6"/>
                <w:szCs w:val="16"/>
                <w:color w:val="auto"/>
              </w:rPr>
              <w:t>Payment of taxes related to RSU settlement</w:t>
            </w:r>
          </w:p>
        </w:tc>
        <w:tc>
          <w:tcPr>
            <w:tcW w:w="8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(10 )</w:t>
            </w:r>
          </w:p>
        </w:tc>
        <w:tc>
          <w:tcPr>
            <w:tcW w:w="9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r>
      <w:tr>
        <w:trPr>
          <w:trHeight w:val="203"/>
        </w:trPr>
        <w:tc>
          <w:tcPr>
            <w:tcW w:w="8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r>
      <w:tr>
        <w:trPr>
          <w:trHeight w:val="20"/>
        </w:trPr>
        <w:tc>
          <w:tcPr>
            <w:tcW w:w="8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8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(9 )</w:t>
            </w:r>
          </w:p>
        </w:tc>
        <w:tc>
          <w:tcPr>
            <w:tcW w:w="92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effects on cash, cash equivalents and restricted cash</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(17 )</w:t>
            </w:r>
          </w:p>
        </w:tc>
        <w:tc>
          <w:tcPr>
            <w:tcW w:w="9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8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8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6"/>
                <w:szCs w:val="16"/>
                <w:color w:val="auto"/>
              </w:rPr>
              <w:t>(424 )</w:t>
            </w:r>
          </w:p>
        </w:tc>
        <w:tc>
          <w:tcPr>
            <w:tcW w:w="9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(886 )</w:t>
            </w:r>
          </w:p>
        </w:tc>
      </w:tr>
      <w:tr>
        <w:trPr>
          <w:trHeight w:val="203"/>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8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160" w:type="dxa"/>
            <w:vAlign w:val="bottom"/>
            <w:shd w:val="clear" w:color="auto" w:fill="CFF0FC"/>
          </w:tcPr>
          <w:p>
            <w:pPr>
              <w:ind w:left="20"/>
              <w:spacing w:after="0" w:line="129" w:lineRule="exact"/>
              <w:rPr>
                <w:sz w:val="20"/>
                <w:szCs w:val="20"/>
                <w:color w:val="auto"/>
              </w:rPr>
            </w:pPr>
            <w:r>
              <w:rPr>
                <w:rFonts w:ascii="Arial" w:cs="Arial" w:eastAsia="Arial" w:hAnsi="Arial"/>
                <w:sz w:val="14"/>
                <w:szCs w:val="14"/>
                <w:b w:val="1"/>
                <w:bCs w:val="1"/>
                <w:color w:val="auto"/>
              </w:rPr>
              <w:t>Reconciliation of cash, cash equivalents, and restricted cash to the condensed consolidated balance</w:t>
            </w:r>
          </w:p>
        </w:tc>
        <w:tc>
          <w:tcPr>
            <w:tcW w:w="8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16"/>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sheets: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587</w:t>
            </w:r>
          </w:p>
        </w:tc>
        <w:tc>
          <w:tcPr>
            <w:tcW w:w="260" w:type="dxa"/>
            <w:vAlign w:val="bottom"/>
          </w:tcPr>
          <w:p>
            <w:pPr>
              <w:spacing w:after="0"/>
              <w:rPr>
                <w:sz w:val="17"/>
                <w:szCs w:val="17"/>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17"/>
                <w:szCs w:val="17"/>
                <w:color w:val="auto"/>
              </w:rPr>
            </w:pPr>
          </w:p>
        </w:tc>
      </w:tr>
      <w:tr>
        <w:trPr>
          <w:trHeight w:val="203"/>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cash included in prepaid and other current assets in the condensed consolidated balance sheets</w:t>
            </w:r>
          </w:p>
        </w:tc>
        <w:tc>
          <w:tcPr>
            <w:tcW w:w="8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5"/>
        </w:trPr>
        <w:tc>
          <w:tcPr>
            <w:tcW w:w="8160" w:type="dxa"/>
            <w:vAlign w:val="bottom"/>
          </w:tcPr>
          <w:p>
            <w:pPr>
              <w:ind w:left="200"/>
              <w:spacing w:after="0"/>
              <w:rPr>
                <w:sz w:val="20"/>
                <w:szCs w:val="20"/>
                <w:color w:val="auto"/>
              </w:rPr>
            </w:pPr>
            <w:r>
              <w:rPr>
                <w:rFonts w:ascii="Arial" w:cs="Arial" w:eastAsia="Arial" w:hAnsi="Arial"/>
                <w:sz w:val="16"/>
                <w:szCs w:val="16"/>
                <w:color w:val="auto"/>
              </w:rPr>
              <w:t>Cash paid for income taxes, net of refunds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-3170555</wp:posOffset>
            </wp:positionV>
            <wp:extent cx="6858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-3170555</wp:posOffset>
            </wp:positionV>
            <wp:extent cx="685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-1610360</wp:posOffset>
            </wp:positionV>
            <wp:extent cx="685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-1610360</wp:posOffset>
            </wp:positionV>
            <wp:extent cx="6858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-1344295</wp:posOffset>
            </wp:positionV>
            <wp:extent cx="6858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-1344295</wp:posOffset>
            </wp:positionV>
            <wp:extent cx="6858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-1078865</wp:posOffset>
            </wp:positionV>
            <wp:extent cx="6858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-1078865</wp:posOffset>
            </wp:positionV>
            <wp:extent cx="6858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-427355</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158"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ContextLogic Inc. (“Wish” or the “Company”) is an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08" w:lineRule="exact"/>
        <w:rPr>
          <w:sz w:val="20"/>
          <w:szCs w:val="20"/>
          <w:color w:val="auto"/>
        </w:rPr>
      </w:pPr>
    </w:p>
    <w:p>
      <w:pPr>
        <w:jc w:val="both"/>
        <w:ind w:right="20" w:firstLine="636"/>
        <w:spacing w:after="0" w:line="287"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additional operations in Canada, China and the Netherlands.</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Class B Common Stock Conversion</w:t>
      </w:r>
    </w:p>
    <w:p>
      <w:pPr>
        <w:spacing w:after="0" w:line="15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On August 4, 2022, Piotr Szulczewski provided notice of his intention to resign as a member of the Company's Board, effective August 9, 2022. In tandem with his resignation notice, Mr. Szulczewski submitted a conversion notice to convert (the “Conversion”) all shares of Class B common stock of the Company he held into the same number of shares of Class A common stock of the Company, also effective August 9, 2022. The Class B common stock was entitled to twenty votes per share and the Class A common stock is entitled to one vote per share.</w:t>
      </w:r>
    </w:p>
    <w:p>
      <w:pPr>
        <w:spacing w:after="0" w:line="136" w:lineRule="exact"/>
        <w:rPr>
          <w:sz w:val="20"/>
          <w:szCs w:val="20"/>
          <w:color w:val="auto"/>
        </w:rPr>
      </w:pPr>
    </w:p>
    <w:p>
      <w:pPr>
        <w:jc w:val="both"/>
        <w:ind w:firstLine="599"/>
        <w:spacing w:after="0" w:line="245" w:lineRule="auto"/>
        <w:rPr>
          <w:sz w:val="20"/>
          <w:szCs w:val="20"/>
          <w:color w:val="auto"/>
        </w:rPr>
      </w:pPr>
      <w:r>
        <w:rPr>
          <w:rFonts w:ascii="Arial" w:cs="Arial" w:eastAsia="Arial" w:hAnsi="Arial"/>
          <w:sz w:val="18"/>
          <w:szCs w:val="18"/>
          <w:color w:val="auto"/>
        </w:rPr>
        <w:t>In accordance with the Company’s Amended and Restated Certificate of Incorporation (the “Certificate of Incorporation”), as the remaining outstanding shares of Class B common stock represented less than five percent (5%) of the aggregate number of outstanding shares of Class A common stock and Class B common stock outstanding after the Conversion, all remaining shares of Class B common stock were automatically converted into Class A common stock immediately following the Conversion on a one-to-one basis and no further Class B common stock will be issued. Additionally, all shares issuable pursuant to outstanding awards under the Company’s 2010 Stock Plan will be issuable for Class A common stock.</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financial data as of September 30, 2022 and for the three and nine months ended September 30, 2022 and 2021 is unaudited. In the opinion of management, the interim financial data includes all adjustments, consisting only of normal recurring adjustments, necessary to a fair statement of the results for the interim periods. The consolidated balance sheet as of December 31, 2021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2021, which was filed with the SEC on March 14, 2022 (the “2021 Form 10-K”).</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 As of September 30, 2022,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69"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The Company manages its operations and allocates resources as a single operating segment. The Company’s chief operating decision-maker is its interim Chief Executive Officer (“CEO”) who makes operating decisions, assesses financial performance and allocates resources based on condensed consolidated financial information. As such, the Company has determined that it operates in one reportable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56" w:lineRule="exact"/>
        <w:rPr>
          <w:sz w:val="20"/>
          <w:szCs w:val="20"/>
          <w:color w:val="auto"/>
        </w:rPr>
      </w:pPr>
    </w:p>
    <w:p>
      <w:pPr>
        <w:jc w:val="both"/>
        <w:ind w:right="80" w:firstLine="636"/>
        <w:spacing w:after="0" w:line="237"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and marketable securities. The Company’s cash and cash equivalents are held on deposit with</w:t>
      </w:r>
    </w:p>
    <w:p>
      <w:pPr>
        <w:spacing w:after="0" w:line="235" w:lineRule="auto"/>
        <w:rPr>
          <w:sz w:val="20"/>
          <w:szCs w:val="20"/>
          <w:color w:val="auto"/>
        </w:rPr>
      </w:pPr>
      <w:r>
        <w:rPr>
          <w:rFonts w:ascii="Arial" w:cs="Arial" w:eastAsia="Arial" w:hAnsi="Arial"/>
          <w:sz w:val="18"/>
          <w:szCs w:val="18"/>
          <w:color w:val="auto"/>
        </w:rPr>
        <w:t>creditworthy institutions. Although the Company’s deposits exceed federally insured limits, the Company has not experienced any losses in</w:t>
      </w:r>
    </w:p>
    <w:p>
      <w:pPr>
        <w:spacing w:after="0" w:line="1"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such accounts. The Company invests its excess cash in money market accounts, U.S. Treasury notes, U.S. Treasury bills, commercial paper, corporate bonds, and non-U.S. government securities. The Company is exposed to credit risk in the event of a default by the financial</w:t>
      </w:r>
    </w:p>
    <w:p>
      <w:pPr>
        <w:spacing w:after="0" w:line="236" w:lineRule="auto"/>
        <w:rPr>
          <w:sz w:val="20"/>
          <w:szCs w:val="20"/>
          <w:color w:val="auto"/>
        </w:rPr>
      </w:pPr>
      <w:r>
        <w:rPr>
          <w:rFonts w:ascii="Arial" w:cs="Arial" w:eastAsia="Arial" w:hAnsi="Arial"/>
          <w:sz w:val="18"/>
          <w:szCs w:val="18"/>
          <w:color w:val="auto"/>
        </w:rPr>
        <w:t>institutions holding its cash, cash equivalents and marketable securities for the amounts reflected on the condensed consolidated balance</w:t>
      </w:r>
    </w:p>
    <w:p>
      <w:pPr>
        <w:spacing w:after="0" w:line="1"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127" w:lineRule="exact"/>
        <w:rPr>
          <w:sz w:val="20"/>
          <w:szCs w:val="20"/>
          <w:color w:val="auto"/>
        </w:rPr>
      </w:pPr>
    </w:p>
    <w:p>
      <w:pPr>
        <w:jc w:val="both"/>
        <w:ind w:right="60" w:firstLine="636"/>
        <w:spacing w:after="0" w:line="245"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w:t>
      </w:r>
    </w:p>
    <w:p>
      <w:pPr>
        <w:jc w:val="both"/>
        <w:ind w:right="60"/>
        <w:spacing w:after="0" w:line="237" w:lineRule="auto"/>
        <w:rPr>
          <w:sz w:val="20"/>
          <w:szCs w:val="20"/>
          <w:color w:val="auto"/>
        </w:rPr>
      </w:pPr>
      <w:r>
        <w:rPr>
          <w:rFonts w:ascii="Arial" w:cs="Arial" w:eastAsia="Arial" w:hAnsi="Arial"/>
          <w:sz w:val="18"/>
          <w:szCs w:val="18"/>
          <w:color w:val="auto"/>
        </w:rPr>
        <w:t>balance in these accounts represented approximately 19% and 15% of the Company’s total cash and cash equivalents as of September 30, 2022 and December 31, 2021, respectively.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w:t>
      </w:r>
    </w:p>
    <w:p>
      <w:pPr>
        <w:spacing w:after="0" w:line="14"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w:t>
      </w:r>
    </w:p>
    <w:p>
      <w:pPr>
        <w:spacing w:after="0" w:line="2"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on a monthly basis. The Company is not required to pledge, nor is it entitled to receive, collateral related to its foreign exchange derivative transactions.</w:t>
      </w:r>
    </w:p>
    <w:p>
      <w:pPr>
        <w:spacing w:after="0" w:line="104" w:lineRule="exact"/>
        <w:rPr>
          <w:sz w:val="20"/>
          <w:szCs w:val="20"/>
          <w:color w:val="auto"/>
        </w:rPr>
      </w:pPr>
    </w:p>
    <w:p>
      <w:pPr>
        <w:jc w:val="both"/>
        <w:ind w:right="80" w:firstLine="636"/>
        <w:spacing w:after="0" w:line="253" w:lineRule="auto"/>
        <w:rPr>
          <w:sz w:val="20"/>
          <w:szCs w:val="20"/>
          <w:color w:val="auto"/>
        </w:rPr>
      </w:pPr>
      <w:r>
        <w:rPr>
          <w:rFonts w:ascii="Arial" w:cs="Arial" w:eastAsia="Arial" w:hAnsi="Arial"/>
          <w:sz w:val="18"/>
          <w:szCs w:val="18"/>
          <w:color w:val="auto"/>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89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191"/>
        </w:trPr>
        <w:tc>
          <w:tcPr>
            <w:tcW w:w="7320" w:type="dxa"/>
            <w:vAlign w:val="bottom"/>
          </w:tcPr>
          <w:p>
            <w:pPr>
              <w:ind w:left="20"/>
              <w:spacing w:after="0" w:line="191" w:lineRule="exact"/>
              <w:rPr>
                <w:sz w:val="20"/>
                <w:szCs w:val="20"/>
                <w:color w:val="auto"/>
              </w:rPr>
            </w:pPr>
            <w:r>
              <w:rPr>
                <w:rFonts w:ascii="Arial" w:cs="Arial" w:eastAsia="Arial" w:hAnsi="Arial"/>
                <w:sz w:val="18"/>
                <w:szCs w:val="18"/>
                <w:color w:val="auto"/>
              </w:rPr>
              <w:t>PSP 1</w:t>
            </w:r>
          </w:p>
        </w:tc>
        <w:tc>
          <w:tcPr>
            <w:tcW w:w="16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53</w:t>
            </w:r>
          </w:p>
        </w:tc>
        <w:tc>
          <w:tcPr>
            <w:tcW w:w="240" w:type="dxa"/>
            <w:vAlign w:val="bottom"/>
          </w:tcPr>
          <w:p>
            <w:pPr>
              <w:jc w:val="right"/>
              <w:spacing w:after="0" w:line="191"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62</w:t>
            </w:r>
          </w:p>
        </w:tc>
        <w:tc>
          <w:tcPr>
            <w:tcW w:w="160" w:type="dxa"/>
            <w:vAlign w:val="bottom"/>
          </w:tcPr>
          <w:p>
            <w:pPr>
              <w:jc w:val="right"/>
              <w:spacing w:after="0" w:line="191" w:lineRule="exact"/>
              <w:rPr>
                <w:sz w:val="20"/>
                <w:szCs w:val="20"/>
                <w:color w:val="auto"/>
              </w:rPr>
            </w:pPr>
            <w:r>
              <w:rPr>
                <w:rFonts w:ascii="Arial" w:cs="Arial" w:eastAsia="Arial" w:hAnsi="Arial"/>
                <w:sz w:val="18"/>
                <w:szCs w:val="18"/>
                <w:color w:val="auto"/>
                <w:w w:val="87"/>
              </w:rPr>
              <w:t>%</w:t>
            </w:r>
          </w:p>
        </w:tc>
      </w:tr>
      <w:tr>
        <w:trPr>
          <w:trHeight w:val="239"/>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PSP 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6"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service could be significantly interrupted, resulting in an adverse effect on its operating results and financial position. No significant interruptions of service were known to have occurred during the three and nine months ended September 30, 2022 and 2021.</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42"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There have been no changes to the Company’s significant accounting policies described in its 2021 Form 10-K, filed with the SEC on March 14, 2022, that have had a material impact on its condensed consolidated financial statements.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42"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condensed consolidated financial statements as a result of future adoption.</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7"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generates revenue from marketplace and logistics services provided to its customers. Revenue is recognized as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 transfers control of promised goods or services to its customers in an amount that reflects the consideration the Company expects to be entitled to in exchange for those goods or services. The Company considers both the merchant and the user to be customers. The</w:t>
      </w:r>
    </w:p>
    <w:p>
      <w:pPr>
        <w:spacing w:after="0" w:line="236" w:lineRule="auto"/>
        <w:rPr>
          <w:sz w:val="20"/>
          <w:szCs w:val="20"/>
          <w:color w:val="auto"/>
        </w:rPr>
      </w:pPr>
      <w:r>
        <w:rPr>
          <w:rFonts w:ascii="Arial" w:cs="Arial" w:eastAsia="Arial" w:hAnsi="Arial"/>
          <w:sz w:val="18"/>
          <w:szCs w:val="18"/>
          <w:color w:val="auto"/>
        </w:rPr>
        <w:t>Company evaluates whether it is appropriate to recognize revenue on a gross or net basis based upon its evaluation of whether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 obtains control of the specified goods or services by considering if it is primarily responsible for fulfillment of the promise, has inventory risk and has latitude in establishing pricing and selecting suppliers, among other factors. Based on these factors, marketplace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revenue is generally recognized on a net basis and logistics revenue is generally recognized on a gross basis. Revenue excludes any amounts collected on behalf of third parties, including indirect taxes.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Marketplace Revenue</w:t>
      </w:r>
    </w:p>
    <w:p>
      <w:pPr>
        <w:spacing w:after="0" w:line="142"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spacing w:after="0" w:line="10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user location, demand, product type, and dynamic pricing. The Company recognizes</w:t>
      </w:r>
    </w:p>
    <w:p>
      <w:pPr>
        <w:jc w:val="both"/>
        <w:spacing w:after="0" w:line="226" w:lineRule="auto"/>
        <w:rPr>
          <w:sz w:val="20"/>
          <w:szCs w:val="20"/>
          <w:color w:val="auto"/>
        </w:rPr>
      </w:pPr>
      <w:r>
        <w:rPr>
          <w:rFonts w:ascii="Arial" w:cs="Arial" w:eastAsia="Arial" w:hAnsi="Arial"/>
          <w:sz w:val="18"/>
          <w:szCs w:val="18"/>
          <w:color w:val="auto"/>
        </w:rPr>
        <w:t>revenue when a user’s order is processed and the related order information has been made available to the merchant. Commission fees are recognized net of estimated refunds and chargebacks. Marketplace revenue also includes ProductBoost revenue for displaying a merchant’s</w:t>
      </w:r>
    </w:p>
    <w:p>
      <w:pPr>
        <w:spacing w:after="0" w:line="236" w:lineRule="auto"/>
        <w:rPr>
          <w:sz w:val="20"/>
          <w:szCs w:val="20"/>
          <w:color w:val="auto"/>
        </w:rPr>
      </w:pPr>
      <w:r>
        <w:rPr>
          <w:rFonts w:ascii="Arial" w:cs="Arial" w:eastAsia="Arial" w:hAnsi="Arial"/>
          <w:sz w:val="18"/>
          <w:szCs w:val="18"/>
          <w:color w:val="auto"/>
        </w:rPr>
        <w:t>selected products in preferential locations within the Company’s marketplace. Effective May 2022, the Company recognizes revenue based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the number of actions, such as clicks, on the merchant’s product listing. Prior to the transition, the Company recognized revenue when the merchants’ selected products were displayed. The Company refers to its marketplace revenue, excluding ProductBoost revenue, as its core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08"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8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5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Core marketplace revenue</w:t>
            </w: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184</w:t>
            </w:r>
          </w:p>
        </w:tc>
        <w:tc>
          <w:tcPr>
            <w:tcW w:w="12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1,038</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ProductBoost revenue</w:t>
            </w: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w:t>
            </w: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220</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1,175</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Logistics revenue</w:t>
            </w: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228</w:t>
            </w:r>
          </w:p>
        </w:tc>
        <w:tc>
          <w:tcPr>
            <w:tcW w:w="3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4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448</w:t>
            </w:r>
          </w:p>
        </w:tc>
        <w:tc>
          <w:tcPr>
            <w:tcW w:w="3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Geographical Information for the disaggregated revenue by geographical location.</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7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23"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16" w:lineRule="exact"/>
        <w:rPr>
          <w:sz w:val="20"/>
          <w:szCs w:val="20"/>
          <w:color w:val="auto"/>
        </w:rPr>
      </w:pPr>
    </w:p>
    <w:p>
      <w:pPr>
        <w:jc w:val="both"/>
        <w:ind w:firstLine="644"/>
        <w:spacing w:after="0" w:line="287"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 2022</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w w:val="99"/>
              </w:rPr>
              <w:t>(in millions)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1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200</w:t>
            </w:r>
          </w:p>
        </w:tc>
        <w:tc>
          <w:tcPr>
            <w:tcW w:w="11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200</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Non-U.S. government</w:t>
            </w:r>
          </w:p>
        </w:tc>
        <w:tc>
          <w:tcPr>
            <w:tcW w:w="7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1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and other current assets:</w:t>
            </w:r>
          </w:p>
        </w:tc>
        <w:tc>
          <w:tcPr>
            <w:tcW w:w="7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financial assets</w:t>
            </w: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295</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253</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8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financial liabilities</w:t>
            </w: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-1182370</wp:posOffset>
            </wp:positionV>
            <wp:extent cx="7747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-1182370</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-1182370</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-607695</wp:posOffset>
            </wp:positionV>
            <wp:extent cx="2751455"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51455" cy="16256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7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250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250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1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Non-U.S. government</w:t>
            </w:r>
          </w:p>
        </w:tc>
        <w:tc>
          <w:tcPr>
            <w:tcW w:w="17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250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11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0"/>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and other current assets:</w:t>
            </w:r>
          </w:p>
        </w:tc>
        <w:tc>
          <w:tcPr>
            <w:tcW w:w="17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50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41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financial assets</w:t>
            </w:r>
          </w:p>
        </w:tc>
        <w:tc>
          <w:tcPr>
            <w:tcW w:w="17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184</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7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50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41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financial liabilities</w:t>
            </w:r>
          </w:p>
        </w:tc>
        <w:tc>
          <w:tcPr>
            <w:tcW w:w="17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32"/>
        </w:trPr>
        <w:tc>
          <w:tcPr>
            <w:tcW w:w="4100" w:type="dxa"/>
            <w:vAlign w:val="bottom"/>
          </w:tcPr>
          <w:p>
            <w:pPr>
              <w:spacing w:after="0"/>
              <w:rPr>
                <w:sz w:val="24"/>
                <w:szCs w:val="24"/>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41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-1662430</wp:posOffset>
            </wp:positionV>
            <wp:extent cx="7747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-1662430</wp:posOffset>
            </wp:positionV>
            <wp:extent cx="6858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-1662430</wp:posOffset>
            </wp:positionV>
            <wp:extent cx="6858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-1087755</wp:posOffset>
            </wp:positionV>
            <wp:extent cx="273431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34310" cy="1625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-504825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-488315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-504825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-488315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-504825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-488315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4" w:name="page15"/>
    <w:bookmarkEnd w:id="14"/>
    <w:p>
      <w:pPr>
        <w:jc w:val="both"/>
        <w:ind w:firstLine="644"/>
        <w:spacing w:after="0" w:line="251"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4"/>
          </w:tcPr>
          <w:p>
            <w:pPr>
              <w:jc w:val="right"/>
              <w:ind w:right="693"/>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r>
      <w:tr>
        <w:trPr>
          <w:trHeight w:val="235"/>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56"/>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70"/>
              <w:spacing w:after="0" w:line="156" w:lineRule="exact"/>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33"/>
              <w:spacing w:after="0" w:line="156" w:lineRule="exact"/>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70"/>
              <w:spacing w:after="0" w:line="156" w:lineRule="exact"/>
              <w:rPr>
                <w:sz w:val="20"/>
                <w:szCs w:val="20"/>
                <w:color w:val="auto"/>
              </w:rPr>
            </w:pPr>
            <w:r>
              <w:rPr>
                <w:rFonts w:ascii="Arial" w:cs="Arial" w:eastAsia="Arial" w:hAnsi="Arial"/>
                <w:sz w:val="18"/>
                <w:szCs w:val="18"/>
                <w:b w:val="1"/>
                <w:bCs w:val="1"/>
                <w:color w:val="auto"/>
                <w:w w:val="99"/>
              </w:rPr>
              <w:t>Amortized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30"/>
              <w:spacing w:after="0" w:line="156"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3"/>
                <w:szCs w:val="13"/>
                <w:color w:val="auto"/>
              </w:rPr>
            </w:pPr>
          </w:p>
        </w:tc>
      </w:tr>
      <w:tr>
        <w:trPr>
          <w:trHeight w:val="243"/>
        </w:trPr>
        <w:tc>
          <w:tcPr>
            <w:tcW w:w="5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1"/>
                <w:szCs w:val="21"/>
                <w:color w:val="auto"/>
              </w:rPr>
            </w:pPr>
          </w:p>
        </w:tc>
      </w:tr>
      <w:tr>
        <w:trPr>
          <w:trHeight w:val="210"/>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September 30, 2022 and December 31, 2021, respectively, were insignificant.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4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7"/>
        </w:trPr>
        <w:tc>
          <w:tcPr>
            <w:tcW w:w="744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44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4"/>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172"/>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24"/>
                <w:szCs w:val="24"/>
                <w:color w:val="auto"/>
              </w:rPr>
            </w:pPr>
          </w:p>
        </w:tc>
      </w:tr>
      <w:tr>
        <w:trPr>
          <w:trHeight w:val="256"/>
        </w:trPr>
        <w:tc>
          <w:tcPr>
            <w:tcW w:w="7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90"/>
              <w:spacing w:after="0" w:line="256" w:lineRule="exact"/>
              <w:rPr>
                <w:sz w:val="20"/>
                <w:szCs w:val="20"/>
                <w:color w:val="auto"/>
              </w:rPr>
            </w:pPr>
            <w:r>
              <w:rPr>
                <w:rFonts w:ascii="Arial" w:cs="Arial" w:eastAsia="Arial" w:hAnsi="Arial"/>
                <w:sz w:val="18"/>
                <w:szCs w:val="18"/>
                <w:b w:val="1"/>
                <w:bCs w:val="1"/>
                <w:color w:val="auto"/>
              </w:rPr>
              <w:t>2021</w:t>
            </w:r>
            <w:r>
              <w:rPr>
                <w:rFonts w:ascii="Arial" w:cs="Arial" w:eastAsia="Arial" w:hAnsi="Arial"/>
                <w:sz w:val="24"/>
                <w:szCs w:val="24"/>
                <w:b w:val="1"/>
                <w:bCs w:val="1"/>
                <w:color w:val="auto"/>
                <w:vertAlign w:val="superscript"/>
              </w:rPr>
              <w:t>(1)</w:t>
            </w:r>
          </w:p>
        </w:tc>
        <w:tc>
          <w:tcPr>
            <w:tcW w:w="100" w:type="dxa"/>
            <w:vAlign w:val="bottom"/>
          </w:tcPr>
          <w:p>
            <w:pPr>
              <w:spacing w:after="0"/>
              <w:rPr>
                <w:sz w:val="22"/>
                <w:szCs w:val="22"/>
                <w:color w:val="auto"/>
              </w:rPr>
            </w:pP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Logistics costs</w:t>
            </w:r>
            <w:r>
              <w:rPr>
                <w:rFonts w:ascii="Arial" w:cs="Arial" w:eastAsia="Arial" w:hAnsi="Arial"/>
                <w:sz w:val="24"/>
                <w:szCs w:val="24"/>
                <w:color w:val="auto"/>
                <w:vertAlign w:val="superscript"/>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line="216" w:lineRule="exact"/>
              <w:rPr>
                <w:sz w:val="20"/>
                <w:szCs w:val="20"/>
                <w:color w:val="auto"/>
              </w:rPr>
            </w:pPr>
            <w:r>
              <w:rPr>
                <w:rFonts w:ascii="Arial" w:cs="Arial" w:eastAsia="Arial" w:hAnsi="Arial"/>
                <w:sz w:val="18"/>
                <w:szCs w:val="18"/>
                <w:color w:val="auto"/>
              </w:rPr>
              <w:t>Deferred revenue and customer deposits</w:t>
            </w:r>
            <w:r>
              <w:rPr>
                <w:rFonts w:ascii="Arial" w:cs="Arial" w:eastAsia="Arial" w:hAnsi="Arial"/>
                <w:sz w:val="24"/>
                <w:szCs w:val="24"/>
                <w:color w:val="auto"/>
                <w:vertAlign w:val="superscript"/>
              </w:rPr>
              <w:t>(3)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Wish Cash liability</w:t>
            </w:r>
            <w:r>
              <w:rPr>
                <w:rFonts w:ascii="Arial" w:cs="Arial" w:eastAsia="Arial" w:hAnsi="Arial"/>
                <w:sz w:val="24"/>
                <w:szCs w:val="24"/>
                <w:color w:val="auto"/>
                <w:vertAlign w:val="superscript"/>
              </w:rPr>
              <w:t>(4)</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line="216" w:lineRule="exact"/>
              <w:rPr>
                <w:sz w:val="20"/>
                <w:szCs w:val="20"/>
                <w:color w:val="auto"/>
              </w:rPr>
            </w:pPr>
            <w:r>
              <w:rPr>
                <w:rFonts w:ascii="Arial" w:cs="Arial" w:eastAsia="Arial" w:hAnsi="Arial"/>
                <w:sz w:val="18"/>
                <w:szCs w:val="18"/>
                <w:color w:val="auto"/>
              </w:rPr>
              <w:t>Sales and indirect taxes</w:t>
            </w:r>
            <w:r>
              <w:rPr>
                <w:rFonts w:ascii="Arial" w:cs="Arial" w:eastAsia="Arial" w:hAnsi="Arial"/>
                <w:sz w:val="24"/>
                <w:szCs w:val="24"/>
                <w:color w:val="auto"/>
                <w:vertAlign w:val="superscript"/>
              </w:rPr>
              <w:t>(5)</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3" w:lineRule="exact"/>
        <w:rPr>
          <w:sz w:val="20"/>
          <w:szCs w:val="20"/>
          <w:color w:val="auto"/>
        </w:rPr>
      </w:pPr>
    </w:p>
    <w:p>
      <w:pPr>
        <w:ind w:left="1140" w:hanging="383"/>
        <w:spacing w:after="0" w:line="261"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amounts previously disclosed in the Company’s 2021 Form 10-K were realigned to ensure consistency with the amounts reflected as of September 30, 2022.</w:t>
      </w:r>
    </w:p>
    <w:p>
      <w:pPr>
        <w:spacing w:after="0" w:line="176" w:lineRule="exact"/>
        <w:rPr>
          <w:rFonts w:ascii="Arial" w:cs="Arial" w:eastAsia="Arial" w:hAnsi="Arial"/>
          <w:sz w:val="14"/>
          <w:szCs w:val="14"/>
          <w:color w:val="auto"/>
        </w:rPr>
      </w:pPr>
    </w:p>
    <w:p>
      <w:pPr>
        <w:ind w:left="1140" w:hanging="383"/>
        <w:spacing w:after="0" w:line="241"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Logistics costs decreased by $17 million or 30% primarily due to lower shipping volumes during the third quarter of 2022 compared to the fourth quarter of 2021.</w:t>
      </w:r>
    </w:p>
    <w:p>
      <w:pPr>
        <w:spacing w:after="0" w:line="162" w:lineRule="exact"/>
        <w:rPr>
          <w:rFonts w:ascii="Arial" w:cs="Arial" w:eastAsia="Arial" w:hAnsi="Arial"/>
          <w:sz w:val="14"/>
          <w:szCs w:val="14"/>
          <w:color w:val="auto"/>
        </w:rPr>
      </w:pPr>
    </w:p>
    <w:p>
      <w:pPr>
        <w:ind w:left="1140" w:right="20" w:hanging="383"/>
        <w:spacing w:after="0" w:line="251"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Deferred revenue and customer deposits decreased by $6 million or 24% primarily due to lower logistics volumes during the third quarter of 2022 compared to the fourth quarter of 2021.</w:t>
      </w:r>
    </w:p>
    <w:p>
      <w:pPr>
        <w:jc w:val="both"/>
        <w:ind w:left="1140" w:hanging="383"/>
        <w:spacing w:after="0" w:line="245"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Wish Cash liability breakage recognized in core marketplace revenue during the third quarter of 2022 and the fourth quarter of 2021 was $2 and $3 million, respectively.</w:t>
      </w:r>
    </w:p>
    <w:p>
      <w:pPr>
        <w:spacing w:after="0" w:line="1" w:lineRule="exact"/>
        <w:rPr>
          <w:rFonts w:ascii="Arial" w:cs="Arial" w:eastAsia="Arial" w:hAnsi="Arial"/>
          <w:sz w:val="14"/>
          <w:szCs w:val="14"/>
          <w:color w:val="auto"/>
        </w:rPr>
      </w:pPr>
    </w:p>
    <w:p>
      <w:pPr>
        <w:ind w:left="1140" w:hanging="383"/>
        <w:spacing w:after="0" w:line="264"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Sales and indirect taxes decreased by $10 million or 38% primarily due to less taxes in connection with lower order volumes during the third quarter of 2022 compared to the fourth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71"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derivatives transactions are not collateralized and do not include collateralization agreements with counterparties.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tcPr>
          <w:p>
            <w:pPr>
              <w:jc w:val="center"/>
              <w:ind w:right="112"/>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7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r>
      <w:tr>
        <w:trPr>
          <w:trHeight w:val="235"/>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ind w:right="72"/>
              <w:spacing w:after="0"/>
              <w:rPr>
                <w:sz w:val="20"/>
                <w:szCs w:val="20"/>
                <w:color w:val="auto"/>
              </w:rPr>
            </w:pPr>
            <w:r>
              <w:rPr>
                <w:rFonts w:ascii="Arial" w:cs="Arial" w:eastAsia="Arial" w:hAnsi="Arial"/>
                <w:sz w:val="16"/>
                <w:szCs w:val="16"/>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w w:val="81"/>
              </w:rPr>
              <w:t>millions)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hedges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Non-designated hedges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50"/>
        </w:trPr>
        <w:tc>
          <w:tcPr>
            <w:tcW w:w="55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63"/>
        </w:trPr>
        <w:tc>
          <w:tcPr>
            <w:tcW w:w="5520" w:type="dxa"/>
            <w:vAlign w:val="bottom"/>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6"/>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9"/>
              </w:rPr>
              <w:t>September 30,</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tcPr>
          <w:p>
            <w:pPr>
              <w:jc w:val="center"/>
              <w:ind w:right="150"/>
              <w:spacing w:after="0" w:line="195" w:lineRule="exact"/>
              <w:rPr>
                <w:sz w:val="20"/>
                <w:szCs w:val="20"/>
                <w:color w:val="auto"/>
              </w:rPr>
            </w:pPr>
            <w:r>
              <w:rPr>
                <w:rFonts w:ascii="Arial" w:cs="Arial" w:eastAsia="Arial" w:hAnsi="Arial"/>
                <w:sz w:val="18"/>
                <w:szCs w:val="18"/>
                <w:b w:val="1"/>
                <w:bCs w:val="1"/>
                <w:color w:val="auto"/>
                <w:w w:val="99"/>
              </w:rPr>
              <w:t>2022</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4"/>
          </w:tcPr>
          <w:p>
            <w:pPr>
              <w:jc w:val="right"/>
              <w:ind w:right="550"/>
              <w:spacing w:after="0" w:line="195" w:lineRule="exact"/>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0"/>
        </w:trPr>
        <w:tc>
          <w:tcPr>
            <w:tcW w:w="55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90"/>
              <w:spacing w:after="0" w:line="270" w:lineRule="exact"/>
              <w:rPr>
                <w:sz w:val="20"/>
                <w:szCs w:val="20"/>
                <w:color w:val="auto"/>
              </w:rPr>
            </w:pPr>
            <w:r>
              <w:rPr>
                <w:rFonts w:ascii="Arial" w:cs="Arial" w:eastAsia="Arial" w:hAnsi="Arial"/>
                <w:sz w:val="18"/>
                <w:szCs w:val="18"/>
                <w:b w:val="1"/>
                <w:bCs w:val="1"/>
                <w:color w:val="auto"/>
                <w:w w:val="96"/>
              </w:rPr>
              <w:t>Assets</w:t>
            </w:r>
            <w:r>
              <w:rPr>
                <w:rFonts w:ascii="Arial" w:cs="Arial" w:eastAsia="Arial" w:hAnsi="Arial"/>
                <w:sz w:val="24"/>
                <w:szCs w:val="24"/>
                <w:b w:val="1"/>
                <w:bCs w:val="1"/>
                <w:color w:val="auto"/>
                <w:w w:val="96"/>
                <w:vertAlign w:val="superscript"/>
              </w:rPr>
              <w:t>(1)</w:t>
            </w:r>
          </w:p>
        </w:tc>
        <w:tc>
          <w:tcPr>
            <w:tcW w:w="220" w:type="dxa"/>
            <w:vAlign w:val="bottom"/>
          </w:tcPr>
          <w:p>
            <w:pPr>
              <w:spacing w:after="0"/>
              <w:rPr>
                <w:sz w:val="23"/>
                <w:szCs w:val="23"/>
                <w:color w:val="auto"/>
              </w:rPr>
            </w:pPr>
          </w:p>
        </w:tc>
        <w:tc>
          <w:tcPr>
            <w:tcW w:w="1440" w:type="dxa"/>
            <w:vAlign w:val="bottom"/>
            <w:tcBorders>
              <w:bottom w:val="single" w:sz="8" w:color="auto"/>
            </w:tcBorders>
            <w:gridSpan w:val="3"/>
          </w:tcPr>
          <w:p>
            <w:pPr>
              <w:jc w:val="right"/>
              <w:ind w:right="133"/>
              <w:spacing w:after="0" w:line="270"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4"/>
                <w:szCs w:val="24"/>
                <w:b w:val="1"/>
                <w:bCs w:val="1"/>
                <w:color w:val="auto"/>
                <w:vertAlign w:val="superscript"/>
              </w:rPr>
              <w:t>(2)</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right"/>
              <w:ind w:right="170"/>
              <w:spacing w:after="0" w:line="270" w:lineRule="exact"/>
              <w:rPr>
                <w:sz w:val="20"/>
                <w:szCs w:val="20"/>
                <w:color w:val="auto"/>
              </w:rPr>
            </w:pPr>
            <w:r>
              <w:rPr>
                <w:rFonts w:ascii="Arial" w:cs="Arial" w:eastAsia="Arial" w:hAnsi="Arial"/>
                <w:sz w:val="18"/>
                <w:szCs w:val="18"/>
                <w:b w:val="1"/>
                <w:bCs w:val="1"/>
                <w:color w:val="auto"/>
                <w:w w:val="94"/>
              </w:rPr>
              <w:t>Assets</w:t>
            </w:r>
            <w:r>
              <w:rPr>
                <w:rFonts w:ascii="Arial" w:cs="Arial" w:eastAsia="Arial" w:hAnsi="Arial"/>
                <w:sz w:val="24"/>
                <w:szCs w:val="24"/>
                <w:b w:val="1"/>
                <w:bCs w:val="1"/>
                <w:color w:val="auto"/>
                <w:w w:val="94"/>
                <w:vertAlign w:val="superscript"/>
              </w:rPr>
              <w:t>(1)</w:t>
            </w:r>
          </w:p>
        </w:tc>
        <w:tc>
          <w:tcPr>
            <w:tcW w:w="200" w:type="dxa"/>
            <w:vAlign w:val="bottom"/>
          </w:tcPr>
          <w:p>
            <w:pPr>
              <w:spacing w:after="0"/>
              <w:rPr>
                <w:sz w:val="23"/>
                <w:szCs w:val="23"/>
                <w:color w:val="auto"/>
              </w:rPr>
            </w:pPr>
          </w:p>
        </w:tc>
        <w:tc>
          <w:tcPr>
            <w:tcW w:w="1180" w:type="dxa"/>
            <w:vAlign w:val="bottom"/>
            <w:tcBorders>
              <w:bottom w:val="single" w:sz="8" w:color="auto"/>
            </w:tcBorders>
            <w:gridSpan w:val="2"/>
          </w:tcPr>
          <w:p>
            <w:pPr>
              <w:jc w:val="right"/>
              <w:ind w:right="10"/>
              <w:spacing w:after="0" w:line="270"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4"/>
                <w:szCs w:val="24"/>
                <w:b w:val="1"/>
                <w:bCs w:val="1"/>
                <w:color w:val="auto"/>
                <w:vertAlign w:val="superscript"/>
              </w:rPr>
              <w:t>(2)</w:t>
            </w:r>
          </w:p>
        </w:tc>
        <w:tc>
          <w:tcPr>
            <w:tcW w:w="100" w:type="dxa"/>
            <w:vAlign w:val="bottom"/>
          </w:tcPr>
          <w:p>
            <w:pPr>
              <w:spacing w:after="0"/>
              <w:rPr>
                <w:sz w:val="23"/>
                <w:szCs w:val="23"/>
                <w:color w:val="auto"/>
              </w:rPr>
            </w:pPr>
          </w:p>
        </w:tc>
      </w:tr>
      <w:tr>
        <w:trPr>
          <w:trHeight w:val="210"/>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designated as hedging instruments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rPr>
              <w:t>Cash flow hedges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ind w:right="1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not designated as hedging instruments</w:t>
            </w: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center"/>
              <w:ind w:right="1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derivatives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center"/>
              <w:ind w:right="3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-1687830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-1671320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-1019810</wp:posOffset>
            </wp:positionV>
            <wp:extent cx="35572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1140" w:hanging="383"/>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Derivative assets are included in prepaid and other current assets in the condensed consolidated balance sheets.</w:t>
      </w:r>
    </w:p>
    <w:p>
      <w:pPr>
        <w:spacing w:after="0" w:line="21" w:lineRule="exact"/>
        <w:rPr>
          <w:rFonts w:ascii="Arial" w:cs="Arial" w:eastAsia="Arial" w:hAnsi="Arial"/>
          <w:sz w:val="16"/>
          <w:szCs w:val="16"/>
          <w:color w:val="auto"/>
        </w:rPr>
      </w:pPr>
    </w:p>
    <w:p>
      <w:pPr>
        <w:ind w:left="1140" w:hanging="383"/>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Derivative liabilities are included within "other" in accrued liabilities in the condensed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262626"/>
        </w:rPr>
        <w:t>The changes in accumulated other comprehensive income (loss) resulting from cash flow hedging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56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15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20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Amounts recognized in core marketplace revenue and reclassified out of</w:t>
            </w:r>
          </w:p>
        </w:tc>
        <w:tc>
          <w:tcPr>
            <w:tcW w:w="156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1"/>
        </w:trPr>
        <w:tc>
          <w:tcPr>
            <w:tcW w:w="72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56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5520"/>
              <w:spacing w:after="0"/>
              <w:rPr>
                <w:sz w:val="20"/>
                <w:szCs w:val="20"/>
                <w:color w:val="auto"/>
              </w:rPr>
            </w:pPr>
            <w:r>
              <w:rPr>
                <w:rFonts w:ascii="Arial" w:cs="Arial" w:eastAsia="Arial" w:hAnsi="Arial"/>
                <w:sz w:val="18"/>
                <w:szCs w:val="18"/>
                <w:color w:val="auto"/>
              </w:rPr>
              <w:t>12</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72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72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-650875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262626"/>
        </w:rPr>
        <w:t>The Company recognizes changes in fair value of the cash flow hedges of foreign currency denominated merchants payable in</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262626"/>
        </w:rPr>
        <w:t>accumulated other comprehensive income (loss) in its condensed consolidated balance sheets until the forecasted transaction occurs. When the forecasted transaction affects earnings, the Company reclassifies the related gain or loss on the cash flow hedge to core marketplace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262626"/>
        </w:rPr>
        <w:t>revenue. All amounts in other comprehensive income (loss)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and nine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62626"/>
        </w:rPr>
        <w:t>months ended September 30, 2022 and 2021, there were no net gains or losses recognized in core marketplace revenue relating to hedges of forecasted transactions that did not occur.</w:t>
      </w:r>
    </w:p>
    <w:p>
      <w:pPr>
        <w:spacing w:after="0" w:line="127" w:lineRule="exact"/>
        <w:rPr>
          <w:sz w:val="20"/>
          <w:szCs w:val="20"/>
          <w:color w:val="auto"/>
        </w:rPr>
      </w:pPr>
    </w:p>
    <w:p>
      <w:pPr>
        <w:jc w:val="both"/>
        <w:ind w:firstLine="644"/>
        <w:spacing w:after="0" w:line="256" w:lineRule="auto"/>
        <w:rPr>
          <w:sz w:val="20"/>
          <w:szCs w:val="20"/>
          <w:color w:val="auto"/>
        </w:rPr>
      </w:pPr>
      <w:r>
        <w:rPr>
          <w:rFonts w:ascii="Arial" w:cs="Arial" w:eastAsia="Arial" w:hAnsi="Arial"/>
          <w:sz w:val="18"/>
          <w:szCs w:val="18"/>
          <w:color w:val="auto"/>
        </w:rPr>
        <w:t>The Company classifies cash flows related to its cash flow hedges as operating activities in its condensed consolidated statements of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Derivatives Not Designated as Hedging Instruments</w:t>
      </w:r>
    </w:p>
    <w:p>
      <w:pPr>
        <w:spacing w:after="0" w:line="14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net gains and losses on the change in fair value of the Company’s foreign exchange forward contracts not designated as hedging instruments recognized in other income, net in the condensed consolidated statements of operations were net losses of $4 million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$8 million for the three and nine months ended September 30, 2022, respectively, and were net gains of $2 million and $13 million for each of the three and nine months ended September 30, 2021, respectively.</w:t>
      </w:r>
    </w:p>
    <w:p>
      <w:pPr>
        <w:spacing w:after="0" w:line="127" w:lineRule="exact"/>
        <w:rPr>
          <w:sz w:val="20"/>
          <w:szCs w:val="20"/>
          <w:color w:val="auto"/>
        </w:rPr>
      </w:pPr>
    </w:p>
    <w:p>
      <w:pPr>
        <w:jc w:val="both"/>
        <w:ind w:right="20" w:firstLine="636"/>
        <w:spacing w:after="0" w:line="256" w:lineRule="auto"/>
        <w:rPr>
          <w:sz w:val="20"/>
          <w:szCs w:val="20"/>
          <w:color w:val="auto"/>
        </w:rPr>
      </w:pPr>
      <w:r>
        <w:rPr>
          <w:rFonts w:ascii="Arial" w:cs="Arial" w:eastAsia="Arial" w:hAnsi="Arial"/>
          <w:sz w:val="18"/>
          <w:szCs w:val="18"/>
          <w:color w:val="auto"/>
        </w:rPr>
        <w:t>The Company classifies cash flows related to its non-designated hedging instruments as operating activities in its condensed consolidated statements of cash 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OPERATING LEASES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2025.</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operating lease cost was $2 million and $6 million for the three and nine months ended September 30, 2022, respectively, and</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$3 million and $10 million for the three and nine months ended September 30, 2021, respectively. Short-term lease costs, variable lease costs and sublease income were insignificant.</w:t>
      </w:r>
    </w:p>
    <w:p>
      <w:pPr>
        <w:spacing w:after="0" w:line="127" w:lineRule="exact"/>
        <w:rPr>
          <w:sz w:val="20"/>
          <w:szCs w:val="20"/>
          <w:color w:val="auto"/>
        </w:rPr>
      </w:pPr>
    </w:p>
    <w:p>
      <w:pPr>
        <w:jc w:val="both"/>
        <w:ind w:firstLine="710"/>
        <w:spacing w:after="0" w:line="231" w:lineRule="auto"/>
        <w:rPr>
          <w:sz w:val="20"/>
          <w:szCs w:val="20"/>
          <w:color w:val="auto"/>
        </w:rPr>
      </w:pPr>
      <w:r>
        <w:rPr>
          <w:rFonts w:ascii="Arial" w:cs="Arial" w:eastAsia="Arial" w:hAnsi="Arial"/>
          <w:sz w:val="18"/>
          <w:szCs w:val="18"/>
          <w:color w:val="auto"/>
        </w:rPr>
        <w:t>In February 2022, the Company’s Board of Directors ("the Board") approved a restructuring plan, which included exiting various office leases. As a result, the Company ceased using certain office spaces. As the carrying value of the related right-of-use assets and leasehold improvements exceeded the estimated fair value, the Company recognized an impairment loss of $5 and $11 million for the three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nine months ended September 30, 2022, respectively, which is included as part of general and administrative expenses in its condensed consolidated financial statements. Of the $5 million impairment loss for the three months ended September 30, 2022, $3 million related to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impairment of operating right-of-use assets and $2 million primarily related to impairment of leasehold improvements. Of the $11 million impairment loss for the nine months ended September 30, 2022, $6 million related to the impairment of operating right-of-use assets and $5</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million primarily related to impairment of leasehold improvements. See Note 12. Restructuring Costs for more information about the Company’s restructuring plan.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and December 31, 2021, the Company’s condensed consolidated balance sheets included right-of-use</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assets in the amount of $7 million and $18 million, respectively, and current lease liabilities in the amount of $7 million and $9 million in accrued liabilities, respectively, and $11 million and $16 million in lease liabilities, non-current, respectively.</w:t>
      </w:r>
    </w:p>
    <w:p>
      <w:pPr>
        <w:spacing w:after="0" w:line="14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As of September 30, 2022 and December 31, 2021, the weighted-average remaining lease term was 3 years and the weighted-average discount rate used to determine the net present value of the lease liabilities was 6% for both periods.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9"/>
              </w:rPr>
              <w:t>Nine Months Ended,</w:t>
            </w:r>
          </w:p>
        </w:tc>
        <w:tc>
          <w:tcPr>
            <w:tcW w:w="280" w:type="dxa"/>
            <w:vAlign w:val="bottom"/>
          </w:tcPr>
          <w:p>
            <w:pPr>
              <w:spacing w:after="0"/>
              <w:rPr>
                <w:sz w:val="20"/>
                <w:szCs w:val="20"/>
                <w:color w:val="auto"/>
              </w:rPr>
            </w:pPr>
          </w:p>
        </w:tc>
      </w:tr>
      <w:tr>
        <w:trPr>
          <w:trHeight w:val="191"/>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center"/>
              <w:ind w:right="134"/>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6"/>
                <w:szCs w:val="16"/>
                <w:color w:val="auto"/>
              </w:rPr>
            </w:pPr>
          </w:p>
        </w:tc>
      </w:tr>
      <w:tr>
        <w:trPr>
          <w:trHeight w:val="235"/>
        </w:trPr>
        <w:tc>
          <w:tcPr>
            <w:tcW w:w="7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r>
      <w:tr>
        <w:trPr>
          <w:trHeight w:val="210"/>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3"/>
          </w:tcPr>
          <w:p>
            <w:pPr>
              <w:jc w:val="center"/>
              <w:ind w:left="1214"/>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10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9"/>
        </w:trPr>
        <w:tc>
          <w:tcPr>
            <w:tcW w:w="7100" w:type="dxa"/>
            <w:vAlign w:val="bottom"/>
          </w:tcPr>
          <w:p>
            <w:pPr>
              <w:jc w:val="right"/>
              <w:ind w:right="327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r>
      <w:tr>
        <w:trPr>
          <w:trHeight w:val="616"/>
        </w:trPr>
        <w:tc>
          <w:tcPr>
            <w:tcW w:w="7100" w:type="dxa"/>
            <w:vAlign w:val="bottom"/>
          </w:tcPr>
          <w:p>
            <w:pPr>
              <w:jc w:val="right"/>
              <w:ind w:right="129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4"/>
        </w:trPr>
        <w:tc>
          <w:tcPr>
            <w:tcW w:w="7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980" w:type="dxa"/>
            <w:vAlign w:val="bottom"/>
            <w:gridSpan w:val="2"/>
          </w:tcPr>
          <w:p>
            <w:pPr>
              <w:ind w:left="6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35"/>
        </w:trPr>
        <w:tc>
          <w:tcPr>
            <w:tcW w:w="90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0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8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2022 (remaining three months)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2023</w:t>
            </w: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2024</w:t>
            </w:r>
          </w:p>
        </w:tc>
        <w:tc>
          <w:tcPr>
            <w:tcW w:w="6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2025</w:t>
            </w:r>
          </w:p>
        </w:tc>
        <w:tc>
          <w:tcPr>
            <w:tcW w:w="6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89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26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89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42"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commitments can be increased by up to $100 million through an accordion option. The Company also enters into letters of credit from time to time, which reduces its borrowing capacity under the Revolving Credit Facility. Interest on any borrowings under the Revolving Credit Facility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 drawn under any letters of credit outstanding under the Revolving Credit Facility.</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restrict the Company’s ability (and the ability of certain of the Company’s subsidiaries) to incur indebtedness, grant liens, make certain fundamental changes and asset sales, make distributions to stockholders, make investments or engage in transactions with affiliates. It also</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amount of approximately $7 million has been issued under the Revolving Credit Facility in conjunction with the lease of the Company’s headquarters in San Francisco, California. As of September 30, 2022, the Company had not made any borrowings under the Revolving</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Credit Facility and it was in compliance with the related financial covenants. Fees incurred under the Revolving Credit Facility were insignificant for the three and nine months ended September 30, 2022 and 2021.</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Effective September 1, 2022, the Company entered into an amendment to a colocation and cloud services arrangement committing the Company to make payments of $85 million for services over 3 years. As of September 30, 2022, the remaining commitment under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agreement was approximately $82 million and is payable within the next three years.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69"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Sections 10(b) and 20(a) of the Exchange Act. The Company believes these lawsuits are without merit and it intends to vigorously defend them. The Company recently filed a motion to dismiss, which will not be ready for adjudication until early 2023. Based on the preliminary nature of the proceedings in these cases, the Company cannot estimate a range of potential losses at this point in time. Further, even if there was a reasonable possibility of a material loss, the Company believes the possibility of material loss with respect to each of the matters is remote.</w:t>
      </w:r>
    </w:p>
    <w:p>
      <w:pPr>
        <w:spacing w:after="0" w:line="14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time. Further, even if there was a reasonable possibility of a material loss, the Company believes the possibility of a material loss is remote.</w:t>
      </w:r>
    </w:p>
    <w:p>
      <w:pPr>
        <w:spacing w:after="0" w:line="126" w:lineRule="exact"/>
        <w:rPr>
          <w:sz w:val="20"/>
          <w:szCs w:val="20"/>
          <w:color w:val="auto"/>
        </w:rPr>
      </w:pPr>
    </w:p>
    <w:p>
      <w:pPr>
        <w:jc w:val="both"/>
        <w:ind w:firstLine="708"/>
        <w:spacing w:after="0" w:line="248" w:lineRule="auto"/>
        <w:rPr>
          <w:sz w:val="20"/>
          <w:szCs w:val="20"/>
          <w:color w:val="auto"/>
        </w:rPr>
      </w:pPr>
      <w:r>
        <w:rPr>
          <w:rFonts w:ascii="Arial" w:cs="Arial" w:eastAsia="Arial" w:hAnsi="Arial"/>
          <w:sz w:val="18"/>
          <w:szCs w:val="18"/>
          <w:color w:val="auto"/>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injunction could expose Wish to civil and criminal penalties. The Company has challenged the injunction in court but to date the injunction has been upheld. The Company continues to challenge the merits of the injunction and will pursue the matter in French Courts. The Company believes there is a reasonable possibility of a material loss, however, a range of potential losses cannot be estimated at this time.</w:t>
      </w:r>
    </w:p>
    <w:p>
      <w:pPr>
        <w:spacing w:after="0" w:line="121"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In December 2021, the Company became aware that authorities in France charged Wish with legal violations relating to the Company’s former practice and use of strikethrough pricing in France, the Company’s previous failure to translate into French listings and product details on the Company’s app and website, and the Company’s anti-counterfeiting policies and practices. The Company disputes the charges and is preparing to defend itself at a hearing that is currently scheduled for March 2023. Any adverse outcome could result in payment of substantial fines, payments to allegedly impacted consumer groups, harm to the Company’s reputation, loss of rights, or adverse changes to the Company’s offerings or business practices in France. Any of these results could adversely affect the Company’s business. In addition, defending claims may be costly and may impose a significant burden on the Company’s management. The Company believes that the possibility of a loss is probable and management has previously disclosed the matter, however, the total amount accrued remains immaterial.</w:t>
      </w:r>
    </w:p>
    <w:p>
      <w:pPr>
        <w:spacing w:after="0" w:line="12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As of September 30, 2022,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Options Outstanding</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RSUs Outstanding</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20"/>
              <w:spacing w:after="0" w:line="176" w:lineRule="exact"/>
              <w:rPr>
                <w:sz w:val="20"/>
                <w:szCs w:val="20"/>
                <w:color w:val="auto"/>
              </w:rPr>
            </w:pPr>
            <w:r>
              <w:rPr>
                <w:rFonts w:ascii="Arial" w:cs="Arial" w:eastAsia="Arial" w:hAnsi="Arial"/>
                <w:sz w:val="16"/>
                <w:szCs w:val="16"/>
                <w:b w:val="1"/>
                <w:bCs w:val="1"/>
                <w:color w:val="auto"/>
              </w:rPr>
              <w:t>Weighted-</w:t>
            </w: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80" w:type="dxa"/>
            <w:vAlign w:val="bottom"/>
            <w:vMerge w:val="restart"/>
          </w:tcPr>
          <w:p>
            <w:pPr>
              <w:jc w:val="center"/>
              <w:ind w:left="159"/>
              <w:spacing w:after="0"/>
              <w:rPr>
                <w:sz w:val="20"/>
                <w:szCs w:val="20"/>
                <w:color w:val="auto"/>
              </w:rPr>
            </w:pPr>
            <w:r>
              <w:rPr>
                <w:rFonts w:ascii="Arial" w:cs="Arial" w:eastAsia="Arial" w:hAnsi="Arial"/>
                <w:sz w:val="16"/>
                <w:szCs w:val="16"/>
                <w:b w:val="1"/>
                <w:bCs w:val="1"/>
                <w:color w:val="auto"/>
                <w:w w:val="99"/>
              </w:rPr>
              <w:t>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00"/>
              <w:spacing w:after="0" w:line="162" w:lineRule="exact"/>
              <w:rPr>
                <w:sz w:val="20"/>
                <w:szCs w:val="20"/>
                <w:color w:val="auto"/>
              </w:rPr>
            </w:pPr>
            <w:r>
              <w:rPr>
                <w:rFonts w:ascii="Arial" w:cs="Arial" w:eastAsia="Arial" w:hAnsi="Arial"/>
                <w:sz w:val="16"/>
                <w:szCs w:val="16"/>
                <w:b w:val="1"/>
                <w:bCs w:val="1"/>
                <w:color w:val="auto"/>
              </w:rPr>
              <w:t>Average</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rPr>
              <w:t>Exercise</w:t>
            </w:r>
          </w:p>
        </w:tc>
        <w:tc>
          <w:tcPr>
            <w:tcW w:w="15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Term (In</w:t>
            </w:r>
          </w:p>
        </w:tc>
        <w:tc>
          <w:tcPr>
            <w:tcW w:w="2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80" w:type="dxa"/>
            <w:vAlign w:val="bottom"/>
          </w:tcPr>
          <w:p>
            <w:pPr>
              <w:jc w:val="center"/>
              <w:ind w:left="179"/>
              <w:spacing w:after="0"/>
              <w:rPr>
                <w:sz w:val="20"/>
                <w:szCs w:val="20"/>
                <w:color w:val="auto"/>
              </w:rPr>
            </w:pPr>
            <w:r>
              <w:rPr>
                <w:rFonts w:ascii="Arial" w:cs="Arial" w:eastAsia="Arial" w:hAnsi="Arial"/>
                <w:sz w:val="16"/>
                <w:szCs w:val="16"/>
                <w:b w:val="1"/>
                <w:bCs w:val="1"/>
                <w:color w:val="auto"/>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Price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8"/>
              </w:rPr>
              <w:t>Years)</w:t>
            </w:r>
          </w:p>
        </w:tc>
        <w:tc>
          <w:tcPr>
            <w:tcW w:w="2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RSUs</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280" w:type="dxa"/>
            <w:vAlign w:val="bottom"/>
            <w:tcBorders>
              <w:top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FF0FC"/>
          </w:tcPr>
          <w:p>
            <w:pPr>
              <w:ind w:left="20"/>
              <w:spacing w:after="0" w:line="203" w:lineRule="exact"/>
              <w:rPr>
                <w:sz w:val="20"/>
                <w:szCs w:val="20"/>
                <w:color w:val="auto"/>
              </w:rPr>
            </w:pPr>
            <w:r>
              <w:rPr>
                <w:rFonts w:ascii="Arial" w:cs="Arial" w:eastAsia="Arial" w:hAnsi="Arial"/>
                <w:sz w:val="16"/>
                <w:szCs w:val="16"/>
                <w:color w:val="auto"/>
              </w:rPr>
              <w:t>Balances at December 31, 2021</w:t>
            </w:r>
            <w:r>
              <w:rPr>
                <w:rFonts w:ascii="Arial" w:cs="Arial" w:eastAsia="Arial" w:hAnsi="Arial"/>
                <w:sz w:val="21"/>
                <w:szCs w:val="21"/>
                <w:color w:val="auto"/>
                <w:vertAlign w:val="superscript"/>
              </w:rPr>
              <w:t>(1)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0.254</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2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2.398</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spacing w:after="0"/>
              <w:rPr>
                <w:sz w:val="17"/>
                <w:szCs w:val="17"/>
                <w:color w:val="auto"/>
              </w:rPr>
            </w:pP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3"/>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0.149</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Forfeited or cancelled</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(4 )</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2.926</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Arial" w:cs="Arial" w:eastAsia="Arial" w:hAnsi="Arial"/>
                <w:sz w:val="16"/>
                <w:szCs w:val="16"/>
                <w:color w:val="auto"/>
              </w:rPr>
              <w:t>Balances at September 30, 2022</w:t>
            </w:r>
          </w:p>
        </w:tc>
        <w:tc>
          <w:tcPr>
            <w:tcW w:w="1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0.403</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Outstanding restricted stock units (“RSUs”) as of December 31, 2021 include 11 million performance stock units (“PSUs”), which were cancelled in February 2022</w:t>
      </w:r>
      <w:r>
        <w:rPr>
          <w:rFonts w:ascii="Arial" w:cs="Arial" w:eastAsia="Arial" w:hAnsi="Arial"/>
          <w:sz w:val="16"/>
          <w:szCs w:val="16"/>
          <w:color w:val="auto"/>
        </w:rPr>
        <w:t>.</w:t>
      </w:r>
    </w:p>
    <w:p>
      <w:pPr>
        <w:spacing w:after="0" w:line="162"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The weighted-average grant date fair value of RSUs was $1.49 and $1.80 per share for the three and nine months ended September 30, 2022, respectively, and $7.75 and $11.15 per share for the three and nine months ended September 30, 2021, respectively. As of</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September 30, 2022, 32 million shares remained available for grant under the Company’s equity incentive plans, including the 2022 Inducement Plan.</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31, 2022, Mr. Szulczewski resigned from his position as CEO of the Company. Due to his resignation prior to the second</w:t>
      </w:r>
    </w:p>
    <w:p>
      <w:pPr>
        <w:jc w:val="both"/>
        <w:spacing w:after="0" w:line="211" w:lineRule="auto"/>
        <w:rPr>
          <w:sz w:val="20"/>
          <w:szCs w:val="20"/>
          <w:color w:val="auto"/>
        </w:rPr>
      </w:pPr>
      <w:r>
        <w:rPr>
          <w:rFonts w:ascii="Arial" w:cs="Arial" w:eastAsia="Arial" w:hAnsi="Arial"/>
          <w:sz w:val="18"/>
          <w:szCs w:val="18"/>
          <w:color w:val="auto"/>
        </w:rPr>
        <w:t>anniversary of the Company’s IPO, Mr. Szulczewski is no longer eligible to vest in his PSUs, and as such, the PSUs were canceled. Consequently, the Company reversed $21 million of previously recognized stock-based compensation expense related to these PSUs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2022.</w:t>
      </w:r>
    </w:p>
    <w:p>
      <w:pPr>
        <w:spacing w:after="0" w:line="126"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In February 2022, Jacqueline Reses resigned from her position as Executive Chair. Upon her resignation, Ms. Reses entered into a consulting agreement with the Company and her PSU award was modified to eliminate the market condition, with only continued service until</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expiration of the consulting agreement being the sole vesting condition. Consequently, the Company reversed $3 million of previously recognized stock-based compensation expense upon modification and will recognize the modified fair value of approximately $ 2 million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modification date to the expiration date of the consulting agreement, which is May 16, 2023.</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Inducement Plan</w:t>
      </w:r>
    </w:p>
    <w:p>
      <w:pPr>
        <w:spacing w:after="0" w:line="142"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In January 2022, the Company’s Board adopted and approved the 2022 Inducement Plan (“2022 Plan"). The Company intends that the 2022 Plan be reserved for persons to whom the Company may issue securities without stockholder approval as an inducement of</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employment pursuant to Rule 5635(c)(4) of the Marketplace Rules of the Nasdaq Stock Market, LLC. The 2022 Plan provides for the award of options, stock appreciation rights, restricted shares, and RSUs of the Company’s Class A common stock to the Company’s employees. Stock-based awards under the 2022 Plan that expire or are forfeited, cancelled, or repurchased generally are returned to the pool of shares of Class A common stock available for issuance under the 2022 Plan.</w:t>
      </w:r>
    </w:p>
    <w:p>
      <w:pPr>
        <w:spacing w:after="0" w:line="100"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8"/>
          <w:szCs w:val="18"/>
          <w:color w:val="auto"/>
        </w:rPr>
        <w:t>In May 2022, the Company's Board approved an amendment to the 2022 Plan to increase the 2022 Plan reserve from 12 million to 27 million shares. As of September 30, 2022, 16 million shares under the 2022 Plan remained available for grant.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0" w:name="page21"/>
    <w:bookmarkEnd w:id="20"/>
    <w:p>
      <w:pPr>
        <w:ind w:left="600"/>
        <w:spacing w:after="0"/>
        <w:rPr>
          <w:sz w:val="20"/>
          <w:szCs w:val="20"/>
          <w:color w:val="auto"/>
        </w:rPr>
      </w:pPr>
      <w:r>
        <w:rPr>
          <w:rFonts w:ascii="Arial" w:cs="Arial" w:eastAsia="Arial" w:hAnsi="Arial"/>
          <w:sz w:val="18"/>
          <w:szCs w:val="18"/>
          <w:b w:val="1"/>
          <w:bCs w:val="1"/>
          <w:i w:val="1"/>
          <w:iCs w:val="1"/>
          <w:color w:val="auto"/>
        </w:rPr>
        <w:t>CEO transition</w:t>
      </w:r>
    </w:p>
    <w:p>
      <w:pPr>
        <w:spacing w:after="0" w:line="142" w:lineRule="exact"/>
        <w:rPr>
          <w:sz w:val="20"/>
          <w:szCs w:val="20"/>
          <w:color w:val="auto"/>
        </w:rPr>
      </w:pPr>
    </w:p>
    <w:p>
      <w:pPr>
        <w:jc w:val="both"/>
        <w:ind w:right="60" w:firstLine="599"/>
        <w:spacing w:after="0" w:line="229" w:lineRule="auto"/>
        <w:rPr>
          <w:sz w:val="20"/>
          <w:szCs w:val="20"/>
          <w:color w:val="auto"/>
        </w:rPr>
      </w:pPr>
      <w:r>
        <w:rPr>
          <w:rFonts w:ascii="Arial" w:cs="Arial" w:eastAsia="Arial" w:hAnsi="Arial"/>
          <w:sz w:val="18"/>
          <w:szCs w:val="18"/>
          <w:color w:val="auto"/>
        </w:rPr>
        <w:t>In January 2022, the Company entered into an employment agreement with Vijay Talwar, as the Company’s new CEO, with employment commencing on February 1, 2022. As an inducement of employment, Mr. Talwar was granted, i) 5 million RSUs with an</w:t>
      </w:r>
    </w:p>
    <w:p>
      <w:pPr>
        <w:spacing w:after="0" w:line="1" w:lineRule="exact"/>
        <w:rPr>
          <w:sz w:val="20"/>
          <w:szCs w:val="20"/>
          <w:color w:val="auto"/>
        </w:rPr>
      </w:pPr>
    </w:p>
    <w:p>
      <w:pPr>
        <w:jc w:val="both"/>
        <w:ind w:right="60"/>
        <w:spacing w:after="0" w:line="211" w:lineRule="auto"/>
        <w:rPr>
          <w:sz w:val="20"/>
          <w:szCs w:val="20"/>
          <w:color w:val="auto"/>
        </w:rPr>
      </w:pPr>
      <w:r>
        <w:rPr>
          <w:rFonts w:ascii="Arial" w:cs="Arial" w:eastAsia="Arial" w:hAnsi="Arial"/>
          <w:sz w:val="18"/>
          <w:szCs w:val="18"/>
          <w:color w:val="auto"/>
        </w:rPr>
        <w:t>aggregate grant date fair value of $13 million and ii) options to purchase 6 million shares of the Company’s Class A common stock at an exercise price of $2.86 per share with an aggregate grant date fair value of $12 million. These RSUs and options were granted under the</w:t>
      </w:r>
    </w:p>
    <w:p>
      <w:pPr>
        <w:spacing w:after="0" w:line="1"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2022 Plan and would have become vested and exercisable, respectively, in periodic installments over a 4-year term, subject to the CEO’s continued employment with the Company. The option award had a term of 10 years.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September 2022, the Company’s Board terminated Mr. Talwar from his position as CEO of the Company. As set forth in his</w:t>
      </w:r>
    </w:p>
    <w:p>
      <w:pPr>
        <w:jc w:val="both"/>
        <w:ind w:right="60"/>
        <w:spacing w:after="0" w:line="211" w:lineRule="auto"/>
        <w:rPr>
          <w:sz w:val="20"/>
          <w:szCs w:val="20"/>
          <w:color w:val="auto"/>
        </w:rPr>
      </w:pPr>
      <w:r>
        <w:rPr>
          <w:rFonts w:ascii="Arial" w:cs="Arial" w:eastAsia="Arial" w:hAnsi="Arial"/>
          <w:sz w:val="18"/>
          <w:szCs w:val="18"/>
          <w:color w:val="auto"/>
        </w:rPr>
        <w:t>employment agreement with the Company, Mr. Talwar was entitled to certain benefits, which included, accelerated vesting of the unvested portion of his equity awards that would have vested within twelve months of his involuntary termination. Consequently,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recognized $6 million of stock-based compensation expense upon the acceleration of Mr. Talwar’s equity awards on his termination date.</w:t>
      </w:r>
    </w:p>
    <w:p>
      <w:pPr>
        <w:spacing w:after="0" w:line="140" w:lineRule="exact"/>
        <w:rPr>
          <w:sz w:val="20"/>
          <w:szCs w:val="20"/>
          <w:color w:val="auto"/>
        </w:rPr>
      </w:pPr>
    </w:p>
    <w:p>
      <w:pPr>
        <w:jc w:val="both"/>
        <w:ind w:right="60" w:firstLine="599"/>
        <w:spacing w:after="0" w:line="246" w:lineRule="auto"/>
        <w:rPr>
          <w:sz w:val="20"/>
          <w:szCs w:val="20"/>
          <w:color w:val="auto"/>
        </w:rPr>
      </w:pPr>
      <w:r>
        <w:rPr>
          <w:rFonts w:ascii="Arial" w:cs="Arial" w:eastAsia="Arial" w:hAnsi="Arial"/>
          <w:sz w:val="18"/>
          <w:szCs w:val="18"/>
          <w:color w:val="auto"/>
        </w:rPr>
        <w:t>In September 2022, the Company entered into an employment agreement with Jun Yan, as the Company’s interim CEO, with employment commencing September 27, 2022. As an inducement of employment, Mr. Yan was granted i) 2 million RSUs with an aggregate grant date fair value of $2 million and ii) options to purchase 2 million shares of the Company’s Class A common stock at an exercise price of $0.86 per share with an aggregate grant date fair value of $1 million. These RSUs and options were granted under the 2022 Plan and will become vested and exercisable, respectively, in periodic installments over an approximate 1-year term, subject to the interim CEO’s continued employment with the Company. The option award has a term of 10 years. If Mr. Yan is terminated from his position as interim CEO within six months from his commencement of employment, 50% of both his RSU and options shall immediately vest.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options is estimated using the Black-Scholes option pricing model which takes into account inputs such as the</w:t>
      </w:r>
    </w:p>
    <w:p>
      <w:pPr>
        <w:jc w:val="both"/>
        <w:ind w:right="60"/>
        <w:spacing w:after="0" w:line="229" w:lineRule="auto"/>
        <w:rPr>
          <w:sz w:val="20"/>
          <w:szCs w:val="20"/>
          <w:color w:val="auto"/>
        </w:rPr>
      </w:pPr>
      <w:r>
        <w:rPr>
          <w:rFonts w:ascii="Arial" w:cs="Arial" w:eastAsia="Arial" w:hAnsi="Arial"/>
          <w:sz w:val="18"/>
          <w:szCs w:val="18"/>
          <w:color w:val="auto"/>
        </w:rPr>
        <w:t>exercise price, the value of the underlying shares as of the grant date, expected term, expected volatility, risk free interest rate, and dividend yield. The fair value of the options was determined using the methods and assumptions discussed below:</w:t>
      </w:r>
    </w:p>
    <w:p>
      <w:pPr>
        <w:spacing w:after="0" w:line="73" w:lineRule="exact"/>
        <w:rPr>
          <w:sz w:val="20"/>
          <w:szCs w:val="20"/>
          <w:color w:val="auto"/>
        </w:rPr>
      </w:pPr>
    </w:p>
    <w:p>
      <w:pPr>
        <w:jc w:val="both"/>
        <w:ind w:left="1020" w:right="60" w:hanging="503"/>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spacing w:after="0" w:line="55"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risk-free interest rate was based on the interest rate payable on the U.S. Treasury securities in effect at the time of grant for a period that is commensurate with the assumed expected term.</w:t>
      </w:r>
    </w:p>
    <w:p>
      <w:pPr>
        <w:spacing w:after="0" w:line="59" w:lineRule="exact"/>
        <w:rPr>
          <w:rFonts w:ascii="Times New Roman" w:cs="Times New Roman" w:eastAsia="Times New Roman" w:hAnsi="Times New Roman"/>
          <w:sz w:val="18"/>
          <w:szCs w:val="18"/>
          <w:color w:val="auto"/>
        </w:rPr>
      </w:pPr>
    </w:p>
    <w:p>
      <w:pPr>
        <w:jc w:val="both"/>
        <w:ind w:left="1020" w:right="6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spacing w:after="0" w:line="7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dividend yield was zero because the Company has not historically paid and does not expect to pay a dividend on its ordinary shares in the foreseeable future.</w:t>
      </w:r>
    </w:p>
    <w:p>
      <w:pPr>
        <w:spacing w:after="0" w:line="87" w:lineRule="exact"/>
        <w:rPr>
          <w:sz w:val="20"/>
          <w:szCs w:val="20"/>
          <w:color w:val="auto"/>
        </w:rPr>
      </w:pPr>
    </w:p>
    <w:p>
      <w:pPr>
        <w:ind w:right="60" w:firstLine="636"/>
        <w:spacing w:after="0" w:line="256" w:lineRule="auto"/>
        <w:rPr>
          <w:sz w:val="20"/>
          <w:szCs w:val="20"/>
          <w:color w:val="auto"/>
        </w:rPr>
      </w:pPr>
      <w:r>
        <w:rPr>
          <w:rFonts w:ascii="Arial" w:cs="Arial" w:eastAsia="Arial" w:hAnsi="Arial"/>
          <w:sz w:val="18"/>
          <w:szCs w:val="18"/>
          <w:color w:val="auto"/>
        </w:rPr>
        <w:t>A summary of the weighted-average assumptions used in the Black-Scholes option pricing model to determine the fair value of the options granted during the nine months ended September 30, 2022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94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Black-Scholes</w:t>
            </w:r>
          </w:p>
        </w:tc>
      </w:tr>
      <w:tr>
        <w:trPr>
          <w:trHeight w:val="235"/>
        </w:trPr>
        <w:tc>
          <w:tcPr>
            <w:tcW w:w="37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94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Assumptions</w:t>
            </w:r>
          </w:p>
        </w:tc>
      </w:tr>
      <w:tr>
        <w:trPr>
          <w:trHeight w:val="20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4600" w:type="dxa"/>
            <w:vAlign w:val="bottom"/>
            <w:shd w:val="clear" w:color="auto" w:fill="CFF0FC"/>
          </w:tcPr>
          <w:p>
            <w:pPr>
              <w:spacing w:after="0"/>
              <w:rPr>
                <w:sz w:val="18"/>
                <w:szCs w:val="18"/>
                <w:color w:val="auto"/>
              </w:rPr>
            </w:pPr>
          </w:p>
        </w:tc>
        <w:tc>
          <w:tcPr>
            <w:tcW w:w="2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3760" w:type="dxa"/>
            <w:vAlign w:val="bottom"/>
          </w:tcPr>
          <w:p>
            <w:pPr>
              <w:ind w:left="20"/>
              <w:spacing w:after="0" w:line="197" w:lineRule="exact"/>
              <w:rPr>
                <w:sz w:val="20"/>
                <w:szCs w:val="20"/>
                <w:color w:val="auto"/>
              </w:rPr>
            </w:pPr>
            <w:r>
              <w:rPr>
                <w:rFonts w:ascii="Arial" w:cs="Arial" w:eastAsia="Arial" w:hAnsi="Arial"/>
                <w:sz w:val="18"/>
                <w:szCs w:val="18"/>
                <w:color w:val="auto"/>
              </w:rPr>
              <w:t>Risk free interest rate</w:t>
            </w:r>
          </w:p>
        </w:tc>
        <w:tc>
          <w:tcPr>
            <w:tcW w:w="7540" w:type="dxa"/>
            <w:vAlign w:val="bottom"/>
            <w:gridSpan w:val="4"/>
          </w:tcPr>
          <w:p>
            <w:pPr>
              <w:jc w:val="right"/>
              <w:spacing w:after="0" w:line="197" w:lineRule="exact"/>
              <w:rPr>
                <w:sz w:val="20"/>
                <w:szCs w:val="20"/>
                <w:color w:val="auto"/>
              </w:rPr>
            </w:pPr>
            <w:r>
              <w:rPr>
                <w:rFonts w:ascii="Arial" w:cs="Arial" w:eastAsia="Arial" w:hAnsi="Arial"/>
                <w:sz w:val="18"/>
                <w:szCs w:val="18"/>
                <w:color w:val="auto"/>
              </w:rPr>
              <w:t>2.28 %</w:t>
            </w: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7540" w:type="dxa"/>
            <w:vAlign w:val="bottom"/>
            <w:gridSpan w:val="4"/>
          </w:tcPr>
          <w:p>
            <w:pPr>
              <w:jc w:val="right"/>
              <w:spacing w:after="0"/>
              <w:rPr>
                <w:sz w:val="20"/>
                <w:szCs w:val="20"/>
                <w:color w:val="auto"/>
              </w:rPr>
            </w:pPr>
            <w:r>
              <w:rPr>
                <w:rFonts w:ascii="Arial" w:cs="Arial" w:eastAsia="Arial" w:hAnsi="Arial"/>
                <w:sz w:val="18"/>
                <w:szCs w:val="18"/>
                <w:color w:val="auto"/>
              </w:rPr>
              <w:t>75.53 %</w:t>
            </w:r>
          </w:p>
        </w:tc>
      </w:tr>
      <w:tr>
        <w:trPr>
          <w:trHeight w:val="239"/>
        </w:trPr>
        <w:tc>
          <w:tcPr>
            <w:tcW w:w="37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600" w:type="dxa"/>
            <w:vAlign w:val="bottom"/>
          </w:tcPr>
          <w:p>
            <w:pPr>
              <w:spacing w:after="0"/>
              <w:rPr>
                <w:sz w:val="20"/>
                <w:szCs w:val="20"/>
                <w:color w:val="auto"/>
              </w:rPr>
            </w:pPr>
          </w:p>
        </w:tc>
        <w:tc>
          <w:tcPr>
            <w:tcW w:w="2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634"/>
        </w:trPr>
        <w:tc>
          <w:tcPr>
            <w:tcW w:w="3760" w:type="dxa"/>
            <w:vAlign w:val="bottom"/>
          </w:tcPr>
          <w:p>
            <w:pPr>
              <w:spacing w:after="0"/>
              <w:rPr>
                <w:sz w:val="24"/>
                <w:szCs w:val="24"/>
                <w:color w:val="auto"/>
              </w:rPr>
            </w:pPr>
          </w:p>
        </w:tc>
        <w:tc>
          <w:tcPr>
            <w:tcW w:w="4600" w:type="dxa"/>
            <w:vAlign w:val="bottom"/>
          </w:tcPr>
          <w:p>
            <w:pPr>
              <w:jc w:val="right"/>
              <w:ind w:right="2550"/>
              <w:spacing w:after="0"/>
              <w:rPr>
                <w:sz w:val="20"/>
                <w:szCs w:val="20"/>
                <w:color w:val="auto"/>
              </w:rPr>
            </w:pPr>
            <w:r>
              <w:rPr>
                <w:rFonts w:ascii="Arial" w:cs="Arial" w:eastAsia="Arial" w:hAnsi="Arial"/>
                <w:sz w:val="18"/>
                <w:szCs w:val="18"/>
                <w:color w:val="auto"/>
              </w:rPr>
              <w:t>17</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4"/>
        </w:trPr>
        <w:tc>
          <w:tcPr>
            <w:tcW w:w="376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74" w:right="27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gridSpan w:val="3"/>
          </w:tcPr>
          <w:p>
            <w:pPr>
              <w:jc w:val="right"/>
              <w:ind w:right="63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50"/>
        </w:trPr>
        <w:tc>
          <w:tcPr>
            <w:tcW w:w="4420" w:type="dxa"/>
            <w:vAlign w:val="bottom"/>
            <w:tcBorders>
              <w:bottom w:val="single" w:sz="8" w:color="CFF0FC"/>
            </w:tcBorders>
            <w:shd w:val="clear" w:color="auto" w:fill="CFF0FC"/>
          </w:tcPr>
          <w:p>
            <w:pPr>
              <w:ind w:left="280"/>
              <w:spacing w:after="0" w:line="210"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4"/>
                <w:szCs w:val="24"/>
                <w:color w:val="auto"/>
                <w:vertAlign w:val="superscript"/>
              </w:rPr>
              <w:t>(1)</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1140" w:hanging="383"/>
        <w:spacing w:after="0" w:line="256" w:lineRule="auto"/>
        <w:tabs>
          <w:tab w:leader="none" w:pos="11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stock-based compensation for the nine months ended September 30, 2022 decreased by $51 million compared to the nine months ended September 30, 2021 primarily due to forfeitures driven by the resignation of Mr. Szulczewski from his former position as CEO, reductions to the Company’s workforce as part of the Company’s February 2022 Restructuring Plan, and modifications to the Company’s former Executive Chair’s equity awards. These reductions were partially offset by the acceleration of Mr. Talwar's equity awards upon his termination from his position as CEO.</w:t>
      </w:r>
    </w:p>
    <w:p>
      <w:pPr>
        <w:spacing w:after="0" w:line="12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Company will recognize the remaining $1 million and $185 million of unrecognized stock-based compensation expense over a weighted-average period of approximately 1.0 years and 2.5 years related to options and RSUs, respectively.</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6"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The Company’s Employee Stock Purchase Plan (“ESPP”) allows eligible employees to purchase shares of the Company’s Class A common stock at a discount through payroll deductions of up to 15% of eligible compensation, subject to caps of $25,000 in any calendar</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year and 2,500 shares on any purchase date. The ESPP provides for 24-month offering periods, generally beginning in November and May of each year, and each offering period consists of four six-month purchase periods. The initial offering period began on January 1, 2021 and</w:t>
      </w:r>
    </w:p>
    <w:p>
      <w:pPr>
        <w:jc w:val="both"/>
        <w:spacing w:after="0" w:line="211" w:lineRule="auto"/>
        <w:rPr>
          <w:sz w:val="20"/>
          <w:szCs w:val="20"/>
          <w:color w:val="auto"/>
        </w:rPr>
      </w:pPr>
      <w:r>
        <w:rPr>
          <w:rFonts w:ascii="Arial" w:cs="Arial" w:eastAsia="Arial" w:hAnsi="Arial"/>
          <w:sz w:val="18"/>
          <w:szCs w:val="18"/>
          <w:color w:val="auto"/>
        </w:rPr>
        <w:t>will end in November 2022. During the nine months ended September 30, 2022 and 2021, fewer than 1 million shares of common stock were purchased under the ESPP in each period for an aggregate amount of $1 million and $3 million, respectively. No shares of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were purchased under the ESPP during the three months ended September 30, 2022 and 2021.</w:t>
      </w:r>
    </w:p>
    <w:p>
      <w:pPr>
        <w:spacing w:after="0" w:line="126"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the Company’s Class A common stock on (i) the first trading day of the applicable offering period, or (ii) the last</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trading day of each purchase period in the applicable offering period. If the stock price of the Company's Class A common stock on any purchase date in an offering period is lower than the stock price on the enrollment date of that offering period, the offering period will</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immediately reset after the purchase of shares on such purchase date and automatically roll into a new offering period (ESPP reset). During the three and nine months ended September 30, 2022, there was an ESPP reset that resulted in an additional expense of approximately $4 million, which is being recognized over an offering period ending May 20,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5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10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spacing w:after="0" w:line="127"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provision for income taxes was $2 million and $3 million for the three and nine months ended September 30, 2022, respectively, and was $4 million and $11 million for the three and nine months ended September 30, 2021, respectively. The year-over-year decrease in provision for income taxes was primarily related to a decrease in pre-tax earnings of the Company’s international operations. The Company continues to maintain a valuation allowance on its domestic net deferred tax assets which is excluded from the annual effective tax rate estimate.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22" w:name="page23"/>
    <w:bookmarkEnd w:id="22"/>
    <w:p>
      <w:pPr>
        <w:jc w:val="both"/>
        <w:ind w:firstLine="644"/>
        <w:spacing w:after="0" w:line="287" w:lineRule="auto"/>
        <w:rPr>
          <w:sz w:val="20"/>
          <w:szCs w:val="20"/>
          <w:color w:val="auto"/>
        </w:rPr>
      </w:pPr>
      <w:r>
        <w:rPr>
          <w:rFonts w:ascii="Arial" w:cs="Arial" w:eastAsia="Arial" w:hAnsi="Arial"/>
          <w:sz w:val="18"/>
          <w:szCs w:val="18"/>
          <w:color w:val="auto"/>
        </w:rPr>
        <w:t>Unrecognized tax benefits as of September 30, 2022 and December 31, 2021 were insignificant. Interest and penalties associated with the unrecognized tax benefits as of September 30, 2022 and December 31, 2021 were also insignificant.</w:t>
      </w:r>
    </w:p>
    <w:p>
      <w:pPr>
        <w:spacing w:after="0" w:line="85"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federal and state tax returns remain open to examination. Certain tax years are subject to foreign income tax examinations by tax authorities until the statute of limitations expire.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58"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The Company computes net loss per share attributable to common stockholders using the two-class method required for multiple classes of common stock and participating securities. 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loss per share attributed to common stockholders will, therefore, be the same for both Class A and Class B common stock on an individual or combined basis.</w:t>
      </w:r>
    </w:p>
    <w:p>
      <w:pPr>
        <w:spacing w:after="0" w:line="121"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Effective August 9, 2022, all Class B common stock were converted to Class A common stock. Net loss per share for the three and nine months ended September 30, 2022 and 2021 were not affected by the conversion.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right"/>
              <w:ind w:right="52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80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40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(124 )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(64 )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(274 )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280"/>
              <w:spacing w:after="0" w:line="170" w:lineRule="exact"/>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20" w:type="dxa"/>
            <w:vAlign w:val="bottom"/>
          </w:tcPr>
          <w:p>
            <w:pPr>
              <w:ind w:left="280"/>
              <w:spacing w:after="0" w:line="195" w:lineRule="exact"/>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26"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As of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0"/>
        </w:trPr>
        <w:tc>
          <w:tcPr>
            <w:tcW w:w="7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8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Common stock options outstanding</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r>
      <w:tr>
        <w:trPr>
          <w:trHeight w:val="216"/>
        </w:trPr>
        <w:tc>
          <w:tcPr>
            <w:tcW w:w="88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Unvested RSUs</w:t>
            </w:r>
            <w:r>
              <w:rPr>
                <w:rFonts w:ascii="Arial" w:cs="Arial" w:eastAsia="Arial" w:hAnsi="Arial"/>
                <w:sz w:val="24"/>
                <w:szCs w:val="24"/>
                <w:color w:val="auto"/>
                <w:vertAlign w:val="superscript"/>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1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7"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Unvested RSUs outstanding as of September 30, 2021 include 11 million PSUs, which were cancelled in the first quarter of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71"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w w:val="99"/>
              </w:rPr>
              <w:t>Three Months Ended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millions)</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line="195" w:lineRule="exact"/>
              <w:rPr>
                <w:sz w:val="20"/>
                <w:szCs w:val="20"/>
                <w:color w:val="auto"/>
              </w:rPr>
            </w:pPr>
            <w:r>
              <w:rPr>
                <w:rFonts w:ascii="Arial" w:cs="Arial" w:eastAsia="Arial" w:hAnsi="Arial"/>
                <w:sz w:val="18"/>
                <w:szCs w:val="18"/>
                <w:color w:val="auto"/>
              </w:rPr>
              <w:t>Europe</w:t>
            </w: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right"/>
              <w:ind w:right="380"/>
              <w:spacing w:after="0" w:line="195" w:lineRule="exact"/>
              <w:rPr>
                <w:sz w:val="20"/>
                <w:szCs w:val="20"/>
                <w:color w:val="auto"/>
              </w:rPr>
            </w:pPr>
            <w:r>
              <w:rPr>
                <w:rFonts w:ascii="Arial" w:cs="Arial" w:eastAsia="Arial" w:hAnsi="Arial"/>
                <w:sz w:val="18"/>
                <w:szCs w:val="18"/>
                <w:color w:val="auto"/>
              </w:rPr>
              <w:t>40 % $</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rPr>
              <w:t>38 % $</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right"/>
              <w:ind w:right="120"/>
              <w:spacing w:after="0" w:line="195" w:lineRule="exact"/>
              <w:rPr>
                <w:sz w:val="20"/>
                <w:szCs w:val="20"/>
                <w:color w:val="auto"/>
              </w:rPr>
            </w:pPr>
            <w:r>
              <w:rPr>
                <w:rFonts w:ascii="Arial" w:cs="Arial" w:eastAsia="Arial" w:hAnsi="Arial"/>
                <w:sz w:val="18"/>
                <w:szCs w:val="18"/>
                <w:color w:val="auto"/>
              </w:rPr>
              <w:t>37 % $</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483</w:t>
            </w:r>
          </w:p>
        </w:tc>
        <w:tc>
          <w:tcPr>
            <w:tcW w:w="13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line="237" w:lineRule="exact"/>
              <w:rPr>
                <w:sz w:val="20"/>
                <w:szCs w:val="20"/>
                <w:color w:val="auto"/>
              </w:rPr>
            </w:pPr>
            <w:r>
              <w:rPr>
                <w:rFonts w:ascii="Arial" w:cs="Arial" w:eastAsia="Arial" w:hAnsi="Arial"/>
                <w:sz w:val="18"/>
                <w:szCs w:val="18"/>
                <w:color w:val="auto"/>
              </w:rPr>
              <w:t>North America</w:t>
            </w:r>
            <w:r>
              <w:rPr>
                <w:rFonts w:ascii="Arial" w:cs="Arial" w:eastAsia="Arial" w:hAnsi="Arial"/>
                <w:sz w:val="24"/>
                <w:szCs w:val="24"/>
                <w:color w:val="auto"/>
                <w:vertAlign w:val="superscript"/>
              </w:rPr>
              <w:t>(1)</w:t>
            </w: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45 %</w:t>
            </w:r>
          </w:p>
        </w:tc>
        <w:tc>
          <w:tcPr>
            <w:tcW w:w="5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5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280"/>
              <w:spacing w:after="0" w:line="183" w:lineRule="exact"/>
              <w:rPr>
                <w:sz w:val="20"/>
                <w:szCs w:val="20"/>
                <w:color w:val="auto"/>
              </w:rPr>
            </w:pPr>
            <w:r>
              <w:rPr>
                <w:rFonts w:ascii="Arial" w:cs="Arial" w:eastAsia="Arial" w:hAnsi="Arial"/>
                <w:sz w:val="18"/>
                <w:szCs w:val="18"/>
                <w:color w:val="auto"/>
              </w:rPr>
              <w:t>Core marketplace</w:t>
            </w: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60" w:type="dxa"/>
            <w:vAlign w:val="bottom"/>
            <w:vMerge w:val="continue"/>
          </w:tcPr>
          <w:p>
            <w:pPr>
              <w:spacing w:after="0"/>
              <w:rPr>
                <w:sz w:val="14"/>
                <w:szCs w:val="1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100 % $</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93"/>
              </w:rPr>
              <w:t>183</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100 % $</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100 % $</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1,038</w:t>
            </w:r>
          </w:p>
        </w:tc>
        <w:tc>
          <w:tcPr>
            <w:tcW w:w="136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4"/>
        </w:trPr>
        <w:tc>
          <w:tcPr>
            <w:tcW w:w="2460" w:type="dxa"/>
            <w:vAlign w:val="bottom"/>
          </w:tcPr>
          <w:p>
            <w:pPr>
              <w:ind w:left="280"/>
              <w:spacing w:after="0" w:line="195" w:lineRule="exact"/>
              <w:rPr>
                <w:sz w:val="20"/>
                <w:szCs w:val="20"/>
                <w:color w:val="auto"/>
              </w:rPr>
            </w:pPr>
            <w:r>
              <w:rPr>
                <w:rFonts w:ascii="Arial" w:cs="Arial" w:eastAsia="Arial" w:hAnsi="Arial"/>
                <w:sz w:val="18"/>
                <w:szCs w:val="18"/>
                <w:color w:val="auto"/>
              </w:rPr>
              <w:t>revenue</w:t>
            </w:r>
          </w:p>
        </w:tc>
        <w:tc>
          <w:tcPr>
            <w:tcW w:w="3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3" w:lineRule="exact"/>
        <w:rPr>
          <w:sz w:val="20"/>
          <w:szCs w:val="20"/>
          <w:color w:val="auto"/>
        </w:rPr>
      </w:pPr>
    </w:p>
    <w:p>
      <w:pPr>
        <w:ind w:left="1020" w:right="80" w:hanging="503"/>
        <w:spacing w:after="0" w:line="285"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United States accounted for $14 million and $71 million of core marketplace revenue for the three and nine months ended September 30, 2022, respectively and $63 million and $343 million for the three and nine months ended September 30, 2021, respectively.</w:t>
      </w:r>
    </w:p>
    <w:p>
      <w:pPr>
        <w:spacing w:after="0" w:line="108" w:lineRule="exact"/>
        <w:rPr>
          <w:sz w:val="20"/>
          <w:szCs w:val="20"/>
          <w:color w:val="auto"/>
        </w:rPr>
      </w:pPr>
    </w:p>
    <w:p>
      <w:pPr>
        <w:jc w:val="both"/>
        <w:ind w:right="60" w:firstLine="644"/>
        <w:spacing w:after="0" w:line="271" w:lineRule="auto"/>
        <w:rPr>
          <w:sz w:val="20"/>
          <w:szCs w:val="20"/>
          <w:color w:val="auto"/>
        </w:rPr>
      </w:pPr>
      <w:r>
        <w:rPr>
          <w:rFonts w:ascii="Arial" w:cs="Arial" w:eastAsia="Arial" w:hAnsi="Arial"/>
          <w:sz w:val="18"/>
          <w:szCs w:val="18"/>
          <w:color w:val="auto"/>
        </w:rPr>
        <w:t>China accounted for substantially all of marketplace and logistics revenue during the three and nine months ended September 30, 2022 and 2021 based on the location of the merchants’ operations.</w:t>
      </w:r>
    </w:p>
    <w:p>
      <w:pPr>
        <w:spacing w:after="0" w:line="100" w:lineRule="exact"/>
        <w:rPr>
          <w:sz w:val="20"/>
          <w:szCs w:val="20"/>
          <w:color w:val="auto"/>
        </w:rPr>
      </w:pPr>
    </w:p>
    <w:p>
      <w:pPr>
        <w:jc w:val="both"/>
        <w:ind w:right="60" w:firstLine="644"/>
        <w:spacing w:after="0" w:line="261" w:lineRule="auto"/>
        <w:rPr>
          <w:sz w:val="20"/>
          <w:szCs w:val="20"/>
          <w:color w:val="auto"/>
        </w:rPr>
      </w:pPr>
      <w:r>
        <w:rPr>
          <w:rFonts w:ascii="Arial" w:cs="Arial" w:eastAsia="Arial" w:hAnsi="Arial"/>
          <w:sz w:val="18"/>
          <w:szCs w:val="18"/>
          <w:color w:val="auto"/>
        </w:rPr>
        <w:t>The Company’s long -lived tangible assets, which consist of property and equipment, net and operating lease right-of-use assets, net, located in the United States were 83% and 85% of the total long-lived tangible assets as of September 30, 2022 and December 31, 2021, respectively. The long-lived tangible assets outside the United States were located in China, Canada and the Netherlands.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COSTS</w:t>
      </w:r>
    </w:p>
    <w:p>
      <w:pPr>
        <w:spacing w:after="0" w:line="171" w:lineRule="exact"/>
        <w:rPr>
          <w:sz w:val="20"/>
          <w:szCs w:val="20"/>
          <w:color w:val="auto"/>
        </w:rPr>
      </w:pPr>
    </w:p>
    <w:p>
      <w:pPr>
        <w:jc w:val="both"/>
        <w:ind w:right="60" w:firstLine="644"/>
        <w:spacing w:after="0" w:line="247" w:lineRule="auto"/>
        <w:rPr>
          <w:sz w:val="20"/>
          <w:szCs w:val="20"/>
          <w:color w:val="auto"/>
        </w:rPr>
      </w:pPr>
      <w:r>
        <w:rPr>
          <w:rFonts w:ascii="Arial" w:cs="Arial" w:eastAsia="Arial" w:hAnsi="Arial"/>
          <w:sz w:val="18"/>
          <w:szCs w:val="18"/>
          <w:color w:val="auto"/>
        </w:rPr>
        <w:t>In February 2022, the Company’s Board approved the February 2022 Restructuring Plan (“Restructuring Plan”) to refocus the Company’s operations to support sustainable long-term growth, better align resources, and improve operational efficiencies. The Restructuring Plan includes i) reducing the Company’s headcount by approximately 15% (or approximately 190 positions), ii) exiting various office leases, and iii) reducing and realigning vendor expenditures. The Company expects the Restructuring Plan to be substantially implemented by the end of fiscal year 2022.</w:t>
      </w:r>
    </w:p>
    <w:p>
      <w:pPr>
        <w:spacing w:after="0" w:line="123" w:lineRule="exact"/>
        <w:rPr>
          <w:sz w:val="20"/>
          <w:szCs w:val="20"/>
          <w:color w:val="auto"/>
        </w:rPr>
      </w:pPr>
    </w:p>
    <w:p>
      <w:pPr>
        <w:jc w:val="both"/>
        <w:ind w:right="60" w:firstLine="644"/>
        <w:spacing w:after="0" w:line="252" w:lineRule="auto"/>
        <w:rPr>
          <w:sz w:val="20"/>
          <w:szCs w:val="20"/>
          <w:color w:val="auto"/>
        </w:rPr>
      </w:pPr>
      <w:r>
        <w:rPr>
          <w:rFonts w:ascii="Arial" w:cs="Arial" w:eastAsia="Arial" w:hAnsi="Arial"/>
          <w:sz w:val="18"/>
          <w:szCs w:val="18"/>
          <w:color w:val="auto"/>
        </w:rPr>
        <w:t>During the three months ended September 30, 2022, the Company recorded $5 million in impairments of lease assets and property and equipment. During the nine months ended September 30, 2022, the Company recorded charges of approximately $3 million in severance and other personnel reductions costs for terminated employees and $11 million in impairments of lease assets and property and equipment. All related severance payments have been paid as of September 30, 2022.</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5"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2021 included in our Annual Report on Form 10-K for the year ended December 31, 2021 (the "2021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2021 Form 10-K, as updated and supplemented by our Quarterly Reports on Form 10-Q, including in Part 2, Item 1A, the Special Note Regarding Forward-Looking Statements in this Quarterly Report on Form 10-Q, and elsewhere in this Quarterly Report on Form 10-Q.</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September 30, 2022</w:t>
      </w:r>
    </w:p>
    <w:p>
      <w:pPr>
        <w:spacing w:after="0" w:line="144" w:lineRule="exact"/>
        <w:rPr>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was $125 million.</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and operating expenses were $253 million, including stock-based compensation expense of $26 million.</w:t>
      </w:r>
    </w:p>
    <w:p>
      <w:pPr>
        <w:spacing w:after="0" w:line="4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Loss from operations was $128 million.</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$124 million.</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a loss of $95 million or 76% of total revenue.</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and marketable securities were $837 million.</w:t>
      </w:r>
    </w:p>
    <w:p>
      <w:pPr>
        <w:spacing w:after="0" w:line="143" w:lineRule="exact"/>
        <w:rPr>
          <w:sz w:val="20"/>
          <w:szCs w:val="20"/>
          <w:color w:val="auto"/>
        </w:rPr>
      </w:pPr>
    </w:p>
    <w:p>
      <w:pPr>
        <w:jc w:val="both"/>
        <w:ind w:firstLine="644"/>
        <w:spacing w:after="0" w:line="221" w:lineRule="auto"/>
        <w:rPr>
          <w:sz w:val="20"/>
          <w:szCs w:val="20"/>
          <w:color w:val="auto"/>
        </w:rPr>
      </w:pPr>
      <w:r>
        <w:rPr>
          <w:rFonts w:ascii="Arial" w:cs="Arial" w:eastAsia="Arial" w:hAnsi="Arial"/>
          <w:sz w:val="18"/>
          <w:szCs w:val="18"/>
          <w:color w:val="auto"/>
        </w:rPr>
        <w:t>As of September 30, 2022, we had an accumulated deficit of $2.8 billion. We expect losses from operations to continue for the foreseeable future as we incur costs and expenses related to brand development, expansion of market share, and continued development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mobile shopping marketplace infrastructure.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nine months of 2022, we continued to face headwinds from the rise in digital advertising costs which has among other</w:t>
      </w:r>
    </w:p>
    <w:p>
      <w:pPr>
        <w:jc w:val="both"/>
        <w:spacing w:after="0" w:line="211" w:lineRule="auto"/>
        <w:rPr>
          <w:sz w:val="20"/>
          <w:szCs w:val="20"/>
          <w:color w:val="auto"/>
        </w:rPr>
      </w:pPr>
      <w:r>
        <w:rPr>
          <w:rFonts w:ascii="Arial" w:cs="Arial" w:eastAsia="Arial" w:hAnsi="Arial"/>
          <w:sz w:val="18"/>
          <w:szCs w:val="18"/>
          <w:color w:val="auto"/>
        </w:rPr>
        <w:t>things impacted new customer acquisition and conversion. In response to the rising cost of digital advertising, starting in the third quarter of 2021, we decided to significantly reduce our digital advertising expenditures as we focused our resources on other strategic initiatives. As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discussed below under “Key Financial and Performance Metrics,” our monthly active users (“MAUs”) and last twelve months (“LTM”) active buyers have been negatively impacted by our decision to significantly reduce our digital advertising expenditures over the past twelve months.</w:t>
      </w:r>
    </w:p>
    <w:p>
      <w:pPr>
        <w:spacing w:after="0" w:line="113" w:lineRule="exact"/>
        <w:rPr>
          <w:sz w:val="20"/>
          <w:szCs w:val="20"/>
          <w:color w:val="auto"/>
        </w:rPr>
      </w:pPr>
    </w:p>
    <w:p>
      <w:pPr>
        <w:jc w:val="both"/>
        <w:ind w:firstLine="644"/>
        <w:spacing w:after="0" w:line="221" w:lineRule="auto"/>
        <w:rPr>
          <w:sz w:val="20"/>
          <w:szCs w:val="20"/>
          <w:color w:val="auto"/>
        </w:rPr>
      </w:pPr>
      <w:r>
        <w:rPr>
          <w:rFonts w:ascii="Arial" w:cs="Arial" w:eastAsia="Arial" w:hAnsi="Arial"/>
          <w:sz w:val="18"/>
          <w:szCs w:val="18"/>
          <w:color w:val="auto"/>
        </w:rPr>
        <w:t>Beginning late June of 2022 and throughout the third quarter of 2022, the Company began to ramp up digital advertising spend and initiated a number of programs such as our corporate rebranding, which we believe could enhance the consumer experience, foster customer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acquisition, increase consumer retention, and position the Company for long-term sustainable growth. However, our digital ad spending in the third quarter of 2022 is significantly lower than the spending levels in the third quarter of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5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As of the date of filing of this Quarterly Report, the outbreak of COVID-19, including recent and any future variants, has affected businesses worldwide, and continues to impact the major markets in which we operate. Our business, operations and financial condition and results have been and may continue to be impacted by the COVID-19 pandemic and a range of external factors related to the COVID-19 pandemic that are not within our control. The COVID-19 pandemic has resulted in significant governmental measures being implemented at various times and in various geographic areas over the course of the pandemic to control the spread of the virus. Our operations as well as the operations of our third-party merchants have been, and we expect will continue to be, disrupted by varying individual and governmental responses to COVID-19 around the world and could be disrupted by future pandemics. In addition, the COVID-19 pandemic and governmental measures to control it, have also disrupted the global supply chain, which may interfere with the delivery of our merchants’ products to our users.</w:t>
      </w:r>
    </w:p>
    <w:p>
      <w:pPr>
        <w:spacing w:after="0" w:line="123"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Our MAUs, LTM Active Buyers and revenue may be negatively impacted due to a combination of reasons including: (i) macroeconomic factors including changes in consumer spending trends, inflationary trends, national, regional and global recessions; (ii) the disruption of the global supply chain; and (iii) changing consumer shopping habits including the return worldwide of retail brick and mortar businesses.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February 2022 Restructuring Plan</w:t>
      </w:r>
    </w:p>
    <w:p>
      <w:pPr>
        <w:spacing w:after="0" w:line="171"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In February 2022, our Board of Directors approved the Restructuring Plan to refocus our operations to support sustainable long-term growth, better align resources, and improve operational efficiencies. We expect the Restructuring Plan to be substantially implemented by the end of fiscal year 2022.</w:t>
      </w:r>
    </w:p>
    <w:p>
      <w:pPr>
        <w:spacing w:after="0" w:line="128" w:lineRule="exact"/>
        <w:rPr>
          <w:sz w:val="20"/>
          <w:szCs w:val="20"/>
          <w:color w:val="auto"/>
        </w:rPr>
      </w:pPr>
    </w:p>
    <w:p>
      <w:pPr>
        <w:jc w:val="both"/>
        <w:ind w:right="100" w:firstLine="644"/>
        <w:spacing w:after="0" w:line="247" w:lineRule="auto"/>
        <w:rPr>
          <w:sz w:val="20"/>
          <w:szCs w:val="20"/>
          <w:color w:val="auto"/>
        </w:rPr>
      </w:pPr>
      <w:r>
        <w:rPr>
          <w:rFonts w:ascii="Arial" w:cs="Arial" w:eastAsia="Arial" w:hAnsi="Arial"/>
          <w:sz w:val="18"/>
          <w:szCs w:val="18"/>
          <w:color w:val="auto"/>
        </w:rPr>
        <w:t>The Restructuring Plan includes i) reducing our headcount by approximately 15% (or approximately 190 positions), ii) exiting various office leases, and iii) reducing and realigning vendor expenditures. During the three months ended September 30, 2022, we recorded charges of approximately $5 million in impairments of lease assets and property and equipment. During the nine months ended September 30, 2022, we recorded charges of $3 million in severance and other personnel reductions costs for terminated employees and $11 million in impairments of lease assets and property and equipment.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58" w:lineRule="exact"/>
        <w:rPr>
          <w:sz w:val="20"/>
          <w:szCs w:val="20"/>
          <w:color w:val="auto"/>
        </w:rPr>
      </w:pPr>
    </w:p>
    <w:p>
      <w:pPr>
        <w:jc w:val="both"/>
        <w:ind w:right="100" w:firstLine="644"/>
        <w:spacing w:after="0" w:line="251" w:lineRule="auto"/>
        <w:rPr>
          <w:sz w:val="20"/>
          <w:szCs w:val="20"/>
          <w:color w:val="auto"/>
        </w:rPr>
      </w:pPr>
      <w:r>
        <w:rPr>
          <w:rFonts w:ascii="Arial" w:cs="Arial" w:eastAsia="Arial" w:hAnsi="Arial"/>
          <w:sz w:val="18"/>
          <w:szCs w:val="18"/>
          <w:color w:val="auto"/>
        </w:rPr>
        <w:t>Our business benefits from powerful network effects, fueled by our data advantage and massive scale. As more users join Wish, attracted by our affordable value proposition and personalized shopping experiences, we are able to increase revenue potential for our merchants. The successes of our merchants attract more merchants and broaden the product selection on Wish’s platform, which further improves user experiences. The growth in users and merchants generates more data, which, in turn, refines our algorithm and strengthens our data advantage. By focusing on users and merchants, we align their success with our own.</w:t>
      </w:r>
    </w:p>
    <w:p>
      <w:pPr>
        <w:spacing w:after="0" w:line="119" w:lineRule="exact"/>
        <w:rPr>
          <w:sz w:val="20"/>
          <w:szCs w:val="20"/>
          <w:color w:val="auto"/>
        </w:rPr>
      </w:pPr>
    </w:p>
    <w:p>
      <w:pPr>
        <w:jc w:val="both"/>
        <w:ind w:right="100" w:firstLine="636"/>
        <w:spacing w:after="0" w:line="261" w:lineRule="auto"/>
        <w:rPr>
          <w:sz w:val="20"/>
          <w:szCs w:val="20"/>
          <w:color w:val="auto"/>
        </w:rPr>
      </w:pPr>
      <w:r>
        <w:rPr>
          <w:rFonts w:ascii="Arial" w:cs="Arial" w:eastAsia="Arial" w:hAnsi="Arial"/>
          <w:sz w:val="18"/>
          <w:szCs w:val="18"/>
          <w:color w:val="auto"/>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44" w:lineRule="exact"/>
        <w:rPr>
          <w:sz w:val="20"/>
          <w:szCs w:val="20"/>
          <w:color w:val="auto"/>
        </w:rPr>
      </w:pPr>
    </w:p>
    <w:p>
      <w:pPr>
        <w:jc w:val="both"/>
        <w:ind w:right="100" w:firstLine="644"/>
        <w:spacing w:after="0" w:line="256" w:lineRule="auto"/>
        <w:rPr>
          <w:sz w:val="20"/>
          <w:szCs w:val="20"/>
          <w:color w:val="auto"/>
        </w:rPr>
      </w:pPr>
      <w:r>
        <w:rPr>
          <w:rFonts w:ascii="Arial" w:cs="Arial" w:eastAsia="Arial" w:hAnsi="Arial"/>
          <w:sz w:val="18"/>
          <w:szCs w:val="18"/>
          <w:color w:val="auto"/>
        </w:rPr>
        <w:t>In addition to the measures presented in our condensed consolidated financial statements, we monitor the following key metrics and other financial information to measure our performance, identify trends affecting our business, and make strategic decisions.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8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39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94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millions)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MAU</w:t>
            </w: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LTM Active Buyers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(95 )</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(30 )</w:t>
            </w:r>
          </w:p>
        </w:tc>
        <w:tc>
          <w:tcPr>
            <w:tcW w:w="5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(193 )</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7"/>
                <w:szCs w:val="17"/>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(76 )%</w:t>
            </w:r>
          </w:p>
        </w:tc>
        <w:tc>
          <w:tcPr>
            <w:tcW w:w="9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56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(43 )%</w:t>
            </w:r>
          </w:p>
        </w:tc>
        <w:tc>
          <w:tcPr>
            <w:tcW w:w="66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(10 )%</w:t>
            </w:r>
          </w:p>
        </w:tc>
      </w:tr>
      <w:tr>
        <w:trPr>
          <w:trHeight w:val="20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Free Cash Flow</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(100 )</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(344 )</w:t>
            </w:r>
          </w:p>
        </w:tc>
        <w:tc>
          <w:tcPr>
            <w:tcW w:w="5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(315 )</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(903 )</w:t>
            </w:r>
          </w:p>
        </w:tc>
        <w:tc>
          <w:tcPr>
            <w:tcW w:w="100" w:type="dxa"/>
            <w:vAlign w:val="bottom"/>
          </w:tcPr>
          <w:p>
            <w:pPr>
              <w:spacing w:after="0"/>
              <w:rPr>
                <w:sz w:val="17"/>
                <w:szCs w:val="17"/>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158" w:lineRule="exact"/>
        <w:rPr>
          <w:sz w:val="20"/>
          <w:szCs w:val="20"/>
          <w:color w:val="auto"/>
        </w:rPr>
      </w:pPr>
    </w:p>
    <w:p>
      <w:pPr>
        <w:jc w:val="both"/>
        <w:ind w:right="100" w:firstLine="636"/>
        <w:spacing w:after="0" w:line="251"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brand awareness.</w:t>
      </w:r>
    </w:p>
    <w:p>
      <w:pPr>
        <w:spacing w:after="0" w:line="119" w:lineRule="exact"/>
        <w:rPr>
          <w:sz w:val="20"/>
          <w:szCs w:val="20"/>
          <w:color w:val="auto"/>
        </w:rPr>
      </w:pPr>
    </w:p>
    <w:p>
      <w:pPr>
        <w:jc w:val="both"/>
        <w:ind w:right="100" w:firstLine="636"/>
        <w:spacing w:after="0" w:line="261" w:lineRule="auto"/>
        <w:rPr>
          <w:sz w:val="20"/>
          <w:szCs w:val="20"/>
          <w:color w:val="auto"/>
        </w:rPr>
      </w:pPr>
      <w:r>
        <w:rPr>
          <w:rFonts w:ascii="Arial" w:cs="Arial" w:eastAsia="Arial" w:hAnsi="Arial"/>
          <w:sz w:val="18"/>
          <w:szCs w:val="18"/>
          <w:color w:val="auto"/>
        </w:rPr>
        <w:t>MAUs decreased approximately 60% and 70% for the three and nine months ended September 30, 2022, respectively, compared to the same periods in 2021. We believe this decline was primarily driven by our decision to significantly reduce our digital advertising expenditures.</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LTM Active Buyers</w:t>
      </w:r>
    </w:p>
    <w:p>
      <w:pPr>
        <w:spacing w:after="0" w:line="171"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As of the last date of each reported period, we determine our number of unique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Active Buyers is an indicator of our ability to attract and monetize a large user base to our platform and of our ability to convert visits into purchases. We believe that increasing our Active Buyers will be a significant driver to our future revenue growth.</w:t>
      </w:r>
    </w:p>
    <w:p>
      <w:pPr>
        <w:spacing w:after="0" w:line="13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LTM Active Buyers decreased approximately 65% for the three and nine months ended September 30, 2022 compared to the same periods in 2021. We believe this decline was primarily driven by reduced digital advertising expenditures resulting in lower MAUs and conversion.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Metrics</w:t>
      </w:r>
    </w:p>
    <w:p>
      <w:pPr>
        <w:spacing w:after="0" w:line="171"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6"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We provide Adjusted EBITDA, a non-U.S. GAAP financial measure that represents our net loss before interest and other income, net (which includes foreign exchange gain or loss and gain or loss on one-time transactions recognized), income tax expense, and depreciation and amortization, adjusted to eliminate stock-based compensation expense and related payroll taxes, lease termination and impairment related expenses, and to add back certain recurring other items. Additionally, we provide Adjusted EBITDA Margin, a non-U.S. GAAP financial measure that represents Adjusted EBITDA divided by revenue. Below is a reconciliation of Adjusted EBITDA to net loss, the most directly comparable U.S. GAAP financial measure.</w:t>
      </w:r>
    </w:p>
    <w:p>
      <w:pPr>
        <w:spacing w:after="0" w:line="12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certain non-recurring cash items, and certain variable charges.</w:t>
      </w:r>
    </w:p>
    <w:p>
      <w:pPr>
        <w:spacing w:after="0" w:line="136"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U.S. GAAP. Some of these limitations are:</w:t>
      </w:r>
    </w:p>
    <w:p>
      <w:pPr>
        <w:spacing w:after="0" w:line="100" w:lineRule="exact"/>
        <w:rPr>
          <w:sz w:val="20"/>
          <w:szCs w:val="20"/>
          <w:color w:val="auto"/>
        </w:rPr>
      </w:pPr>
    </w:p>
    <w:p>
      <w:pPr>
        <w:jc w:val="both"/>
        <w:ind w:left="1020" w:hanging="376"/>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8"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89"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consider the impact of stock-based compensation and related payroll taxes;</w:t>
      </w:r>
    </w:p>
    <w:p>
      <w:pPr>
        <w:spacing w:after="0" w:line="75"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75" w:lineRule="exact"/>
        <w:rPr>
          <w:rFonts w:ascii="Times New Roman" w:cs="Times New Roman" w:eastAsia="Times New Roman" w:hAnsi="Times New Roman"/>
          <w:sz w:val="18"/>
          <w:szCs w:val="18"/>
          <w:color w:val="auto"/>
        </w:rPr>
      </w:pPr>
    </w:p>
    <w:p>
      <w:pPr>
        <w:ind w:left="1020" w:hanging="376"/>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86"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loss and our other U.S. GAAP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7" w:name="page28"/>
    <w:bookmarkEnd w:id="27"/>
    <w:p>
      <w:pPr>
        <w:ind w:right="100" w:firstLine="644"/>
        <w:spacing w:after="0" w:line="287"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28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11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w w:val="97"/>
              </w:rPr>
              <w:t>millions)</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4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tcPr>
          <w:p>
            <w:pPr>
              <w:spacing w:after="0"/>
              <w:rPr>
                <w:sz w:val="17"/>
                <w:szCs w:val="17"/>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6"/>
                <w:szCs w:val="16"/>
                <w:color w:val="auto"/>
                <w:w w:val="95"/>
              </w:rPr>
              <w:t>(124 )</w:t>
            </w:r>
          </w:p>
        </w:tc>
        <w:tc>
          <w:tcPr>
            <w:tcW w:w="760" w:type="dxa"/>
            <w:vAlign w:val="bottom"/>
          </w:tcPr>
          <w:p>
            <w:pPr>
              <w:spacing w:after="0"/>
              <w:rPr>
                <w:sz w:val="17"/>
                <w:szCs w:val="17"/>
                <w:color w:val="auto"/>
              </w:rPr>
            </w:pPr>
          </w:p>
        </w:tc>
        <w:tc>
          <w:tcPr>
            <w:tcW w:w="740" w:type="dxa"/>
            <w:vAlign w:val="bottom"/>
            <w:gridSpan w:val="2"/>
          </w:tcPr>
          <w:p>
            <w:pPr>
              <w:jc w:val="right"/>
              <w:ind w:right="259"/>
              <w:spacing w:after="0"/>
              <w:rPr>
                <w:sz w:val="20"/>
                <w:szCs w:val="20"/>
                <w:color w:val="auto"/>
              </w:rPr>
            </w:pPr>
            <w:r>
              <w:rPr>
                <w:rFonts w:ascii="Arial" w:cs="Arial" w:eastAsia="Arial" w:hAnsi="Arial"/>
                <w:sz w:val="16"/>
                <w:szCs w:val="16"/>
                <w:color w:val="auto"/>
              </w:rPr>
              <w:t>(64 )</w:t>
            </w:r>
          </w:p>
        </w:tc>
        <w:tc>
          <w:tcPr>
            <w:tcW w:w="700" w:type="dxa"/>
            <w:vAlign w:val="bottom"/>
          </w:tcPr>
          <w:p>
            <w:pPr>
              <w:spacing w:after="0"/>
              <w:rPr>
                <w:sz w:val="17"/>
                <w:szCs w:val="17"/>
                <w:color w:val="auto"/>
              </w:rPr>
            </w:pPr>
          </w:p>
        </w:tc>
        <w:tc>
          <w:tcPr>
            <w:tcW w:w="760" w:type="dxa"/>
            <w:vAlign w:val="bottom"/>
            <w:gridSpan w:val="2"/>
          </w:tcPr>
          <w:p>
            <w:pPr>
              <w:jc w:val="right"/>
              <w:ind w:right="259"/>
              <w:spacing w:after="0"/>
              <w:rPr>
                <w:sz w:val="20"/>
                <w:szCs w:val="20"/>
                <w:color w:val="auto"/>
              </w:rPr>
            </w:pPr>
            <w:r>
              <w:rPr>
                <w:rFonts w:ascii="Arial" w:cs="Arial" w:eastAsia="Arial" w:hAnsi="Arial"/>
                <w:sz w:val="16"/>
                <w:szCs w:val="16"/>
                <w:color w:val="auto"/>
                <w:w w:val="95"/>
              </w:rPr>
              <w:t>(274 )</w:t>
            </w:r>
          </w:p>
        </w:tc>
        <w:tc>
          <w:tcPr>
            <w:tcW w:w="6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(303 )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Arial" w:cs="Arial" w:eastAsia="Arial" w:hAnsi="Arial"/>
                <w:sz w:val="16"/>
                <w:szCs w:val="16"/>
                <w:color w:val="auto"/>
              </w:rPr>
              <w:t>Net loss as a percentage of revenue</w:t>
            </w:r>
          </w:p>
        </w:tc>
        <w:tc>
          <w:tcPr>
            <w:tcW w:w="72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6"/>
                <w:szCs w:val="16"/>
                <w:color w:val="auto"/>
              </w:rPr>
              <w:t>(99 )%</w:t>
            </w:r>
          </w:p>
        </w:tc>
        <w:tc>
          <w:tcPr>
            <w:tcW w:w="760" w:type="dxa"/>
            <w:vAlign w:val="bottom"/>
          </w:tcPr>
          <w:p>
            <w:pPr>
              <w:spacing w:after="0"/>
              <w:rPr>
                <w:sz w:val="17"/>
                <w:szCs w:val="17"/>
                <w:color w:val="auto"/>
              </w:rPr>
            </w:pP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rPr>
              <w:t>(17 )%</w:t>
            </w:r>
          </w:p>
        </w:tc>
        <w:tc>
          <w:tcPr>
            <w:tcW w:w="700" w:type="dxa"/>
            <w:vAlign w:val="bottom"/>
          </w:tcPr>
          <w:p>
            <w:pPr>
              <w:spacing w:after="0"/>
              <w:rPr>
                <w:sz w:val="17"/>
                <w:szCs w:val="17"/>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6"/>
                <w:szCs w:val="16"/>
                <w:color w:val="auto"/>
              </w:rPr>
              <w:t>(61 )%</w:t>
            </w:r>
          </w:p>
        </w:tc>
        <w:tc>
          <w:tcPr>
            <w:tcW w:w="6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rPr>
                <w:sz w:val="20"/>
                <w:szCs w:val="20"/>
                <w:color w:val="auto"/>
              </w:rPr>
            </w:pPr>
            <w:r>
              <w:rPr>
                <w:rFonts w:ascii="Arial" w:cs="Arial" w:eastAsia="Arial" w:hAnsi="Arial"/>
                <w:sz w:val="16"/>
                <w:szCs w:val="16"/>
                <w:color w:val="auto"/>
              </w:rPr>
              <w:t>Excluding:</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7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(6 )</w:t>
            </w:r>
          </w:p>
        </w:tc>
        <w:tc>
          <w:tcPr>
            <w:tcW w:w="7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(3 )</w:t>
            </w:r>
          </w:p>
        </w:tc>
        <w:tc>
          <w:tcPr>
            <w:tcW w:w="7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(10 )</w:t>
            </w:r>
          </w:p>
        </w:tc>
        <w:tc>
          <w:tcPr>
            <w:tcW w:w="6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7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4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540" w:type="dxa"/>
            <w:vAlign w:val="bottom"/>
          </w:tcPr>
          <w:p>
            <w:pPr>
              <w:ind w:left="200"/>
              <w:spacing w:after="0" w:line="148" w:lineRule="exact"/>
              <w:rPr>
                <w:sz w:val="20"/>
                <w:szCs w:val="20"/>
                <w:color w:val="auto"/>
              </w:rPr>
            </w:pPr>
            <w:r>
              <w:rPr>
                <w:rFonts w:ascii="Arial" w:cs="Arial" w:eastAsia="Arial" w:hAnsi="Arial"/>
                <w:sz w:val="16"/>
                <w:szCs w:val="16"/>
                <w:color w:val="auto"/>
              </w:rPr>
              <w:t>Stock-based compensation expense and related employer payroll</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line="216" w:lineRule="exact"/>
              <w:rPr>
                <w:sz w:val="20"/>
                <w:szCs w:val="20"/>
                <w:color w:val="auto"/>
              </w:rPr>
            </w:pPr>
            <w:r>
              <w:rPr>
                <w:rFonts w:ascii="Arial" w:cs="Arial" w:eastAsia="Arial" w:hAnsi="Arial"/>
                <w:sz w:val="25"/>
                <w:szCs w:val="25"/>
                <w:color w:val="auto"/>
                <w:vertAlign w:val="subscript"/>
              </w:rPr>
              <w:t>taxes</w:t>
            </w:r>
            <w:r>
              <w:rPr>
                <w:rFonts w:ascii="Arial" w:cs="Arial" w:eastAsia="Arial" w:hAnsi="Arial"/>
                <w:sz w:val="10"/>
                <w:szCs w:val="10"/>
                <w:color w:val="auto"/>
              </w:rPr>
              <w:t>(1)(2)</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55</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impairment related expenses</w:t>
            </w:r>
          </w:p>
        </w:tc>
        <w:tc>
          <w:tcPr>
            <w:tcW w:w="7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0"/>
              <w:spacing w:after="0" w:line="203" w:lineRule="exact"/>
              <w:rPr>
                <w:sz w:val="20"/>
                <w:szCs w:val="20"/>
                <w:color w:val="auto"/>
              </w:rPr>
            </w:pPr>
            <w:r>
              <w:rPr>
                <w:rFonts w:ascii="Arial" w:cs="Arial" w:eastAsia="Arial" w:hAnsi="Arial"/>
                <w:sz w:val="16"/>
                <w:szCs w:val="16"/>
                <w:color w:val="auto"/>
              </w:rPr>
              <w:t>Restructuring and other discrete items</w:t>
            </w:r>
            <w:r>
              <w:rPr>
                <w:rFonts w:ascii="Arial" w:cs="Arial" w:eastAsia="Arial" w:hAnsi="Arial"/>
                <w:sz w:val="21"/>
                <w:szCs w:val="21"/>
                <w:color w:val="auto"/>
                <w:vertAlign w:val="superscript"/>
              </w:rPr>
              <w:t>(3)</w:t>
            </w:r>
          </w:p>
        </w:tc>
        <w:tc>
          <w:tcPr>
            <w:tcW w:w="7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29</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Recurring other items</w:t>
            </w: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(1 )</w:t>
            </w:r>
          </w:p>
        </w:tc>
        <w:tc>
          <w:tcPr>
            <w:tcW w:w="6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720" w:type="dxa"/>
            <w:vAlign w:val="bottom"/>
          </w:tcPr>
          <w:p>
            <w:pPr>
              <w:spacing w:after="0"/>
              <w:rPr>
                <w:sz w:val="17"/>
                <w:szCs w:val="17"/>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6"/>
                <w:szCs w:val="16"/>
                <w:color w:val="auto"/>
              </w:rPr>
              <w:t>(95 )</w:t>
            </w:r>
          </w:p>
        </w:tc>
        <w:tc>
          <w:tcPr>
            <w:tcW w:w="760" w:type="dxa"/>
            <w:vAlign w:val="bottom"/>
          </w:tcPr>
          <w:p>
            <w:pPr>
              <w:spacing w:after="0"/>
              <w:rPr>
                <w:sz w:val="17"/>
                <w:szCs w:val="17"/>
                <w:color w:val="auto"/>
              </w:rPr>
            </w:pPr>
          </w:p>
        </w:tc>
        <w:tc>
          <w:tcPr>
            <w:tcW w:w="740" w:type="dxa"/>
            <w:vAlign w:val="bottom"/>
            <w:gridSpan w:val="2"/>
          </w:tcPr>
          <w:p>
            <w:pPr>
              <w:jc w:val="right"/>
              <w:ind w:right="259"/>
              <w:spacing w:after="0"/>
              <w:rPr>
                <w:sz w:val="20"/>
                <w:szCs w:val="20"/>
                <w:color w:val="auto"/>
              </w:rPr>
            </w:pPr>
            <w:r>
              <w:rPr>
                <w:rFonts w:ascii="Arial" w:cs="Arial" w:eastAsia="Arial" w:hAnsi="Arial"/>
                <w:sz w:val="16"/>
                <w:szCs w:val="16"/>
                <w:color w:val="auto"/>
              </w:rPr>
              <w:t>(30 )</w:t>
            </w:r>
          </w:p>
        </w:tc>
        <w:tc>
          <w:tcPr>
            <w:tcW w:w="700" w:type="dxa"/>
            <w:vAlign w:val="bottom"/>
          </w:tcPr>
          <w:p>
            <w:pPr>
              <w:spacing w:after="0"/>
              <w:rPr>
                <w:sz w:val="17"/>
                <w:szCs w:val="17"/>
                <w:color w:val="auto"/>
              </w:rPr>
            </w:pPr>
          </w:p>
        </w:tc>
        <w:tc>
          <w:tcPr>
            <w:tcW w:w="760" w:type="dxa"/>
            <w:vAlign w:val="bottom"/>
            <w:gridSpan w:val="2"/>
          </w:tcPr>
          <w:p>
            <w:pPr>
              <w:jc w:val="right"/>
              <w:ind w:right="259"/>
              <w:spacing w:after="0"/>
              <w:rPr>
                <w:sz w:val="20"/>
                <w:szCs w:val="20"/>
                <w:color w:val="auto"/>
              </w:rPr>
            </w:pPr>
            <w:r>
              <w:rPr>
                <w:rFonts w:ascii="Arial" w:cs="Arial" w:eastAsia="Arial" w:hAnsi="Arial"/>
                <w:sz w:val="16"/>
                <w:szCs w:val="16"/>
                <w:color w:val="auto"/>
                <w:w w:val="95"/>
              </w:rPr>
              <w:t>(193 )</w:t>
            </w:r>
          </w:p>
        </w:tc>
        <w:tc>
          <w:tcPr>
            <w:tcW w:w="6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300"/>
              <w:spacing w:after="0"/>
              <w:rPr>
                <w:sz w:val="20"/>
                <w:szCs w:val="20"/>
                <w:color w:val="auto"/>
              </w:rPr>
            </w:pPr>
            <w:r>
              <w:rPr>
                <w:rFonts w:ascii="Arial" w:cs="Arial" w:eastAsia="Arial" w:hAnsi="Arial"/>
                <w:sz w:val="16"/>
                <w:szCs w:val="16"/>
                <w:color w:val="auto"/>
              </w:rPr>
              <w:t>Adjusted EBITDA margin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line="20" w:lineRule="exact"/>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60" w:type="dxa"/>
            <w:vAlign w:val="bottom"/>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20" w:type="dxa"/>
            <w:vAlign w:val="bottom"/>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420" w:type="dxa"/>
            <w:vAlign w:val="bottom"/>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6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79" w:lineRule="exact"/>
        <w:rPr>
          <w:sz w:val="20"/>
          <w:szCs w:val="20"/>
          <w:color w:val="auto"/>
        </w:rPr>
      </w:pPr>
    </w:p>
    <w:p>
      <w:pPr>
        <w:jc w:val="both"/>
        <w:ind w:left="1020" w:right="100" w:hanging="503"/>
        <w:spacing w:after="0" w:line="258"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amount for the three months ended September 30, 2022 consists of $26 million of stock-based compensation expense and $1 million of related employer payroll taxes. Total amount for the three months ended September 30, 2021 consists of $30 million of stock-based compensation expense. Total amount for the nine months ended September 30, 2022 consists of $53 million of stock-based compensation expense and $2 million of related employer payroll taxes. Total amount for nine months ended September 30, 2021 consists of $104 million of stock-based compensation expense and $7 million of related employer payroll taxes.</w:t>
      </w:r>
    </w:p>
    <w:p>
      <w:pPr>
        <w:spacing w:after="0" w:line="252" w:lineRule="exact"/>
        <w:rPr>
          <w:rFonts w:ascii="Arial" w:cs="Arial" w:eastAsia="Arial" w:hAnsi="Arial"/>
          <w:sz w:val="14"/>
          <w:szCs w:val="14"/>
          <w:color w:val="auto"/>
        </w:rPr>
      </w:pPr>
    </w:p>
    <w:p>
      <w:pPr>
        <w:jc w:val="both"/>
        <w:ind w:left="1020" w:right="100" w:hanging="503"/>
        <w:spacing w:after="0" w:line="256"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stock-based compensation and related employer payroll taxes for the nine months ended September 30, 2022 decreased by $56 million compared to the nine months ended September 30, 2021 primarily due to forfeitures driven by the resignation of Mr. Szulczewski from his former position as CEO, reductions to the Company’s workforce as part of the Company’s February 2022 Restructuring Plan, and modifications to the Company’s former Executive Chair’s equity awards. These reductions were partially offset by the acceleration of Mr. Talwar's equity awards upon his termination from his position as CEO.</w:t>
      </w:r>
    </w:p>
    <w:p>
      <w:pPr>
        <w:spacing w:after="0" w:line="82" w:lineRule="exact"/>
        <w:rPr>
          <w:rFonts w:ascii="Arial" w:cs="Arial" w:eastAsia="Arial" w:hAnsi="Arial"/>
          <w:sz w:val="14"/>
          <w:szCs w:val="14"/>
          <w:color w:val="auto"/>
        </w:rPr>
      </w:pPr>
    </w:p>
    <w:p>
      <w:pPr>
        <w:jc w:val="both"/>
        <w:ind w:left="1020" w:right="100" w:hanging="503"/>
        <w:spacing w:after="0" w:line="256"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amount for the three months ended September 30, 2022 includes restructuring charges consisting of $5 million in impairment of lease assets and property and equipment. Total amount for the nine months ended September 30, 2022 includes a $15 million one-time discretionary cash bonus paid to select employees to cover their respective tax obligations triggered by the settlement of their RSUs that vested upon the Company’s IPO as well as restructuring charges consisting of $3 million of employee severance and $11 million in impairment of lease assets and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56" w:lineRule="exact"/>
        <w:rPr>
          <w:sz w:val="20"/>
          <w:szCs w:val="20"/>
          <w:color w:val="auto"/>
        </w:rPr>
      </w:pPr>
    </w:p>
    <w:p>
      <w:pPr>
        <w:jc w:val="both"/>
        <w:ind w:right="100" w:firstLine="636"/>
        <w:spacing w:after="0" w:line="253" w:lineRule="auto"/>
        <w:rPr>
          <w:sz w:val="20"/>
          <w:szCs w:val="20"/>
          <w:color w:val="auto"/>
        </w:rPr>
      </w:pPr>
      <w:r>
        <w:rPr>
          <w:rFonts w:ascii="Arial" w:cs="Arial" w:eastAsia="Arial" w:hAnsi="Arial"/>
          <w:sz w:val="18"/>
          <w:szCs w:val="18"/>
          <w:color w:val="auto"/>
        </w:rPr>
        <w:t>We also provide Free Cash Flow, a non-U.S. GAAP financial measure that represents net cash used in operating activities less purchases of property and equipment. We believe that Free Cash Flow is an important measure since we use third parties to host our services and therefore we do not incur significant capital expenditures to support revenue generating activities.</w:t>
      </w:r>
    </w:p>
    <w:p>
      <w:pPr>
        <w:spacing w:after="0" w:line="128" w:lineRule="exact"/>
        <w:rPr>
          <w:sz w:val="20"/>
          <w:szCs w:val="20"/>
          <w:color w:val="auto"/>
        </w:rPr>
      </w:pPr>
    </w:p>
    <w:p>
      <w:pPr>
        <w:jc w:val="both"/>
        <w:ind w:right="100" w:firstLine="636"/>
        <w:spacing w:after="0" w:line="271"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U.S. GAAP. Some of these limitations are:</w:t>
      </w:r>
    </w:p>
    <w:p>
      <w:pPr>
        <w:spacing w:after="0" w:line="100" w:lineRule="exact"/>
        <w:rPr>
          <w:sz w:val="20"/>
          <w:szCs w:val="20"/>
          <w:color w:val="auto"/>
        </w:rPr>
      </w:pPr>
    </w:p>
    <w:p>
      <w:pPr>
        <w:ind w:left="1020" w:hanging="376"/>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it is not a substitute for net cash used in operating activities;</w:t>
      </w:r>
    </w:p>
    <w:p>
      <w:pPr>
        <w:spacing w:after="0" w:line="89" w:lineRule="exact"/>
        <w:rPr>
          <w:rFonts w:ascii="Times New Roman" w:cs="Times New Roman" w:eastAsia="Times New Roman" w:hAnsi="Times New Roman"/>
          <w:sz w:val="18"/>
          <w:szCs w:val="18"/>
          <w:color w:val="auto"/>
        </w:rPr>
      </w:pPr>
    </w:p>
    <w:p>
      <w:pPr>
        <w:jc w:val="both"/>
        <w:ind w:left="1020" w:right="100" w:hanging="376"/>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companies may calculate Free Cash Flow or similarly titled non-U.S. GAAP measures differently or may use other measures to evaluate their performance, all of which could reduce the usefulness of free cash flow as a tool for comparison; and</w:t>
      </w:r>
    </w:p>
    <w:p>
      <w:pPr>
        <w:spacing w:after="0" w:line="19" w:lineRule="exact"/>
        <w:rPr>
          <w:rFonts w:ascii="Times New Roman" w:cs="Times New Roman" w:eastAsia="Times New Roman" w:hAnsi="Times New Roman"/>
          <w:sz w:val="18"/>
          <w:szCs w:val="18"/>
          <w:color w:val="auto"/>
        </w:rPr>
      </w:pPr>
    </w:p>
    <w:p>
      <w:pPr>
        <w:ind w:left="1020" w:right="100" w:hanging="376"/>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86"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used in operating activities, net loss and our other U.S. GAAP results.</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5" w:right="239" w:bottom="1440" w:gutter="0" w:footer="0" w:header="0"/>
        </w:sectPr>
      </w:pPr>
    </w:p>
    <w:bookmarkStart w:id="28" w:name="page29"/>
    <w:bookmarkEnd w:id="28"/>
    <w:p>
      <w:pPr>
        <w:ind w:firstLine="644"/>
        <w:spacing w:after="0" w:line="287" w:lineRule="auto"/>
        <w:rPr>
          <w:sz w:val="20"/>
          <w:szCs w:val="20"/>
          <w:color w:val="auto"/>
        </w:rPr>
      </w:pPr>
      <w:r>
        <w:rPr>
          <w:rFonts w:ascii="Arial" w:cs="Arial" w:eastAsia="Arial" w:hAnsi="Arial"/>
          <w:sz w:val="18"/>
          <w:szCs w:val="18"/>
          <w:color w:val="auto"/>
        </w:rPr>
        <w:t>The following table reflects the reconciliation of net cash used in operating activities to Free Cash Flow for each of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6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(100 )</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(344 )</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(313 )</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(902 )</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820" w:type="dxa"/>
            <w:vAlign w:val="bottom"/>
            <w:shd w:val="clear" w:color="auto" w:fill="CFF0FC"/>
          </w:tcPr>
          <w:p>
            <w:pPr>
              <w:ind w:left="280"/>
              <w:spacing w:after="0" w:line="161" w:lineRule="exact"/>
              <w:rPr>
                <w:sz w:val="20"/>
                <w:szCs w:val="20"/>
                <w:color w:val="auto"/>
              </w:rPr>
            </w:pPr>
            <w:r>
              <w:rPr>
                <w:rFonts w:ascii="Arial" w:cs="Arial" w:eastAsia="Arial" w:hAnsi="Arial"/>
                <w:sz w:val="16"/>
                <w:szCs w:val="16"/>
                <w:color w:val="auto"/>
              </w:rPr>
              <w:t>Purchases of property and equipment and development of</w:t>
            </w:r>
          </w:p>
        </w:tc>
        <w:tc>
          <w:tcPr>
            <w:tcW w:w="96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internal-use software</w:t>
            </w:r>
          </w:p>
        </w:tc>
        <w:tc>
          <w:tcPr>
            <w:tcW w:w="96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vMerge w:val="continue"/>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vMerge w:val="continue"/>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80"/>
              <w:spacing w:after="0"/>
              <w:rPr>
                <w:sz w:val="20"/>
                <w:szCs w:val="20"/>
                <w:color w:val="auto"/>
              </w:rPr>
            </w:pPr>
            <w:r>
              <w:rPr>
                <w:rFonts w:ascii="Arial" w:cs="Arial" w:eastAsia="Arial" w:hAnsi="Arial"/>
                <w:sz w:val="16"/>
                <w:szCs w:val="16"/>
                <w:color w:val="auto"/>
              </w:rPr>
              <w:t>Free Cash Flow</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(100 )</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(344 )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(315 )</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(903 )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-162560</wp:posOffset>
            </wp:positionV>
            <wp:extent cx="76835"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6858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The following table shows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Nine Months Ended</w:t>
            </w:r>
          </w:p>
        </w:tc>
      </w:tr>
      <w:tr>
        <w:trPr>
          <w:trHeight w:val="217"/>
        </w:trPr>
        <w:tc>
          <w:tcPr>
            <w:tcW w:w="5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7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7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7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r>
      <w:tr>
        <w:trPr>
          <w:trHeight w:val="196"/>
        </w:trPr>
        <w:tc>
          <w:tcPr>
            <w:tcW w:w="52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7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ind w:left="280"/>
              <w:spacing w:after="0" w:line="203"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7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FF0FC"/>
          </w:tcPr>
          <w:p>
            <w:pPr>
              <w:spacing w:after="0"/>
              <w:rPr>
                <w:sz w:val="17"/>
                <w:szCs w:val="17"/>
                <w:color w:val="auto"/>
              </w:rPr>
            </w:pPr>
          </w:p>
        </w:tc>
      </w:tr>
      <w:tr>
        <w:trPr>
          <w:trHeight w:val="203"/>
        </w:trPr>
        <w:tc>
          <w:tcPr>
            <w:tcW w:w="5200" w:type="dxa"/>
            <w:vAlign w:val="bottom"/>
          </w:tcPr>
          <w:p>
            <w:pPr>
              <w:ind w:left="280"/>
              <w:spacing w:after="0" w:line="203" w:lineRule="exact"/>
              <w:rPr>
                <w:sz w:val="20"/>
                <w:szCs w:val="20"/>
                <w:color w:val="auto"/>
              </w:rPr>
            </w:pPr>
            <w:r>
              <w:rPr>
                <w:rFonts w:ascii="Arial" w:cs="Arial" w:eastAsia="Arial" w:hAnsi="Arial"/>
                <w:sz w:val="16"/>
                <w:szCs w:val="16"/>
                <w:color w:val="auto"/>
              </w:rPr>
              <w:t>Product development</w:t>
            </w:r>
            <w:r>
              <w:rPr>
                <w:rFonts w:ascii="Arial" w:cs="Arial" w:eastAsia="Arial" w:hAnsi="Arial"/>
                <w:sz w:val="21"/>
                <w:szCs w:val="21"/>
                <w:color w:val="auto"/>
                <w:vertAlign w:val="superscript"/>
              </w:rPr>
              <w:t>(1)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54</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r>
      <w:tr>
        <w:trPr>
          <w:trHeight w:val="203"/>
        </w:trPr>
        <w:tc>
          <w:tcPr>
            <w:tcW w:w="5200" w:type="dxa"/>
            <w:vAlign w:val="bottom"/>
            <w:tcBorders>
              <w:bottom w:val="single" w:sz="8" w:color="CFF0FC"/>
            </w:tcBorders>
            <w:shd w:val="clear" w:color="auto" w:fill="CFF0FC"/>
          </w:tcPr>
          <w:p>
            <w:pPr>
              <w:ind w:left="280"/>
              <w:spacing w:after="0" w:line="203"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7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7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0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230</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421</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(128 )</w:t>
            </w:r>
          </w:p>
        </w:tc>
        <w:tc>
          <w:tcPr>
            <w:tcW w:w="7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20"/>
              <w:spacing w:after="0"/>
              <w:rPr>
                <w:sz w:val="20"/>
                <w:szCs w:val="20"/>
                <w:color w:val="auto"/>
              </w:rPr>
            </w:pPr>
            <w:r>
              <w:rPr>
                <w:rFonts w:ascii="Arial" w:cs="Arial" w:eastAsia="Arial" w:hAnsi="Arial"/>
                <w:sz w:val="16"/>
                <w:szCs w:val="16"/>
                <w:color w:val="auto"/>
              </w:rPr>
              <w:t>(63 )</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20"/>
              <w:spacing w:after="0"/>
              <w:rPr>
                <w:sz w:val="20"/>
                <w:szCs w:val="20"/>
                <w:color w:val="auto"/>
              </w:rPr>
            </w:pPr>
            <w:r>
              <w:rPr>
                <w:rFonts w:ascii="Arial" w:cs="Arial" w:eastAsia="Arial" w:hAnsi="Arial"/>
                <w:sz w:val="16"/>
                <w:szCs w:val="16"/>
                <w:color w:val="auto"/>
              </w:rPr>
              <w:t>(281 )</w:t>
            </w:r>
          </w:p>
        </w:tc>
        <w:tc>
          <w:tcPr>
            <w:tcW w:w="3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(303 )</w:t>
            </w: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Interest and other income, net</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7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7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00" w:type="dxa"/>
            <w:vAlign w:val="bottom"/>
          </w:tcPr>
          <w:p>
            <w:pPr>
              <w:ind w:left="280"/>
              <w:spacing w:after="0"/>
              <w:rPr>
                <w:sz w:val="20"/>
                <w:szCs w:val="20"/>
                <w:color w:val="auto"/>
              </w:rPr>
            </w:pPr>
            <w:r>
              <w:rPr>
                <w:rFonts w:ascii="Arial" w:cs="Arial" w:eastAsia="Arial" w:hAnsi="Arial"/>
                <w:sz w:val="16"/>
                <w:szCs w:val="16"/>
                <w:color w:val="auto"/>
              </w:rPr>
              <w:t>Loss before provision for income taxes</w:t>
            </w:r>
          </w:p>
        </w:tc>
        <w:tc>
          <w:tcPr>
            <w:tcW w:w="180" w:type="dxa"/>
            <w:vAlign w:val="bottom"/>
          </w:tcPr>
          <w:p>
            <w:pPr>
              <w:spacing w:after="0"/>
              <w:rPr>
                <w:sz w:val="17"/>
                <w:szCs w:val="17"/>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6"/>
                <w:szCs w:val="16"/>
                <w:color w:val="auto"/>
              </w:rPr>
              <w:t>(122 )</w:t>
            </w:r>
          </w:p>
        </w:tc>
        <w:tc>
          <w:tcPr>
            <w:tcW w:w="70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(60 )</w:t>
            </w:r>
          </w:p>
        </w:tc>
        <w:tc>
          <w:tcPr>
            <w:tcW w:w="180" w:type="dxa"/>
            <w:vAlign w:val="bottom"/>
          </w:tcPr>
          <w:p>
            <w:pPr>
              <w:spacing w:after="0"/>
              <w:rPr>
                <w:sz w:val="17"/>
                <w:szCs w:val="17"/>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6"/>
                <w:szCs w:val="16"/>
                <w:color w:val="auto"/>
              </w:rPr>
              <w:t>(271 )</w:t>
            </w:r>
          </w:p>
        </w:tc>
        <w:tc>
          <w:tcPr>
            <w:tcW w:w="3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(292 )</w:t>
            </w:r>
          </w:p>
        </w:tc>
      </w:tr>
      <w:tr>
        <w:trPr>
          <w:trHeight w:val="203"/>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7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640"/>
              <w:spacing w:after="0"/>
              <w:rPr>
                <w:sz w:val="20"/>
                <w:szCs w:val="20"/>
                <w:color w:val="auto"/>
              </w:rPr>
            </w:pPr>
            <w:r>
              <w:rPr>
                <w:rFonts w:ascii="Arial" w:cs="Arial" w:eastAsia="Arial" w:hAnsi="Arial"/>
                <w:sz w:val="16"/>
                <w:szCs w:val="16"/>
                <w:color w:val="auto"/>
              </w:rPr>
              <w:t>(124 )</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(64 )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620"/>
              <w:spacing w:after="0"/>
              <w:rPr>
                <w:sz w:val="20"/>
                <w:szCs w:val="20"/>
                <w:color w:val="auto"/>
              </w:rPr>
            </w:pPr>
            <w:r>
              <w:rPr>
                <w:rFonts w:ascii="Arial" w:cs="Arial" w:eastAsia="Arial" w:hAnsi="Arial"/>
                <w:sz w:val="16"/>
                <w:szCs w:val="16"/>
                <w:color w:val="auto"/>
              </w:rPr>
              <w:t>(274 )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(303 )</w:t>
            </w: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-951230</wp:posOffset>
            </wp:positionV>
            <wp:extent cx="7683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-951230</wp:posOffset>
            </wp:positionV>
            <wp:extent cx="6858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-951230</wp:posOffset>
            </wp:positionV>
            <wp:extent cx="6858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-427990</wp:posOffset>
            </wp:positionV>
            <wp:extent cx="7683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-427990</wp:posOffset>
            </wp:positionV>
            <wp:extent cx="6858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-427990</wp:posOffset>
            </wp:positionV>
            <wp:extent cx="6858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-162560</wp:posOffset>
            </wp:positionV>
            <wp:extent cx="76835"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-162560</wp:posOffset>
            </wp:positionV>
            <wp:extent cx="68580"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8580"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4"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Includes stock-based compensation expense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2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r>
      <w:tr>
        <w:trPr>
          <w:trHeight w:val="217"/>
        </w:trPr>
        <w:tc>
          <w:tcPr>
            <w:tcW w:w="5740" w:type="dxa"/>
            <w:vAlign w:val="bottom"/>
          </w:tcPr>
          <w:p>
            <w:pPr>
              <w:spacing w:after="0"/>
              <w:rPr>
                <w:sz w:val="18"/>
                <w:szCs w:val="18"/>
                <w:color w:val="auto"/>
              </w:rPr>
            </w:pPr>
          </w:p>
        </w:tc>
        <w:tc>
          <w:tcPr>
            <w:tcW w:w="22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r>
      <w:tr>
        <w:trPr>
          <w:trHeight w:val="196"/>
        </w:trPr>
        <w:tc>
          <w:tcPr>
            <w:tcW w:w="574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(in</w:t>
            </w:r>
          </w:p>
        </w:tc>
        <w:tc>
          <w:tcPr>
            <w:tcW w:w="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78"/>
              </w:rPr>
              <w:t>millions)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4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5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development</w:t>
            </w: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stock-based compensation</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center"/>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3420" w:type="dxa"/>
            <w:vAlign w:val="bottom"/>
            <w:gridSpan w:val="6"/>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29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7"/>
        </w:trPr>
        <w:tc>
          <w:tcPr>
            <w:tcW w:w="5020" w:type="dxa"/>
            <w:vAlign w:val="bottom"/>
          </w:tcPr>
          <w:p>
            <w:pPr>
              <w:spacing w:after="0"/>
              <w:rPr>
                <w:sz w:val="18"/>
                <w:szCs w:val="18"/>
                <w:color w:val="auto"/>
              </w:rPr>
            </w:pPr>
          </w:p>
        </w:tc>
        <w:tc>
          <w:tcPr>
            <w:tcW w:w="198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vMerge w:val="restart"/>
          </w:tcPr>
          <w:p>
            <w:pPr>
              <w:ind w:left="20"/>
              <w:spacing w:after="0"/>
              <w:rPr>
                <w:sz w:val="20"/>
                <w:szCs w:val="20"/>
                <w:color w:val="auto"/>
              </w:rPr>
            </w:pPr>
            <w:r>
              <w:rPr>
                <w:rFonts w:ascii="Arial" w:cs="Arial" w:eastAsia="Arial" w:hAnsi="Arial"/>
                <w:sz w:val="16"/>
                <w:szCs w:val="16"/>
                <w:color w:val="auto"/>
              </w:rPr>
              <w:t>Revenue</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720" w:type="dxa"/>
            <w:vAlign w:val="bottom"/>
            <w:vMerge w:val="restart"/>
          </w:tcPr>
          <w:p>
            <w:pPr>
              <w:jc w:val="right"/>
              <w:ind w:right="479"/>
              <w:spacing w:after="0"/>
              <w:rPr>
                <w:sz w:val="20"/>
                <w:szCs w:val="20"/>
                <w:color w:val="auto"/>
              </w:rPr>
            </w:pPr>
            <w:r>
              <w:rPr>
                <w:rFonts w:ascii="Arial" w:cs="Arial" w:eastAsia="Arial" w:hAnsi="Arial"/>
                <w:sz w:val="16"/>
                <w:szCs w:val="16"/>
                <w:color w:val="auto"/>
                <w:w w:val="98"/>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680" w:type="dxa"/>
            <w:vAlign w:val="bottom"/>
            <w:gridSpan w:val="2"/>
            <w:vMerge w:val="restart"/>
          </w:tcPr>
          <w:p>
            <w:pPr>
              <w:jc w:val="right"/>
              <w:ind w:right="520"/>
              <w:spacing w:after="0"/>
              <w:rPr>
                <w:sz w:val="20"/>
                <w:szCs w:val="20"/>
                <w:color w:val="auto"/>
              </w:rPr>
            </w:pPr>
            <w:r>
              <w:rPr>
                <w:rFonts w:ascii="Arial" w:cs="Arial" w:eastAsia="Arial" w:hAnsi="Arial"/>
                <w:sz w:val="16"/>
                <w:szCs w:val="16"/>
                <w:color w:val="auto"/>
                <w:w w:val="98"/>
              </w:rPr>
              <w:t>%</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680" w:type="dxa"/>
            <w:vAlign w:val="bottom"/>
            <w:vMerge w:val="restart"/>
          </w:tcPr>
          <w:p>
            <w:pPr>
              <w:jc w:val="right"/>
              <w:ind w:right="439"/>
              <w:spacing w:after="0"/>
              <w:rPr>
                <w:sz w:val="20"/>
                <w:szCs w:val="20"/>
                <w:color w:val="auto"/>
              </w:rPr>
            </w:pPr>
            <w:r>
              <w:rPr>
                <w:rFonts w:ascii="Arial" w:cs="Arial" w:eastAsia="Arial" w:hAnsi="Arial"/>
                <w:sz w:val="16"/>
                <w:szCs w:val="16"/>
                <w:color w:val="auto"/>
                <w:w w:val="98"/>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gridSpan w:val="2"/>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6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720" w:type="dxa"/>
            <w:vAlign w:val="bottom"/>
            <w:gridSpan w:val="2"/>
          </w:tcPr>
          <w:p>
            <w:pPr>
              <w:jc w:val="right"/>
              <w:ind w:right="479"/>
              <w:spacing w:after="0"/>
              <w:rPr>
                <w:sz w:val="20"/>
                <w:szCs w:val="20"/>
                <w:color w:val="auto"/>
              </w:rPr>
            </w:pPr>
            <w:r>
              <w:rPr>
                <w:rFonts w:ascii="Arial" w:cs="Arial" w:eastAsia="Arial" w:hAnsi="Arial"/>
                <w:sz w:val="16"/>
                <w:szCs w:val="16"/>
                <w:color w:val="auto"/>
              </w:rPr>
              <w:t>73 %</w:t>
            </w:r>
          </w:p>
        </w:tc>
        <w:tc>
          <w:tcPr>
            <w:tcW w:w="26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6"/>
                <w:szCs w:val="16"/>
                <w:color w:val="auto"/>
              </w:rPr>
              <w:t>55 %</w:t>
            </w:r>
          </w:p>
        </w:tc>
        <w:tc>
          <w:tcPr>
            <w:tcW w:w="1660" w:type="dxa"/>
            <w:vAlign w:val="bottom"/>
            <w:gridSpan w:val="2"/>
          </w:tcPr>
          <w:p>
            <w:pPr>
              <w:jc w:val="right"/>
              <w:ind w:right="439"/>
              <w:spacing w:after="0"/>
              <w:rPr>
                <w:sz w:val="20"/>
                <w:szCs w:val="20"/>
                <w:color w:val="auto"/>
              </w:rPr>
            </w:pPr>
            <w:r>
              <w:rPr>
                <w:rFonts w:ascii="Arial" w:cs="Arial" w:eastAsia="Arial" w:hAnsi="Arial"/>
                <w:sz w:val="16"/>
                <w:szCs w:val="16"/>
                <w:color w:val="auto"/>
              </w:rPr>
              <w:t>69 %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96"/>
        </w:trPr>
        <w:tc>
          <w:tcPr>
            <w:tcW w:w="502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720" w:type="dxa"/>
            <w:vAlign w:val="bottom"/>
          </w:tcPr>
          <w:p>
            <w:pPr>
              <w:jc w:val="right"/>
              <w:ind w:right="479"/>
              <w:spacing w:after="0"/>
              <w:rPr>
                <w:sz w:val="20"/>
                <w:szCs w:val="20"/>
                <w:color w:val="auto"/>
              </w:rPr>
            </w:pPr>
            <w:r>
              <w:rPr>
                <w:rFonts w:ascii="Arial" w:cs="Arial" w:eastAsia="Arial" w:hAnsi="Arial"/>
                <w:sz w:val="16"/>
                <w:szCs w:val="16"/>
                <w:color w:val="auto"/>
                <w:w w:val="98"/>
              </w:rPr>
              <w:t>%</w:t>
            </w: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w w:val="98"/>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w w:val="98"/>
              </w:rPr>
              <w:t>%</w:t>
            </w: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1720" w:type="dxa"/>
            <w:vAlign w:val="bottom"/>
            <w:gridSpan w:val="2"/>
          </w:tcPr>
          <w:p>
            <w:pPr>
              <w:jc w:val="right"/>
              <w:ind w:right="479"/>
              <w:spacing w:after="0"/>
              <w:rPr>
                <w:sz w:val="20"/>
                <w:szCs w:val="20"/>
                <w:color w:val="auto"/>
              </w:rPr>
            </w:pPr>
            <w:r>
              <w:rPr>
                <w:rFonts w:ascii="Arial" w:cs="Arial" w:eastAsia="Arial" w:hAnsi="Arial"/>
                <w:sz w:val="16"/>
                <w:szCs w:val="16"/>
                <w:color w:val="auto"/>
              </w:rPr>
              <w:t>64 %</w:t>
            </w:r>
          </w:p>
        </w:tc>
        <w:tc>
          <w:tcPr>
            <w:tcW w:w="26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6"/>
                <w:szCs w:val="16"/>
                <w:color w:val="auto"/>
              </w:rPr>
              <w:t>40 %</w:t>
            </w:r>
          </w:p>
        </w:tc>
        <w:tc>
          <w:tcPr>
            <w:tcW w:w="1660" w:type="dxa"/>
            <w:vAlign w:val="bottom"/>
            <w:gridSpan w:val="2"/>
          </w:tcPr>
          <w:p>
            <w:pPr>
              <w:jc w:val="right"/>
              <w:ind w:right="439"/>
              <w:spacing w:after="0"/>
              <w:rPr>
                <w:sz w:val="20"/>
                <w:szCs w:val="20"/>
                <w:color w:val="auto"/>
              </w:rPr>
            </w:pPr>
            <w:r>
              <w:rPr>
                <w:rFonts w:ascii="Arial" w:cs="Arial" w:eastAsia="Arial" w:hAnsi="Arial"/>
                <w:sz w:val="16"/>
                <w:szCs w:val="16"/>
                <w:color w:val="auto"/>
              </w:rPr>
              <w:t>40 %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3"/>
        </w:trPr>
        <w:tc>
          <w:tcPr>
            <w:tcW w:w="5020" w:type="dxa"/>
            <w:vAlign w:val="bottom"/>
          </w:tcPr>
          <w:p>
            <w:pPr>
              <w:ind w:left="280"/>
              <w:spacing w:after="0"/>
              <w:rPr>
                <w:sz w:val="20"/>
                <w:szCs w:val="20"/>
                <w:color w:val="auto"/>
              </w:rPr>
            </w:pPr>
            <w:r>
              <w:rPr>
                <w:rFonts w:ascii="Arial" w:cs="Arial" w:eastAsia="Arial" w:hAnsi="Arial"/>
                <w:sz w:val="16"/>
                <w:szCs w:val="16"/>
                <w:color w:val="auto"/>
              </w:rPr>
              <w:t>Product development</w:t>
            </w:r>
          </w:p>
        </w:tc>
        <w:tc>
          <w:tcPr>
            <w:tcW w:w="1720" w:type="dxa"/>
            <w:vAlign w:val="bottom"/>
            <w:gridSpan w:val="2"/>
          </w:tcPr>
          <w:p>
            <w:pPr>
              <w:jc w:val="right"/>
              <w:ind w:right="479"/>
              <w:spacing w:after="0"/>
              <w:rPr>
                <w:sz w:val="20"/>
                <w:szCs w:val="20"/>
                <w:color w:val="auto"/>
              </w:rPr>
            </w:pPr>
            <w:r>
              <w:rPr>
                <w:rFonts w:ascii="Arial" w:cs="Arial" w:eastAsia="Arial" w:hAnsi="Arial"/>
                <w:sz w:val="16"/>
                <w:szCs w:val="16"/>
                <w:color w:val="auto"/>
              </w:rPr>
              <w:t>33 %</w:t>
            </w:r>
          </w:p>
        </w:tc>
        <w:tc>
          <w:tcPr>
            <w:tcW w:w="26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6"/>
                <w:szCs w:val="16"/>
                <w:color w:val="auto"/>
              </w:rPr>
              <w:t>15 %</w:t>
            </w:r>
          </w:p>
        </w:tc>
        <w:tc>
          <w:tcPr>
            <w:tcW w:w="1660" w:type="dxa"/>
            <w:vAlign w:val="bottom"/>
            <w:gridSpan w:val="2"/>
          </w:tcPr>
          <w:p>
            <w:pPr>
              <w:jc w:val="right"/>
              <w:ind w:right="439"/>
              <w:spacing w:after="0"/>
              <w:rPr>
                <w:sz w:val="20"/>
                <w:szCs w:val="20"/>
                <w:color w:val="auto"/>
              </w:rPr>
            </w:pPr>
            <w:r>
              <w:rPr>
                <w:rFonts w:ascii="Arial" w:cs="Arial" w:eastAsia="Arial" w:hAnsi="Arial"/>
                <w:sz w:val="16"/>
                <w:szCs w:val="16"/>
                <w:color w:val="auto"/>
              </w:rPr>
              <w:t>34 %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3"/>
        </w:trPr>
        <w:tc>
          <w:tcPr>
            <w:tcW w:w="50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1720" w:type="dxa"/>
            <w:vAlign w:val="bottom"/>
            <w:gridSpan w:val="2"/>
          </w:tcPr>
          <w:p>
            <w:pPr>
              <w:jc w:val="right"/>
              <w:ind w:right="479"/>
              <w:spacing w:after="0"/>
              <w:rPr>
                <w:sz w:val="20"/>
                <w:szCs w:val="20"/>
                <w:color w:val="auto"/>
              </w:rPr>
            </w:pPr>
            <w:r>
              <w:rPr>
                <w:rFonts w:ascii="Arial" w:cs="Arial" w:eastAsia="Arial" w:hAnsi="Arial"/>
                <w:sz w:val="16"/>
                <w:szCs w:val="16"/>
                <w:color w:val="auto"/>
              </w:rPr>
              <w:t>32 %</w:t>
            </w:r>
          </w:p>
        </w:tc>
        <w:tc>
          <w:tcPr>
            <w:tcW w:w="26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6"/>
                <w:szCs w:val="16"/>
                <w:color w:val="auto"/>
              </w:rPr>
              <w:t>8 %</w:t>
            </w:r>
          </w:p>
        </w:tc>
        <w:tc>
          <w:tcPr>
            <w:tcW w:w="1660" w:type="dxa"/>
            <w:vAlign w:val="bottom"/>
            <w:gridSpan w:val="2"/>
          </w:tcPr>
          <w:p>
            <w:pPr>
              <w:jc w:val="right"/>
              <w:ind w:right="439"/>
              <w:spacing w:after="0"/>
              <w:rPr>
                <w:sz w:val="20"/>
                <w:szCs w:val="20"/>
                <w:color w:val="auto"/>
              </w:rPr>
            </w:pPr>
            <w:r>
              <w:rPr>
                <w:rFonts w:ascii="Arial" w:cs="Arial" w:eastAsia="Arial" w:hAnsi="Arial"/>
                <w:sz w:val="16"/>
                <w:szCs w:val="16"/>
                <w:color w:val="auto"/>
              </w:rPr>
              <w:t>19 %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520"/>
              <w:spacing w:after="0"/>
              <w:rPr>
                <w:sz w:val="20"/>
                <w:szCs w:val="20"/>
                <w:color w:val="auto"/>
              </w:rPr>
            </w:pPr>
            <w:r>
              <w:rPr>
                <w:rFonts w:ascii="Arial" w:cs="Arial" w:eastAsia="Arial" w:hAnsi="Arial"/>
                <w:sz w:val="16"/>
                <w:szCs w:val="16"/>
                <w:color w:val="auto"/>
              </w:rPr>
              <w:t>Total operating expenses</w:t>
            </w: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720" w:type="dxa"/>
            <w:vAlign w:val="bottom"/>
            <w:gridSpan w:val="2"/>
          </w:tcPr>
          <w:p>
            <w:pPr>
              <w:jc w:val="right"/>
              <w:ind w:right="479"/>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color w:val="auto"/>
                <w:highlight w:val="white"/>
              </w:rPr>
              <w:t>%</w:t>
            </w:r>
          </w:p>
        </w:tc>
        <w:tc>
          <w:tcPr>
            <w:tcW w:w="26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color w:val="auto"/>
                <w:highlight w:val="white"/>
              </w:rPr>
              <w:t>%</w:t>
            </w:r>
          </w:p>
        </w:tc>
        <w:tc>
          <w:tcPr>
            <w:tcW w:w="1660" w:type="dxa"/>
            <w:vAlign w:val="bottom"/>
            <w:gridSpan w:val="2"/>
          </w:tcPr>
          <w:p>
            <w:pPr>
              <w:jc w:val="right"/>
              <w:ind w:right="439"/>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color w:val="auto"/>
                <w:highlight w:val="white"/>
              </w:rPr>
              <w:t>%</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720" w:type="dxa"/>
            <w:vAlign w:val="bottom"/>
            <w:gridSpan w:val="2"/>
          </w:tcPr>
          <w:p>
            <w:pPr>
              <w:jc w:val="right"/>
              <w:ind w:right="439"/>
              <w:spacing w:after="0"/>
              <w:rPr>
                <w:sz w:val="20"/>
                <w:szCs w:val="20"/>
                <w:color w:val="auto"/>
              </w:rPr>
            </w:pPr>
            <w:r>
              <w:rPr>
                <w:rFonts w:ascii="Arial" w:cs="Arial" w:eastAsia="Arial" w:hAnsi="Arial"/>
                <w:sz w:val="16"/>
                <w:szCs w:val="16"/>
                <w:color w:val="auto"/>
              </w:rPr>
              <w:t>(102 )%</w:t>
            </w:r>
          </w:p>
        </w:tc>
        <w:tc>
          <w:tcPr>
            <w:tcW w:w="260" w:type="dxa"/>
            <w:vAlign w:val="bottom"/>
          </w:tcPr>
          <w:p>
            <w:pPr>
              <w:spacing w:after="0"/>
              <w:rPr>
                <w:sz w:val="17"/>
                <w:szCs w:val="17"/>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6"/>
                <w:szCs w:val="16"/>
                <w:color w:val="auto"/>
              </w:rPr>
              <w:t>(17 )%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(62 )%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80"/>
              <w:spacing w:after="0"/>
              <w:rPr>
                <w:sz w:val="20"/>
                <w:szCs w:val="20"/>
                <w:color w:val="auto"/>
              </w:rPr>
            </w:pPr>
            <w:r>
              <w:rPr>
                <w:rFonts w:ascii="Arial" w:cs="Arial" w:eastAsia="Arial" w:hAnsi="Arial"/>
                <w:sz w:val="16"/>
                <w:szCs w:val="16"/>
                <w:color w:val="auto"/>
              </w:rPr>
              <w:t>Interest and other income, net</w:t>
            </w:r>
          </w:p>
        </w:tc>
        <w:tc>
          <w:tcPr>
            <w:tcW w:w="1720" w:type="dxa"/>
            <w:vAlign w:val="bottom"/>
            <w:gridSpan w:val="2"/>
          </w:tcPr>
          <w:p>
            <w:pPr>
              <w:jc w:val="right"/>
              <w:ind w:right="479"/>
              <w:spacing w:after="0"/>
              <w:rPr>
                <w:sz w:val="20"/>
                <w:szCs w:val="20"/>
                <w:color w:val="auto"/>
              </w:rPr>
            </w:pPr>
            <w:r>
              <w:rPr>
                <w:rFonts w:ascii="Arial" w:cs="Arial" w:eastAsia="Arial" w:hAnsi="Arial"/>
                <w:sz w:val="16"/>
                <w:szCs w:val="16"/>
                <w:color w:val="auto"/>
              </w:rPr>
              <w:t>5 %</w:t>
            </w:r>
          </w:p>
        </w:tc>
        <w:tc>
          <w:tcPr>
            <w:tcW w:w="26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6"/>
                <w:szCs w:val="16"/>
                <w:color w:val="auto"/>
              </w:rPr>
              <w:t>1 %</w:t>
            </w:r>
          </w:p>
        </w:tc>
        <w:tc>
          <w:tcPr>
            <w:tcW w:w="1660" w:type="dxa"/>
            <w:vAlign w:val="bottom"/>
            <w:gridSpan w:val="2"/>
          </w:tcPr>
          <w:p>
            <w:pPr>
              <w:jc w:val="right"/>
              <w:ind w:right="439"/>
              <w:spacing w:after="0"/>
              <w:rPr>
                <w:sz w:val="20"/>
                <w:szCs w:val="20"/>
                <w:color w:val="auto"/>
              </w:rPr>
            </w:pPr>
            <w:r>
              <w:rPr>
                <w:rFonts w:ascii="Arial" w:cs="Arial" w:eastAsia="Arial" w:hAnsi="Arial"/>
                <w:sz w:val="16"/>
                <w:szCs w:val="16"/>
                <w:color w:val="auto"/>
              </w:rPr>
              <w:t>2 %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520"/>
              <w:spacing w:after="0"/>
              <w:rPr>
                <w:sz w:val="20"/>
                <w:szCs w:val="20"/>
                <w:color w:val="auto"/>
              </w:rPr>
            </w:pPr>
            <w:r>
              <w:rPr>
                <w:rFonts w:ascii="Arial" w:cs="Arial" w:eastAsia="Arial" w:hAnsi="Arial"/>
                <w:sz w:val="16"/>
                <w:szCs w:val="16"/>
                <w:color w:val="auto"/>
              </w:rPr>
              <w:t>Loss before provision for income taxes</w:t>
            </w: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720" w:type="dxa"/>
            <w:vAlign w:val="bottom"/>
            <w:gridSpan w:val="2"/>
          </w:tcPr>
          <w:p>
            <w:pPr>
              <w:jc w:val="right"/>
              <w:ind w:right="439"/>
              <w:spacing w:after="0"/>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xml:space="preserve">(60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720" w:type="dxa"/>
            <w:vAlign w:val="bottom"/>
            <w:gridSpan w:val="2"/>
          </w:tcPr>
          <w:p>
            <w:pPr>
              <w:jc w:val="right"/>
              <w:ind w:right="479"/>
              <w:spacing w:after="0"/>
              <w:rPr>
                <w:sz w:val="20"/>
                <w:szCs w:val="20"/>
                <w:color w:val="auto"/>
              </w:rPr>
            </w:pPr>
            <w:r>
              <w:rPr>
                <w:rFonts w:ascii="Arial" w:cs="Arial" w:eastAsia="Arial" w:hAnsi="Arial"/>
                <w:sz w:val="16"/>
                <w:szCs w:val="16"/>
                <w:color w:val="auto"/>
              </w:rPr>
              <w:t>2 %</w:t>
            </w:r>
          </w:p>
        </w:tc>
        <w:tc>
          <w:tcPr>
            <w:tcW w:w="260" w:type="dxa"/>
            <w:vAlign w:val="bottom"/>
          </w:tcPr>
          <w:p>
            <w:pPr>
              <w:spacing w:after="0"/>
              <w:rPr>
                <w:sz w:val="17"/>
                <w:szCs w:val="17"/>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6"/>
                <w:szCs w:val="16"/>
                <w:color w:val="auto"/>
              </w:rPr>
              <w:t>1 %</w:t>
            </w:r>
          </w:p>
        </w:tc>
        <w:tc>
          <w:tcPr>
            <w:tcW w:w="1660" w:type="dxa"/>
            <w:vAlign w:val="bottom"/>
            <w:gridSpan w:val="2"/>
          </w:tcPr>
          <w:p>
            <w:pPr>
              <w:jc w:val="right"/>
              <w:ind w:right="439"/>
              <w:spacing w:after="0"/>
              <w:rPr>
                <w:sz w:val="20"/>
                <w:szCs w:val="20"/>
                <w:color w:val="auto"/>
              </w:rPr>
            </w:pPr>
            <w:r>
              <w:rPr>
                <w:rFonts w:ascii="Arial" w:cs="Arial" w:eastAsia="Arial" w:hAnsi="Arial"/>
                <w:sz w:val="16"/>
                <w:szCs w:val="16"/>
                <w:color w:val="auto"/>
              </w:rPr>
              <w:t>1 %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720" w:type="dxa"/>
            <w:vAlign w:val="bottom"/>
            <w:gridSpan w:val="2"/>
          </w:tcPr>
          <w:p>
            <w:pPr>
              <w:jc w:val="right"/>
              <w:ind w:right="439"/>
              <w:spacing w:after="0"/>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5" w:lineRule="exact"/>
        <w:rPr>
          <w:sz w:val="20"/>
          <w:szCs w:val="20"/>
          <w:color w:val="auto"/>
        </w:rPr>
      </w:pPr>
    </w:p>
    <w:p>
      <w:pPr>
        <w:ind w:right="4880"/>
        <w:spacing w:after="0" w:line="455" w:lineRule="auto"/>
        <w:rPr>
          <w:sz w:val="20"/>
          <w:szCs w:val="20"/>
          <w:color w:val="auto"/>
        </w:rPr>
      </w:pPr>
      <w:r>
        <w:rPr>
          <w:rFonts w:ascii="Arial" w:cs="Arial" w:eastAsia="Arial" w:hAnsi="Arial"/>
          <w:sz w:val="18"/>
          <w:szCs w:val="18"/>
          <w:b w:val="1"/>
          <w:bCs w:val="1"/>
          <w:i w:val="1"/>
          <w:iCs w:val="1"/>
          <w:color w:val="auto"/>
        </w:rPr>
        <w:t>Comparison of Three and Nine Months Ended September 30, 2022 and 2021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5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vMerge w:val="restart"/>
          </w:tcPr>
          <w:p>
            <w:pPr>
              <w:ind w:left="20"/>
              <w:spacing w:after="0"/>
              <w:rPr>
                <w:sz w:val="20"/>
                <w:szCs w:val="20"/>
                <w:color w:val="auto"/>
              </w:rPr>
            </w:pPr>
            <w:r>
              <w:rPr>
                <w:rFonts w:ascii="Arial" w:cs="Arial" w:eastAsia="Arial" w:hAnsi="Arial"/>
                <w:sz w:val="16"/>
                <w:szCs w:val="16"/>
                <w:color w:val="auto"/>
              </w:rPr>
              <w:t>Core marketplace revenue</w:t>
            </w:r>
            <w:r>
              <w:rPr>
                <w:rFonts w:ascii="Arial" w:cs="Arial" w:eastAsia="Arial" w:hAnsi="Arial"/>
                <w:sz w:val="21"/>
                <w:szCs w:val="21"/>
                <w:color w:val="auto"/>
                <w:vertAlign w:val="superscript"/>
              </w:rPr>
              <w:t>(1)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w w:val="85"/>
              </w:rPr>
              <w:t>millions)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59"/>
              <w:spacing w:after="0"/>
              <w:rPr>
                <w:sz w:val="20"/>
                <w:szCs w:val="20"/>
                <w:color w:val="auto"/>
              </w:rPr>
            </w:pPr>
            <w:r>
              <w:rPr>
                <w:rFonts w:ascii="Arial" w:cs="Arial" w:eastAsia="Arial" w:hAnsi="Arial"/>
                <w:sz w:val="16"/>
                <w:szCs w:val="16"/>
                <w:color w:val="auto"/>
              </w:rPr>
              <w:t>(143 )</w:t>
            </w:r>
          </w:p>
        </w:tc>
        <w:tc>
          <w:tcPr>
            <w:tcW w:w="22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(78 )%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184</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1,038</w:t>
            </w:r>
          </w:p>
        </w:tc>
        <w:tc>
          <w:tcPr>
            <w:tcW w:w="6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(854 )</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ProductBoost revenue</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59"/>
              <w:spacing w:after="0"/>
              <w:rPr>
                <w:sz w:val="20"/>
                <w:szCs w:val="20"/>
                <w:color w:val="auto"/>
              </w:rPr>
            </w:pPr>
            <w:r>
              <w:rPr>
                <w:rFonts w:ascii="Arial" w:cs="Arial" w:eastAsia="Arial" w:hAnsi="Arial"/>
                <w:sz w:val="16"/>
                <w:szCs w:val="16"/>
                <w:color w:val="auto"/>
              </w:rPr>
              <w:t>(26 )</w:t>
            </w:r>
          </w:p>
        </w:tc>
        <w:tc>
          <w:tcPr>
            <w:tcW w:w="22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(70 )%</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36</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(101 )</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6"/>
                <w:szCs w:val="16"/>
                <w:color w:val="auto"/>
              </w:rPr>
              <w:t>Marketplace revenue</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(77 )%</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4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Logistics revenue</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148</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59"/>
              <w:spacing w:after="0"/>
              <w:rPr>
                <w:sz w:val="20"/>
                <w:szCs w:val="20"/>
                <w:color w:val="auto"/>
              </w:rPr>
            </w:pPr>
            <w:r>
              <w:rPr>
                <w:rFonts w:ascii="Arial" w:cs="Arial" w:eastAsia="Arial" w:hAnsi="Arial"/>
                <w:sz w:val="16"/>
                <w:szCs w:val="16"/>
                <w:color w:val="auto"/>
              </w:rPr>
              <w:t>(74 )</w:t>
            </w:r>
          </w:p>
        </w:tc>
        <w:tc>
          <w:tcPr>
            <w:tcW w:w="22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(50 )%</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228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(393 )</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196"/>
        </w:trPr>
        <w:tc>
          <w:tcPr>
            <w:tcW w:w="2640" w:type="dxa"/>
            <w:vAlign w:val="bottom"/>
          </w:tcPr>
          <w:p>
            <w:pPr>
              <w:ind w:left="520"/>
              <w:spacing w:after="0"/>
              <w:rPr>
                <w:sz w:val="20"/>
                <w:szCs w:val="20"/>
                <w:color w:val="auto"/>
              </w:rPr>
            </w:pPr>
            <w:r>
              <w:rPr>
                <w:rFonts w:ascii="Arial" w:cs="Arial" w:eastAsia="Arial" w:hAnsi="Arial"/>
                <w:sz w:val="16"/>
                <w:szCs w:val="16"/>
                <w:color w:val="auto"/>
              </w:rPr>
              <w:t>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4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4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(66 )%</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4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4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jc w:val="both"/>
        <w:ind w:left="760" w:right="100" w:hanging="378"/>
        <w:spacing w:after="0" w:line="257"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Wish Cash liability breakage recognized within core marketplace revenue was $2 million and $3 million for the three and nine months ended September 30, 2022, respectively, and $5 and $26 million for the three and nine months ended September 30, 2021, respectively. Refer to Note 4 to our condensed consolidated financial statements in Item 1 of Part I, "Financial Information" for additional details. In addition, Core marketplace revenue for the three and nine months ended September 30, 2022 included approximately a $4 million net loss for both periods and $2 million and $19 million net gains for the three and nine months ended September 30, 2021, respectively, from our cash flow hedging program.</w:t>
      </w:r>
    </w:p>
    <w:p>
      <w:pPr>
        <w:spacing w:after="0" w:line="114" w:lineRule="exact"/>
        <w:rPr>
          <w:sz w:val="20"/>
          <w:szCs w:val="20"/>
          <w:color w:val="auto"/>
        </w:rPr>
      </w:pPr>
    </w:p>
    <w:p>
      <w:pPr>
        <w:jc w:val="both"/>
        <w:ind w:right="100" w:firstLine="636"/>
        <w:spacing w:after="0" w:line="252" w:lineRule="auto"/>
        <w:rPr>
          <w:sz w:val="20"/>
          <w:szCs w:val="20"/>
          <w:color w:val="auto"/>
        </w:rPr>
      </w:pPr>
      <w:r>
        <w:rPr>
          <w:rFonts w:ascii="Arial" w:cs="Arial" w:eastAsia="Arial" w:hAnsi="Arial"/>
          <w:sz w:val="18"/>
          <w:szCs w:val="18"/>
          <w:color w:val="auto"/>
        </w:rPr>
        <w:t>Revenue decreased $243 million, or 66%, to $125 million for the three months ended September 30, 2022 as compared to $368 million for the three months ended September 30, 2021. Revenue decreased $1.3 billion, or 75%, to $448 million for the nine months ended September 30, 2022 as compared to $1.8 billion for the nine months ended September 30, 2021. This decrease was attributable to decreased marketplace and logistics revenue, as noted below.</w:t>
      </w:r>
    </w:p>
    <w:p>
      <w:pPr>
        <w:spacing w:after="0" w:line="130" w:lineRule="exact"/>
        <w:rPr>
          <w:sz w:val="20"/>
          <w:szCs w:val="20"/>
          <w:color w:val="auto"/>
        </w:rPr>
      </w:pPr>
    </w:p>
    <w:p>
      <w:pPr>
        <w:jc w:val="both"/>
        <w:ind w:right="100" w:firstLine="636"/>
        <w:spacing w:after="0" w:line="247" w:lineRule="auto"/>
        <w:rPr>
          <w:sz w:val="20"/>
          <w:szCs w:val="20"/>
          <w:color w:val="auto"/>
        </w:rPr>
      </w:pPr>
      <w:r>
        <w:rPr>
          <w:rFonts w:ascii="Arial" w:cs="Arial" w:eastAsia="Arial" w:hAnsi="Arial"/>
          <w:sz w:val="18"/>
          <w:szCs w:val="18"/>
          <w:color w:val="auto"/>
        </w:rPr>
        <w:t>Marketplace revenue for the three and nine months ended September 30, 2022 decreased $169 million, or 77%, and $955 million, or 81%, respectively, compared to the same periods in 2021. This decrease was primarily driven by lower order volumes associated with reduced MAUs and LTM Active Buyers, as well as revisions to our pricing strategy, which resulted in lower marketplace revenue per order. While we expect pricing adjustments across most geographies to have an unfavorable effect on revenues over the short term, we expect to see corresponding increases in order volume over time.</w:t>
      </w:r>
    </w:p>
    <w:p>
      <w:pPr>
        <w:spacing w:after="0" w:line="123" w:lineRule="exact"/>
        <w:rPr>
          <w:sz w:val="20"/>
          <w:szCs w:val="20"/>
          <w:color w:val="auto"/>
        </w:rPr>
      </w:pPr>
    </w:p>
    <w:p>
      <w:pPr>
        <w:jc w:val="both"/>
        <w:ind w:right="100" w:firstLine="636"/>
        <w:spacing w:after="0" w:line="261" w:lineRule="auto"/>
        <w:rPr>
          <w:sz w:val="20"/>
          <w:szCs w:val="20"/>
          <w:color w:val="auto"/>
        </w:rPr>
      </w:pPr>
      <w:r>
        <w:rPr>
          <w:rFonts w:ascii="Arial" w:cs="Arial" w:eastAsia="Arial" w:hAnsi="Arial"/>
          <w:sz w:val="18"/>
          <w:szCs w:val="18"/>
          <w:color w:val="auto"/>
        </w:rPr>
        <w:t>Logistics revenue for the three and nine months ended September 30, 2022 decreased $74 million, or 50%, and $393 million, or 63%, respectively, compared to the same periods in 2021. Like marketplace revenue, the decrease was primarily driven by lower order volumes.</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880" w:type="dxa"/>
            <w:vAlign w:val="bottom"/>
            <w:gridSpan w:val="5"/>
          </w:tcPr>
          <w:p>
            <w:pPr>
              <w:jc w:val="center"/>
              <w:ind w:left="1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2860" w:type="dxa"/>
            <w:vAlign w:val="bottom"/>
          </w:tcPr>
          <w:p>
            <w:pPr>
              <w:spacing w:after="0"/>
              <w:rPr>
                <w:sz w:val="18"/>
                <w:szCs w:val="18"/>
                <w:color w:val="auto"/>
              </w:rPr>
            </w:pPr>
          </w:p>
        </w:tc>
        <w:tc>
          <w:tcPr>
            <w:tcW w:w="1880" w:type="dxa"/>
            <w:vAlign w:val="bottom"/>
            <w:tcBorders>
              <w:bottom w:val="single" w:sz="8" w:color="auto"/>
            </w:tcBorders>
            <w:gridSpan w:val="5"/>
          </w:tcPr>
          <w:p>
            <w:pPr>
              <w:jc w:val="center"/>
              <w:ind w:left="13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8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5"/>
          </w:tcPr>
          <w:p>
            <w:pPr>
              <w:jc w:val="center"/>
              <w:ind w:right="7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240" w:type="dxa"/>
            <w:vAlign w:val="bottom"/>
          </w:tcPr>
          <w:p>
            <w:pPr>
              <w:ind w:left="60"/>
              <w:spacing w:after="0"/>
              <w:rPr>
                <w:sz w:val="20"/>
                <w:szCs w:val="20"/>
                <w:color w:val="auto"/>
              </w:rPr>
            </w:pPr>
            <w:r>
              <w:rPr>
                <w:rFonts w:ascii="Arial" w:cs="Arial" w:eastAsia="Arial" w:hAnsi="Arial"/>
                <w:sz w:val="16"/>
                <w:szCs w:val="16"/>
                <w:color w:val="auto"/>
                <w:w w:val="89"/>
              </w:rPr>
              <w:t>91</w:t>
            </w:r>
          </w:p>
        </w:tc>
        <w:tc>
          <w:tcPr>
            <w:tcW w:w="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   (110 )</w:t>
            </w:r>
          </w:p>
        </w:tc>
        <w:tc>
          <w:tcPr>
            <w:tcW w:w="30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(55 )% $</w:t>
            </w:r>
          </w:p>
        </w:tc>
        <w:tc>
          <w:tcPr>
            <w:tcW w:w="720" w:type="dxa"/>
            <w:vAlign w:val="bottom"/>
          </w:tcPr>
          <w:p>
            <w:pPr>
              <w:jc w:val="right"/>
              <w:spacing w:after="0"/>
              <w:rPr>
                <w:sz w:val="20"/>
                <w:szCs w:val="20"/>
                <w:color w:val="auto"/>
              </w:rPr>
            </w:pPr>
            <w:r>
              <w:rPr>
                <w:rFonts w:ascii="Arial" w:cs="Arial" w:eastAsia="Arial" w:hAnsi="Arial"/>
                <w:sz w:val="16"/>
                <w:szCs w:val="16"/>
                <w:color w:val="auto"/>
              </w:rPr>
              <w:t>308</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808</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   (500 )</w:t>
            </w:r>
          </w:p>
        </w:tc>
        <w:tc>
          <w:tcPr>
            <w:tcW w:w="3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(62 )%</w:t>
            </w:r>
          </w:p>
        </w:tc>
      </w:tr>
      <w:tr>
        <w:trPr>
          <w:trHeight w:val="203"/>
        </w:trPr>
        <w:tc>
          <w:tcPr>
            <w:tcW w:w="2860" w:type="dxa"/>
            <w:vAlign w:val="bottom"/>
          </w:tcPr>
          <w:p>
            <w:pPr>
              <w:ind w:left="280"/>
              <w:spacing w:after="0"/>
              <w:rPr>
                <w:sz w:val="20"/>
                <w:szCs w:val="20"/>
                <w:color w:val="auto"/>
              </w:rPr>
            </w:pPr>
            <w:r>
              <w:rPr>
                <w:rFonts w:ascii="Arial" w:cs="Arial" w:eastAsia="Arial" w:hAnsi="Arial"/>
                <w:sz w:val="16"/>
                <w:szCs w:val="16"/>
                <w:color w:val="auto"/>
              </w:rPr>
              <w:t>Percentage of revenue</w:t>
            </w:r>
          </w:p>
        </w:tc>
        <w:tc>
          <w:tcPr>
            <w:tcW w:w="720" w:type="dxa"/>
            <w:vAlign w:val="bottom"/>
          </w:tcPr>
          <w:p>
            <w:pPr>
              <w:spacing w:after="0"/>
              <w:rPr>
                <w:sz w:val="17"/>
                <w:szCs w:val="17"/>
                <w:color w:val="auto"/>
              </w:rPr>
            </w:pPr>
          </w:p>
        </w:tc>
        <w:tc>
          <w:tcPr>
            <w:tcW w:w="500" w:type="dxa"/>
            <w:vAlign w:val="bottom"/>
            <w:gridSpan w:val="2"/>
          </w:tcPr>
          <w:p>
            <w:pPr>
              <w:ind w:left="60"/>
              <w:spacing w:after="0"/>
              <w:rPr>
                <w:sz w:val="20"/>
                <w:szCs w:val="20"/>
                <w:color w:val="auto"/>
              </w:rPr>
            </w:pPr>
            <w:r>
              <w:rPr>
                <w:rFonts w:ascii="Arial" w:cs="Arial" w:eastAsia="Arial" w:hAnsi="Arial"/>
                <w:sz w:val="16"/>
                <w:szCs w:val="16"/>
                <w:color w:val="auto"/>
              </w:rPr>
              <w:t>73 %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55 %</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69 %</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45 %</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7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27 %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8"/>
              </w:rPr>
              <w:t>45 %</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31 %</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8"/>
              </w:rPr>
              <w:t>55 %</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10" w:lineRule="exact"/>
        <w:rPr>
          <w:sz w:val="20"/>
          <w:szCs w:val="20"/>
          <w:color w:val="auto"/>
        </w:rPr>
      </w:pPr>
    </w:p>
    <w:p>
      <w:pPr>
        <w:jc w:val="both"/>
        <w:ind w:right="100" w:firstLine="644"/>
        <w:spacing w:after="0" w:line="238" w:lineRule="auto"/>
        <w:rPr>
          <w:sz w:val="20"/>
          <w:szCs w:val="20"/>
          <w:color w:val="auto"/>
        </w:rPr>
      </w:pPr>
      <w:r>
        <w:rPr>
          <w:rFonts w:ascii="Arial" w:cs="Arial" w:eastAsia="Arial" w:hAnsi="Arial"/>
          <w:sz w:val="18"/>
          <w:szCs w:val="18"/>
          <w:color w:val="auto"/>
        </w:rPr>
        <w:t>Cost of revenue for the three and nine months ended September 30, 2022 decreased $110 million, or 55%, and $500 million, or 62%, respectively, compared to the same periods in 2021. This decrease was primarily due to lower marketplace and logistics related costs as a result of lower order volumes.</w:t>
      </w:r>
    </w:p>
    <w:p>
      <w:pPr>
        <w:spacing w:after="0" w:line="100" w:lineRule="exact"/>
        <w:rPr>
          <w:sz w:val="20"/>
          <w:szCs w:val="20"/>
          <w:color w:val="auto"/>
        </w:rPr>
      </w:pPr>
    </w:p>
    <w:p>
      <w:pPr>
        <w:jc w:val="both"/>
        <w:ind w:right="100" w:firstLine="644"/>
        <w:spacing w:after="0" w:line="233" w:lineRule="auto"/>
        <w:rPr>
          <w:sz w:val="20"/>
          <w:szCs w:val="20"/>
          <w:color w:val="auto"/>
        </w:rPr>
      </w:pPr>
      <w:r>
        <w:rPr>
          <w:rFonts w:ascii="Arial" w:cs="Arial" w:eastAsia="Arial" w:hAnsi="Arial"/>
          <w:sz w:val="18"/>
          <w:szCs w:val="18"/>
          <w:color w:val="auto"/>
        </w:rPr>
        <w:t>Gross margin decreased to 27% and 31% for the three and nine months ended September 30, 2022, respectively, from 45% and 55% for the three and nine months ended September 30, 2021, respectively, primarily driven by a greater percentage of lower margin logistics services making up overall revenue during the nine months of 2022 compared to the same period in 2021 and revisions to our pricing strategy, which resulted in lower marketplace revenue per order.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250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9"/>
              </w:rPr>
              <w:t>Nine Months Ended</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2660" w:type="dxa"/>
            <w:vAlign w:val="bottom"/>
          </w:tcPr>
          <w:p>
            <w:pPr>
              <w:spacing w:after="0"/>
              <w:rPr>
                <w:sz w:val="18"/>
                <w:szCs w:val="18"/>
                <w:color w:val="auto"/>
              </w:rPr>
            </w:pPr>
          </w:p>
        </w:tc>
        <w:tc>
          <w:tcPr>
            <w:tcW w:w="2500" w:type="dxa"/>
            <w:vAlign w:val="bottom"/>
            <w:gridSpan w:val="6"/>
          </w:tcPr>
          <w:p>
            <w:pPr>
              <w:ind w:left="48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3"/>
          </w:tcPr>
          <w:p>
            <w:pPr>
              <w:ind w:left="560"/>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3"/>
          </w:tcPr>
          <w:p>
            <w:pPr>
              <w:ind w:left="580"/>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2660" w:type="dxa"/>
            <w:vAlign w:val="bottom"/>
          </w:tcPr>
          <w:p>
            <w:pPr>
              <w:spacing w:after="0"/>
              <w:rPr>
                <w:sz w:val="17"/>
                <w:szCs w:val="17"/>
                <w:color w:val="auto"/>
              </w:rPr>
            </w:pPr>
          </w:p>
        </w:tc>
        <w:tc>
          <w:tcPr>
            <w:tcW w:w="6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r>
      <w:tr>
        <w:trPr>
          <w:trHeight w:val="196"/>
        </w:trPr>
        <w:tc>
          <w:tcPr>
            <w:tcW w:w="2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6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89"/>
              </w:rPr>
              <w:t>80</w:t>
            </w:r>
          </w:p>
        </w:tc>
        <w:tc>
          <w:tcPr>
            <w:tcW w:w="4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147</w:t>
            </w:r>
          </w:p>
        </w:tc>
        <w:tc>
          <w:tcPr>
            <w:tcW w:w="4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   (67 )</w:t>
            </w:r>
          </w:p>
        </w:tc>
        <w:tc>
          <w:tcPr>
            <w:tcW w:w="200" w:type="dxa"/>
            <w:vAlign w:val="bottom"/>
          </w:tcPr>
          <w:p>
            <w:pPr>
              <w:spacing w:after="0"/>
              <w:rPr>
                <w:sz w:val="17"/>
                <w:szCs w:val="17"/>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(46 )%  $</w:t>
            </w:r>
          </w:p>
        </w:tc>
        <w:tc>
          <w:tcPr>
            <w:tcW w:w="620" w:type="dxa"/>
            <w:vAlign w:val="bottom"/>
          </w:tcPr>
          <w:p>
            <w:pPr>
              <w:jc w:val="right"/>
              <w:spacing w:after="0"/>
              <w:rPr>
                <w:sz w:val="20"/>
                <w:szCs w:val="20"/>
                <w:color w:val="auto"/>
              </w:rPr>
            </w:pPr>
            <w:r>
              <w:rPr>
                <w:rFonts w:ascii="Arial" w:cs="Arial" w:eastAsia="Arial" w:hAnsi="Arial"/>
                <w:sz w:val="16"/>
                <w:szCs w:val="16"/>
                <w:color w:val="auto"/>
              </w:rPr>
              <w:t>181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1,013</w:t>
            </w:r>
          </w:p>
        </w:tc>
        <w:tc>
          <w:tcPr>
            <w:tcW w:w="38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  (832 )</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(82 )%</w:t>
            </w:r>
          </w:p>
        </w:tc>
      </w:tr>
      <w:tr>
        <w:trPr>
          <w:trHeight w:val="215"/>
        </w:trPr>
        <w:tc>
          <w:tcPr>
            <w:tcW w:w="2660" w:type="dxa"/>
            <w:vAlign w:val="bottom"/>
          </w:tcPr>
          <w:p>
            <w:pPr>
              <w:ind w:left="280"/>
              <w:spacing w:after="0"/>
              <w:rPr>
                <w:sz w:val="20"/>
                <w:szCs w:val="20"/>
                <w:color w:val="auto"/>
              </w:rPr>
            </w:pPr>
            <w:r>
              <w:rPr>
                <w:rFonts w:ascii="Arial" w:cs="Arial" w:eastAsia="Arial" w:hAnsi="Arial"/>
                <w:sz w:val="16"/>
                <w:szCs w:val="16"/>
                <w:color w:val="auto"/>
              </w:rPr>
              <w:t>Percentage of revenue</w:t>
            </w:r>
          </w:p>
        </w:tc>
        <w:tc>
          <w:tcPr>
            <w:tcW w:w="62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color w:val="auto"/>
              </w:rPr>
              <w:t>64 %</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40 %</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40 %</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56 %</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11" w:lineRule="exact"/>
        <w:rPr>
          <w:sz w:val="20"/>
          <w:szCs w:val="20"/>
          <w:color w:val="auto"/>
        </w:rPr>
      </w:pPr>
    </w:p>
    <w:p>
      <w:pPr>
        <w:jc w:val="both"/>
        <w:ind w:right="100" w:firstLine="644"/>
        <w:spacing w:after="0" w:line="261" w:lineRule="auto"/>
        <w:rPr>
          <w:sz w:val="20"/>
          <w:szCs w:val="20"/>
          <w:color w:val="auto"/>
        </w:rPr>
      </w:pPr>
      <w:r>
        <w:rPr>
          <w:rFonts w:ascii="Arial" w:cs="Arial" w:eastAsia="Arial" w:hAnsi="Arial"/>
          <w:sz w:val="18"/>
          <w:szCs w:val="18"/>
          <w:color w:val="auto"/>
        </w:rPr>
        <w:t>Sales and marketing expense for the three and nine months ended September 30, 2022 decreased $67 million, or 46%, and $832 million, or 82%, respectively, compared to the same periods in 2021 primarily due to reduced digital advertising expenditures in order to focus our resources on other strategic initiatives.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2600" w:type="dxa"/>
            <w:vAlign w:val="bottom"/>
          </w:tcPr>
          <w:p>
            <w:pPr>
              <w:spacing w:after="0"/>
              <w:rPr>
                <w:sz w:val="18"/>
                <w:szCs w:val="18"/>
                <w:color w:val="auto"/>
              </w:rPr>
            </w:pPr>
          </w:p>
        </w:tc>
        <w:tc>
          <w:tcPr>
            <w:tcW w:w="19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3"/>
          </w:tcPr>
          <w:p>
            <w:pPr>
              <w:ind w:left="540"/>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ind w:left="26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gridSpan w:val="3"/>
          </w:tcPr>
          <w:p>
            <w:pPr>
              <w:ind w:left="480"/>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26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r>
      <w:tr>
        <w:trPr>
          <w:trHeight w:val="196"/>
        </w:trPr>
        <w:tc>
          <w:tcPr>
            <w:tcW w:w="2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600" w:type="dxa"/>
            <w:vAlign w:val="bottom"/>
          </w:tcPr>
          <w:p>
            <w:pPr>
              <w:ind w:left="20"/>
              <w:spacing w:after="0"/>
              <w:rPr>
                <w:sz w:val="20"/>
                <w:szCs w:val="20"/>
                <w:color w:val="auto"/>
              </w:rPr>
            </w:pPr>
            <w:r>
              <w:rPr>
                <w:rFonts w:ascii="Arial" w:cs="Arial" w:eastAsia="Arial" w:hAnsi="Arial"/>
                <w:sz w:val="16"/>
                <w:szCs w:val="16"/>
                <w:color w:val="auto"/>
              </w:rPr>
              <w:t>Product development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42</w:t>
            </w:r>
          </w:p>
        </w:tc>
        <w:tc>
          <w:tcPr>
            <w:tcW w:w="420" w:type="dxa"/>
            <w:vAlign w:val="bottom"/>
          </w:tcPr>
          <w:p>
            <w:pPr>
              <w:spacing w:after="0"/>
              <w:rPr>
                <w:sz w:val="17"/>
                <w:szCs w:val="17"/>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54</w:t>
            </w:r>
          </w:p>
        </w:tc>
        <w:tc>
          <w:tcPr>
            <w:tcW w:w="4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   (12 )</w:t>
            </w:r>
          </w:p>
        </w:tc>
        <w:tc>
          <w:tcPr>
            <w:tcW w:w="20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(22 )%  $</w:t>
            </w:r>
          </w:p>
        </w:tc>
        <w:tc>
          <w:tcPr>
            <w:tcW w:w="640" w:type="dxa"/>
            <w:vAlign w:val="bottom"/>
          </w:tcPr>
          <w:p>
            <w:pPr>
              <w:jc w:val="right"/>
              <w:spacing w:after="0"/>
              <w:rPr>
                <w:sz w:val="20"/>
                <w:szCs w:val="20"/>
                <w:color w:val="auto"/>
              </w:rPr>
            </w:pPr>
            <w:r>
              <w:rPr>
                <w:rFonts w:ascii="Arial" w:cs="Arial" w:eastAsia="Arial" w:hAnsi="Arial"/>
                <w:sz w:val="16"/>
                <w:szCs w:val="16"/>
                <w:color w:val="auto"/>
              </w:rPr>
              <w:t>154</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157</w:t>
            </w:r>
          </w:p>
        </w:tc>
        <w:tc>
          <w:tcPr>
            <w:tcW w:w="4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   (3 )</w:t>
            </w:r>
          </w:p>
        </w:tc>
        <w:tc>
          <w:tcPr>
            <w:tcW w:w="2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2600" w:type="dxa"/>
            <w:vAlign w:val="bottom"/>
          </w:tcPr>
          <w:p>
            <w:pPr>
              <w:ind w:left="280"/>
              <w:spacing w:after="0"/>
              <w:rPr>
                <w:sz w:val="20"/>
                <w:szCs w:val="20"/>
                <w:color w:val="auto"/>
              </w:rPr>
            </w:pPr>
            <w:r>
              <w:rPr>
                <w:rFonts w:ascii="Arial" w:cs="Arial" w:eastAsia="Arial" w:hAnsi="Arial"/>
                <w:sz w:val="16"/>
                <w:szCs w:val="16"/>
                <w:color w:val="auto"/>
              </w:rPr>
              <w:t>Percentage of revenue</w:t>
            </w:r>
          </w:p>
        </w:tc>
        <w:tc>
          <w:tcPr>
            <w:tcW w:w="62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6"/>
                <w:szCs w:val="16"/>
                <w:color w:val="auto"/>
              </w:rPr>
              <w:t>34 %</w:t>
            </w:r>
          </w:p>
        </w:tc>
        <w:tc>
          <w:tcPr>
            <w:tcW w:w="64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6"/>
                <w:szCs w:val="16"/>
                <w:color w:val="auto"/>
              </w:rPr>
              <w:t>15 %</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34 %</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9 %</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11"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Product development expense for the three months ended September 30, 2022 decreased $12 million, or 22%, compared to the same periods in 2021. The decrease was primarily due to a reduction in employee-related costs, including stock-based compensation, driven by reduced headcount and decrease in expenses associated with data warehousing, processing, and analytics.</w:t>
      </w:r>
    </w:p>
    <w:p>
      <w:pPr>
        <w:spacing w:after="0" w:line="115" w:lineRule="exact"/>
        <w:rPr>
          <w:sz w:val="20"/>
          <w:szCs w:val="20"/>
          <w:color w:val="auto"/>
        </w:rPr>
      </w:pPr>
    </w:p>
    <w:p>
      <w:pPr>
        <w:jc w:val="both"/>
        <w:ind w:right="100" w:firstLine="644"/>
        <w:spacing w:after="0" w:line="252" w:lineRule="auto"/>
        <w:rPr>
          <w:sz w:val="20"/>
          <w:szCs w:val="20"/>
          <w:color w:val="auto"/>
        </w:rPr>
      </w:pPr>
      <w:r>
        <w:rPr>
          <w:rFonts w:ascii="Arial" w:cs="Arial" w:eastAsia="Arial" w:hAnsi="Arial"/>
          <w:sz w:val="18"/>
          <w:szCs w:val="18"/>
          <w:color w:val="auto"/>
        </w:rPr>
        <w:t>Product development expense for the nine months ended September 30, 2022 decreased by $3 million or 2%, compared to the same periods in 2021. The decrease was primarily due to a reduction in expenses associated with data warehousing, processing and analytics, offset by a one-time discretionary bonus paid to select employees to cover their respective tax obligations triggered by the settlement of their RSUs that vested upon the Company’s IPO.</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860" w:type="dxa"/>
            <w:vAlign w:val="bottom"/>
            <w:gridSpan w:val="4"/>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86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ind w:left="520"/>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ind w:left="220"/>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6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w w:val="72"/>
              </w:rPr>
              <w:t>millions)</w:t>
            </w: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b w:val="1"/>
                <w:bCs w:val="1"/>
                <w:color w:val="auto"/>
              </w:rPr>
              <w:t>(in</w:t>
            </w:r>
          </w:p>
        </w:tc>
        <w:tc>
          <w:tcPr>
            <w:tcW w:w="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17"/>
                <w:szCs w:val="17"/>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29</w:t>
            </w:r>
          </w:p>
        </w:tc>
        <w:tc>
          <w:tcPr>
            <w:tcW w:w="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   11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38 %   $</w:t>
            </w:r>
          </w:p>
        </w:tc>
        <w:tc>
          <w:tcPr>
            <w:tcW w:w="600" w:type="dxa"/>
            <w:vAlign w:val="bottom"/>
          </w:tcPr>
          <w:p>
            <w:pPr>
              <w:ind w:left="400"/>
              <w:spacing w:after="0"/>
              <w:rPr>
                <w:sz w:val="20"/>
                <w:szCs w:val="20"/>
                <w:color w:val="auto"/>
              </w:rPr>
            </w:pPr>
            <w:r>
              <w:rPr>
                <w:rFonts w:ascii="Arial" w:cs="Arial" w:eastAsia="Arial" w:hAnsi="Arial"/>
                <w:sz w:val="16"/>
                <w:szCs w:val="16"/>
                <w:color w:val="auto"/>
              </w:rPr>
              <w:t>86</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121</w:t>
            </w:r>
          </w:p>
        </w:tc>
        <w:tc>
          <w:tcPr>
            <w:tcW w:w="400" w:type="dxa"/>
            <w:vAlign w:val="bottom"/>
          </w:tcPr>
          <w:p>
            <w:pPr>
              <w:spacing w:after="0"/>
              <w:rPr>
                <w:sz w:val="17"/>
                <w:szCs w:val="17"/>
                <w:color w:val="auto"/>
              </w:rPr>
            </w:pPr>
          </w:p>
        </w:tc>
        <w:tc>
          <w:tcPr>
            <w:tcW w:w="920" w:type="dxa"/>
            <w:vAlign w:val="bottom"/>
            <w:gridSpan w:val="2"/>
          </w:tcPr>
          <w:p>
            <w:pPr>
              <w:jc w:val="right"/>
              <w:ind w:right="239"/>
              <w:spacing w:after="0"/>
              <w:rPr>
                <w:sz w:val="20"/>
                <w:szCs w:val="20"/>
                <w:color w:val="auto"/>
              </w:rPr>
            </w:pPr>
            <w:r>
              <w:rPr>
                <w:rFonts w:ascii="Arial" w:cs="Arial" w:eastAsia="Arial" w:hAnsi="Arial"/>
                <w:sz w:val="16"/>
                <w:szCs w:val="16"/>
                <w:color w:val="auto"/>
              </w:rPr>
              <w:t>$  (35 )</w:t>
            </w:r>
          </w:p>
        </w:tc>
        <w:tc>
          <w:tcPr>
            <w:tcW w:w="2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5"/>
        </w:trPr>
        <w:tc>
          <w:tcPr>
            <w:tcW w:w="2620" w:type="dxa"/>
            <w:vAlign w:val="bottom"/>
          </w:tcPr>
          <w:p>
            <w:pPr>
              <w:ind w:left="280"/>
              <w:spacing w:after="0"/>
              <w:rPr>
                <w:sz w:val="20"/>
                <w:szCs w:val="20"/>
                <w:color w:val="auto"/>
              </w:rPr>
            </w:pPr>
            <w:r>
              <w:rPr>
                <w:rFonts w:ascii="Arial" w:cs="Arial" w:eastAsia="Arial" w:hAnsi="Arial"/>
                <w:sz w:val="16"/>
                <w:szCs w:val="16"/>
                <w:color w:val="auto"/>
              </w:rPr>
              <w:t>Percentage of revenue</w:t>
            </w:r>
          </w:p>
        </w:tc>
        <w:tc>
          <w:tcPr>
            <w:tcW w:w="6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color w:val="auto"/>
              </w:rPr>
              <w:t>32 %</w:t>
            </w:r>
          </w:p>
        </w:tc>
        <w:tc>
          <w:tcPr>
            <w:tcW w:w="6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8 %</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6"/>
                <w:szCs w:val="16"/>
                <w:color w:val="auto"/>
              </w:rPr>
              <w:t>19 %</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7 %</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11" w:lineRule="exact"/>
        <w:rPr>
          <w:sz w:val="20"/>
          <w:szCs w:val="20"/>
          <w:color w:val="auto"/>
        </w:rPr>
      </w:pPr>
    </w:p>
    <w:p>
      <w:pPr>
        <w:jc w:val="both"/>
        <w:ind w:right="100" w:firstLine="636"/>
        <w:spacing w:after="0" w:line="252" w:lineRule="auto"/>
        <w:rPr>
          <w:sz w:val="20"/>
          <w:szCs w:val="20"/>
          <w:color w:val="auto"/>
        </w:rPr>
      </w:pPr>
      <w:r>
        <w:rPr>
          <w:rFonts w:ascii="Arial" w:cs="Arial" w:eastAsia="Arial" w:hAnsi="Arial"/>
          <w:sz w:val="18"/>
          <w:szCs w:val="18"/>
          <w:color w:val="auto"/>
        </w:rPr>
        <w:t>General and administrative expense for the three months ended September 30, 2022 increased $11 million, or 38%, compared to the same period in 2021. The increase was driven by severance benefits paid to the Company's former CEO (Mr. Talwar), including accelerated vesting of his equity awards, and an impairment charge of the Company's lease assets and property and equipment during the third quarter of 2022.</w:t>
      </w:r>
    </w:p>
    <w:p>
      <w:pPr>
        <w:spacing w:after="0" w:line="116" w:lineRule="exact"/>
        <w:rPr>
          <w:sz w:val="20"/>
          <w:szCs w:val="20"/>
          <w:color w:val="auto"/>
        </w:rPr>
      </w:pPr>
    </w:p>
    <w:p>
      <w:pPr>
        <w:jc w:val="both"/>
        <w:ind w:right="100" w:firstLine="636"/>
        <w:spacing w:after="0" w:line="247" w:lineRule="auto"/>
        <w:rPr>
          <w:sz w:val="20"/>
          <w:szCs w:val="20"/>
          <w:color w:val="auto"/>
        </w:rPr>
      </w:pPr>
      <w:r>
        <w:rPr>
          <w:rFonts w:ascii="Arial" w:cs="Arial" w:eastAsia="Arial" w:hAnsi="Arial"/>
          <w:sz w:val="18"/>
          <w:szCs w:val="18"/>
          <w:color w:val="auto"/>
        </w:rPr>
        <w:t>General and administrative expense for the nine months ended September 30, 2022 decreased $35 million, or 29%, compared to the same period in 2021. The decrease was primarily related to a reversal of stock-based compensation in connection with the resignation of both our former CEO (Mr. Szulczewski) and executive chair, a reduction in employee-related costs, including stock-based compensation, driven by a reduced headcount from the Restructuring Plan, and to a lesser extent, decreases in legal, audit, tax, and lease related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020" w:type="dxa"/>
            <w:vAlign w:val="bottom"/>
            <w:gridSpan w:val="4"/>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2740" w:type="dxa"/>
            <w:vAlign w:val="bottom"/>
          </w:tcPr>
          <w:p>
            <w:pPr>
              <w:spacing w:after="0"/>
              <w:rPr>
                <w:sz w:val="18"/>
                <w:szCs w:val="18"/>
                <w:color w:val="auto"/>
              </w:rPr>
            </w:pPr>
          </w:p>
        </w:tc>
        <w:tc>
          <w:tcPr>
            <w:tcW w:w="202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w w:val="98"/>
              </w:rPr>
              <w:t>Change</w:t>
            </w: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w w:val="98"/>
              </w:rPr>
              <w:t>Change</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2740" w:type="dxa"/>
            <w:vAlign w:val="bottom"/>
          </w:tcPr>
          <w:p>
            <w:pPr>
              <w:spacing w:after="0"/>
              <w:rPr>
                <w:sz w:val="17"/>
                <w:szCs w:val="17"/>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4"/>
              </w:rPr>
              <w:t>%</w:t>
            </w:r>
          </w:p>
        </w:tc>
        <w:tc>
          <w:tcPr>
            <w:tcW w:w="200" w:type="dxa"/>
            <w:vAlign w:val="bottom"/>
          </w:tcPr>
          <w:p>
            <w:pPr>
              <w:spacing w:after="0"/>
              <w:rPr>
                <w:sz w:val="17"/>
                <w:szCs w:val="17"/>
                <w:color w:val="auto"/>
              </w:rPr>
            </w:pPr>
          </w:p>
        </w:tc>
      </w:tr>
      <w:tr>
        <w:trPr>
          <w:trHeight w:val="196"/>
        </w:trPr>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7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2</w:t>
            </w:r>
          </w:p>
        </w:tc>
        <w:tc>
          <w:tcPr>
            <w:tcW w:w="240" w:type="dxa"/>
            <w:vAlign w:val="bottom"/>
          </w:tcPr>
          <w:p>
            <w:pPr>
              <w:spacing w:after="0"/>
              <w:rPr>
                <w:sz w:val="17"/>
                <w:szCs w:val="17"/>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4</w:t>
            </w:r>
          </w:p>
        </w:tc>
        <w:tc>
          <w:tcPr>
            <w:tcW w:w="2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(2 )</w:t>
            </w:r>
          </w:p>
        </w:tc>
        <w:tc>
          <w:tcPr>
            <w:tcW w:w="24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(50 )% $</w:t>
            </w:r>
          </w:p>
        </w:tc>
        <w:tc>
          <w:tcPr>
            <w:tcW w:w="760" w:type="dxa"/>
            <w:vAlign w:val="bottom"/>
          </w:tcPr>
          <w:p>
            <w:pPr>
              <w:ind w:left="660"/>
              <w:spacing w:after="0"/>
              <w:rPr>
                <w:sz w:val="20"/>
                <w:szCs w:val="20"/>
                <w:color w:val="auto"/>
              </w:rPr>
            </w:pPr>
            <w:r>
              <w:rPr>
                <w:rFonts w:ascii="Arial" w:cs="Arial" w:eastAsia="Arial" w:hAnsi="Arial"/>
                <w:sz w:val="16"/>
                <w:szCs w:val="16"/>
                <w:color w:val="auto"/>
                <w:w w:val="89"/>
              </w:rPr>
              <w:t>3</w:t>
            </w:r>
          </w:p>
        </w:tc>
        <w:tc>
          <w:tcPr>
            <w:tcW w:w="200" w:type="dxa"/>
            <w:vAlign w:val="bottom"/>
          </w:tcPr>
          <w:p>
            <w:pPr>
              <w:spacing w:after="0"/>
              <w:rPr>
                <w:sz w:val="17"/>
                <w:szCs w:val="17"/>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    (8 )</w:t>
            </w:r>
          </w:p>
        </w:tc>
        <w:tc>
          <w:tcPr>
            <w:tcW w:w="3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(73 )%</w:t>
            </w:r>
          </w:p>
        </w:tc>
      </w:tr>
      <w:tr>
        <w:trPr>
          <w:trHeight w:val="215"/>
        </w:trPr>
        <w:tc>
          <w:tcPr>
            <w:tcW w:w="2740" w:type="dxa"/>
            <w:vAlign w:val="bottom"/>
          </w:tcPr>
          <w:p>
            <w:pPr>
              <w:ind w:left="280"/>
              <w:spacing w:after="0"/>
              <w:rPr>
                <w:sz w:val="20"/>
                <w:szCs w:val="20"/>
                <w:color w:val="auto"/>
              </w:rPr>
            </w:pPr>
            <w:r>
              <w:rPr>
                <w:rFonts w:ascii="Arial" w:cs="Arial" w:eastAsia="Arial" w:hAnsi="Arial"/>
                <w:sz w:val="16"/>
                <w:szCs w:val="16"/>
                <w:color w:val="auto"/>
              </w:rPr>
              <w:t>Percentage of revenue</w:t>
            </w:r>
          </w:p>
        </w:tc>
        <w:tc>
          <w:tcPr>
            <w:tcW w:w="80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2 %</w:t>
            </w:r>
          </w:p>
        </w:tc>
        <w:tc>
          <w:tcPr>
            <w:tcW w:w="78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1 %</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1 %</w:t>
            </w:r>
          </w:p>
        </w:tc>
        <w:tc>
          <w:tcPr>
            <w:tcW w:w="6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11" w:lineRule="exact"/>
        <w:rPr>
          <w:sz w:val="20"/>
          <w:szCs w:val="20"/>
          <w:color w:val="auto"/>
        </w:rPr>
      </w:pPr>
    </w:p>
    <w:p>
      <w:pPr>
        <w:jc w:val="both"/>
        <w:ind w:right="100" w:firstLine="636"/>
        <w:spacing w:after="0" w:line="261" w:lineRule="auto"/>
        <w:rPr>
          <w:sz w:val="20"/>
          <w:szCs w:val="20"/>
          <w:color w:val="auto"/>
        </w:rPr>
      </w:pPr>
      <w:r>
        <w:rPr>
          <w:rFonts w:ascii="Arial" w:cs="Arial" w:eastAsia="Arial" w:hAnsi="Arial"/>
          <w:sz w:val="18"/>
          <w:szCs w:val="18"/>
          <w:color w:val="auto"/>
        </w:rPr>
        <w:t>Provision for income taxes for the three and nine months ended September 30, 2022 decreased $ 2 million, or 50%, and $8 million, or 73%, respectively, compared to the same periods in 2021. The change in provision for income taxes was primarily due to a decrease in pre-tax earnings of our international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jc w:val="both"/>
        <w:ind w:right="100" w:firstLine="636"/>
        <w:spacing w:after="0" w:line="252" w:lineRule="auto"/>
        <w:rPr>
          <w:sz w:val="20"/>
          <w:szCs w:val="20"/>
          <w:color w:val="auto"/>
        </w:rPr>
      </w:pPr>
      <w:r>
        <w:rPr>
          <w:rFonts w:ascii="Arial" w:cs="Arial" w:eastAsia="Arial" w:hAnsi="Arial"/>
          <w:sz w:val="18"/>
          <w:szCs w:val="18"/>
          <w:color w:val="auto"/>
        </w:rPr>
        <w:t>As of September 30, 2022, we had cash, cash equivalents and marketable securities of $837 million,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spacing w:after="0" w:line="116" w:lineRule="exact"/>
        <w:rPr>
          <w:sz w:val="20"/>
          <w:szCs w:val="20"/>
          <w:color w:val="auto"/>
        </w:rPr>
      </w:pPr>
    </w:p>
    <w:p>
      <w:pPr>
        <w:jc w:val="both"/>
        <w:ind w:right="100" w:firstLine="636"/>
        <w:spacing w:after="0" w:line="271" w:lineRule="auto"/>
        <w:rPr>
          <w:sz w:val="20"/>
          <w:szCs w:val="20"/>
          <w:color w:val="auto"/>
        </w:rPr>
      </w:pPr>
      <w:r>
        <w:rPr>
          <w:rFonts w:ascii="Arial" w:cs="Arial" w:eastAsia="Arial" w:hAnsi="Arial"/>
          <w:sz w:val="18"/>
          <w:szCs w:val="18"/>
          <w:color w:val="auto"/>
        </w:rPr>
        <w:t>Our material cash requirements include $177 million in accounts and merchants payable, $82 million remaining on a colocation and cloud services purchase commitment, and $19 million of facility lease obligations, of which $7 million is due within the next 12 months.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156" w:lineRule="exact"/>
        <w:rPr>
          <w:sz w:val="20"/>
          <w:szCs w:val="20"/>
          <w:color w:val="auto"/>
        </w:rPr>
      </w:pPr>
    </w:p>
    <w:p>
      <w:pPr>
        <w:jc w:val="both"/>
        <w:ind w:right="100" w:firstLine="636"/>
        <w:spacing w:after="0" w:line="247"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September 30, 2022, we had not made any borrowings under the Revolving Credit Facility. Refer to Note 7 to our condensed consolidated financial statements in Item 1 of Part I, “Financial Information” for additional details related to the Revolving Credit Facility.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6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060" w:type="dxa"/>
            <w:vAlign w:val="bottom"/>
          </w:tcPr>
          <w:p>
            <w:pPr>
              <w:spacing w:after="0"/>
              <w:rPr>
                <w:sz w:val="17"/>
                <w:szCs w:val="17"/>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b w:val="1"/>
                <w:bCs w:val="1"/>
                <w:color w:val="auto"/>
              </w:rPr>
              <w:t>(in</w:t>
            </w:r>
          </w:p>
        </w:tc>
        <w:tc>
          <w:tcPr>
            <w:tcW w:w="1740" w:type="dxa"/>
            <w:vAlign w:val="bottom"/>
            <w:gridSpan w:val="2"/>
          </w:tcPr>
          <w:p>
            <w:pPr>
              <w:jc w:val="right"/>
              <w:ind w:right="979"/>
              <w:spacing w:after="0"/>
              <w:rPr>
                <w:sz w:val="20"/>
                <w:szCs w:val="20"/>
                <w:color w:val="auto"/>
              </w:rPr>
            </w:pPr>
            <w:r>
              <w:rPr>
                <w:rFonts w:ascii="Arial" w:cs="Arial" w:eastAsia="Arial" w:hAnsi="Arial"/>
                <w:sz w:val="16"/>
                <w:szCs w:val="16"/>
                <w:b w:val="1"/>
                <w:bCs w:val="1"/>
                <w:color w:val="auto"/>
              </w:rPr>
              <w:t>millions)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w:t>
            </w:r>
          </w:p>
        </w:tc>
        <w:tc>
          <w:tcPr>
            <w:tcW w:w="1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80"/>
              <w:spacing w:after="0"/>
              <w:rPr>
                <w:sz w:val="20"/>
                <w:szCs w:val="20"/>
                <w:color w:val="auto"/>
              </w:rPr>
            </w:pPr>
            <w:r>
              <w:rPr>
                <w:rFonts w:ascii="Arial" w:cs="Arial" w:eastAsia="Arial" w:hAnsi="Arial"/>
                <w:sz w:val="16"/>
                <w:szCs w:val="16"/>
                <w:color w:val="auto"/>
              </w:rPr>
              <w:t>Operating activities</w:t>
            </w:r>
          </w:p>
        </w:tc>
        <w:tc>
          <w:tcPr>
            <w:tcW w:w="128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9"/>
              <w:spacing w:after="0"/>
              <w:rPr>
                <w:sz w:val="20"/>
                <w:szCs w:val="20"/>
                <w:color w:val="auto"/>
              </w:rPr>
            </w:pPr>
            <w:r>
              <w:rPr>
                <w:rFonts w:ascii="Arial" w:cs="Arial" w:eastAsia="Arial" w:hAnsi="Arial"/>
                <w:sz w:val="16"/>
                <w:szCs w:val="16"/>
                <w:color w:val="auto"/>
              </w:rPr>
              <w:t>(313 )</w:t>
            </w:r>
          </w:p>
        </w:tc>
        <w:tc>
          <w:tcPr>
            <w:tcW w:w="13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(902 )</w:t>
            </w:r>
          </w:p>
        </w:tc>
      </w:tr>
      <w:tr>
        <w:trPr>
          <w:trHeight w:val="203"/>
        </w:trPr>
        <w:tc>
          <w:tcPr>
            <w:tcW w:w="70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Investing activities</w:t>
            </w:r>
          </w:p>
        </w:tc>
        <w:tc>
          <w:tcPr>
            <w:tcW w:w="12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(85 )</w:t>
            </w:r>
          </w:p>
        </w:tc>
        <w:tc>
          <w:tcPr>
            <w:tcW w:w="13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7"/>
                <w:szCs w:val="17"/>
                <w:color w:val="auto"/>
              </w:rPr>
            </w:pPr>
          </w:p>
        </w:tc>
      </w:tr>
      <w:tr>
        <w:trPr>
          <w:trHeight w:val="215"/>
        </w:trPr>
        <w:tc>
          <w:tcPr>
            <w:tcW w:w="7060" w:type="dxa"/>
            <w:vAlign w:val="bottom"/>
          </w:tcPr>
          <w:p>
            <w:pPr>
              <w:ind w:left="280"/>
              <w:spacing w:after="0"/>
              <w:rPr>
                <w:sz w:val="20"/>
                <w:szCs w:val="20"/>
                <w:color w:val="auto"/>
              </w:rPr>
            </w:pPr>
            <w:r>
              <w:rPr>
                <w:rFonts w:ascii="Arial" w:cs="Arial" w:eastAsia="Arial" w:hAnsi="Arial"/>
                <w:sz w:val="16"/>
                <w:szCs w:val="16"/>
                <w:color w:val="auto"/>
              </w:rPr>
              <w:t>Financing activities</w:t>
            </w:r>
          </w:p>
        </w:tc>
        <w:tc>
          <w:tcPr>
            <w:tcW w:w="1280" w:type="dxa"/>
            <w:vAlign w:val="bottom"/>
          </w:tcPr>
          <w:p>
            <w:pPr>
              <w:spacing w:after="0"/>
              <w:rPr>
                <w:sz w:val="18"/>
                <w:szCs w:val="18"/>
                <w:color w:val="auto"/>
              </w:rPr>
            </w:pPr>
          </w:p>
        </w:tc>
        <w:tc>
          <w:tcPr>
            <w:tcW w:w="920" w:type="dxa"/>
            <w:vAlign w:val="bottom"/>
            <w:gridSpan w:val="2"/>
          </w:tcPr>
          <w:p>
            <w:pPr>
              <w:jc w:val="right"/>
              <w:ind w:right="239"/>
              <w:spacing w:after="0"/>
              <w:rPr>
                <w:sz w:val="20"/>
                <w:szCs w:val="20"/>
                <w:color w:val="auto"/>
              </w:rPr>
            </w:pPr>
            <w:r>
              <w:rPr>
                <w:rFonts w:ascii="Arial" w:cs="Arial" w:eastAsia="Arial" w:hAnsi="Arial"/>
                <w:sz w:val="16"/>
                <w:szCs w:val="16"/>
                <w:color w:val="auto"/>
              </w:rPr>
              <w:t>(9 )</w:t>
            </w:r>
          </w:p>
        </w:tc>
        <w:tc>
          <w:tcPr>
            <w:tcW w:w="13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Net cash used in our operating activities for the nine months ended September 30, 2022 was $313 million. This was primarily driven by our net loss of $274 million and $113 million of unfavorable changes in our operating assets and liabilities, which was partially offset by non-cash expenses of $74 million, mainly consisting of $53 million in stock-based compensation expense and $11 million in non-cash impairment charges. Unfavorable working capital movement was mainly driven by reductions in accounts payable, merchants payable and accrued and refund liabilities. Accounts payable, merchants payable, and accrued and refund liabilities decreased by $110 million primarily due to lower order volumes and reduced digital advertising expenditures.</w:t>
      </w:r>
    </w:p>
    <w:p>
      <w:pPr>
        <w:spacing w:after="0" w:line="136"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Net cash used in our operating activities for the nine months ended September 30, 2021 was $902 million. This was primarily driven by our net loss of $303 million and $732 million unfavorable net working capital changes, which was partially offset by non-cash expenses of $133 million, mainly consisting of $104 million in stock-based compensation expense. Unfavorable working capital movement was mainly driven by accounts payable, merchants payable and accrued and refund liabilities. Accounts payable decreased by $364 million primarily due to our decision to significantly reduce digital advertising expenditures and the timing of payments and shorter vendor payment terms. Earlier during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$238 million primarily due to lower volumes driven by reduced digital advertising expenditures that resulted in lower MAUs and LTM Active Buyers.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Net cash used in investing activities was $85 million for the nine months ended September 30, 2022. This was primarily due to $303 million in purchases of marketable securities and $2 million in capital expenditures, partially offset by $218 million of maturities in marketable securities.</w:t>
      </w:r>
    </w:p>
    <w:p>
      <w:pPr>
        <w:spacing w:after="0" w:line="108"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Net cash provided by investing activities was $16 million for the nine months ended September 30, 2021. This was primarily due to $252 million in maturities and sales of marketable securities, partially offset by purchases of $235 million of marketable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7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Net cash used in our financing activities was $9 million for the nine months ended September 30, 2022. This was primarily due to $10 million in payments of taxes related to employee RSU settlements, offset by $1 million in proceeds from common stock purchased under the Company's ESPP.</w:t>
      </w:r>
    </w:p>
    <w:p>
      <w:pPr>
        <w:spacing w:after="0" w:line="128" w:lineRule="exact"/>
        <w:rPr>
          <w:sz w:val="20"/>
          <w:szCs w:val="20"/>
          <w:color w:val="auto"/>
        </w:rPr>
      </w:pPr>
    </w:p>
    <w:p>
      <w:pPr>
        <w:ind w:right="1920" w:firstLine="636"/>
        <w:spacing w:after="0" w:line="422" w:lineRule="auto"/>
        <w:rPr>
          <w:sz w:val="20"/>
          <w:szCs w:val="20"/>
          <w:color w:val="auto"/>
        </w:rPr>
      </w:pPr>
      <w:r>
        <w:rPr>
          <w:rFonts w:ascii="Arial" w:cs="Arial" w:eastAsia="Arial" w:hAnsi="Arial"/>
          <w:sz w:val="18"/>
          <w:szCs w:val="18"/>
          <w:color w:val="auto"/>
        </w:rPr>
        <w:t xml:space="preserve">Net cash used in our financing activities was insignificant during the nine months ended September 30, 2021. </w:t>
      </w:r>
      <w:r>
        <w:rPr>
          <w:rFonts w:ascii="Arial" w:cs="Arial" w:eastAsia="Arial" w:hAnsi="Arial"/>
          <w:sz w:val="18"/>
          <w:szCs w:val="18"/>
          <w:b w:val="1"/>
          <w:bCs w:val="1"/>
          <w:color w:val="auto"/>
        </w:rPr>
        <w:t>Off Balance Sheet Arrangements</w:t>
      </w:r>
    </w:p>
    <w:p>
      <w:pPr>
        <w:spacing w:after="0" w:line="1"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For the three and nine months ended September 30, 2022 and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are involved in claims, lawsuits, government investigations,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preparation of consolidated financial statements and related disclosures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We evaluate our estimates, including those listed below on an ongoing basis.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base our estimates on historical facts and various other assumptions that we believe to be reasonable at the time the estimates are made.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those estimates.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critical accounting policies are as follows:</w:t>
      </w:r>
    </w:p>
    <w:p>
      <w:pPr>
        <w:spacing w:after="0" w:line="158" w:lineRule="exact"/>
        <w:rPr>
          <w:sz w:val="20"/>
          <w:szCs w:val="20"/>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Revenue recognition;</w:t>
      </w:r>
    </w:p>
    <w:p>
      <w:pPr>
        <w:spacing w:after="0" w:line="89"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lease obligations;</w:t>
      </w:r>
    </w:p>
    <w:p>
      <w:pPr>
        <w:spacing w:after="0" w:line="75"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long-lived assets, including intangibles and lease assets;</w:t>
      </w:r>
    </w:p>
    <w:p>
      <w:pPr>
        <w:spacing w:after="0" w:line="75"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Stock-based compensation; and</w:t>
      </w:r>
    </w:p>
    <w:p>
      <w:pPr>
        <w:spacing w:after="0" w:line="89"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Income taxes.</w:t>
      </w:r>
    </w:p>
    <w:p>
      <w:pPr>
        <w:spacing w:after="0" w:line="157"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Our critical accounting policies are important to the portrayal of our financial condition and results of operations, and require us to make judgments and estimates about matters that are inherently uncertain.</w:t>
      </w:r>
    </w:p>
    <w:p>
      <w:pPr>
        <w:spacing w:after="0" w:line="100" w:lineRule="exact"/>
        <w:rPr>
          <w:sz w:val="20"/>
          <w:szCs w:val="20"/>
          <w:color w:val="auto"/>
        </w:rPr>
      </w:pPr>
    </w:p>
    <w:p>
      <w:pPr>
        <w:ind w:right="20" w:firstLine="644"/>
        <w:spacing w:after="0" w:line="28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2021 Form 10-K, filed with the SEC on March 14,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42"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Cash, cash equivalents and marketable securities as of September 30, 2022 were held primarily in cash deposits, treasuries, and corporate bonds. The fair value of our cash, cash equivalents, and investments would not be significantly affected by either an increase or</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decrease in interest rates due mainly to the short-term nature of these instruments and that the Company’s policy is to hold investments to maturity except in cases of non-compliance with our investment policy.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4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processes and procedures for managing this risk. We use natural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hedging techniques first to net off existing foreign currency exposures. For the remaining exposure, we may enter into short term foreign currency derivative contracts, including forward contracts to hedge exposures associated with monetary assets and liabilities, mainly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merchants payable, and cash flows denominated in non-functional currencies.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institution and all contracts are only placed with large financial institutions. The gains and losses on foreign currency derivative contracts generally offset the losses and gains on the assets, liabilities and cash flows hedged. The fair value of foreign exchange derivative contracts is reported in the condensed consolidated balance sheets. The majority of these foreign exchange contracts expire in less than three months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all expire within one year. Refer to Note 5 to our condensed consolidated financial statements in Item 1 of Part I, “Financial Statements” for more information related to our derivative financial instruments.</w:t>
      </w:r>
    </w:p>
    <w:p>
      <w:pPr>
        <w:spacing w:after="0" w:line="127"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18"/>
          <w:szCs w:val="18"/>
          <w:color w:val="auto"/>
        </w:rPr>
        <w:t>Based on our overall currency rate exposures as of September 30, 2022,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 results of operations and cash flows in the near-term.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5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As of the date of filing of this Quarterly Report, we do not believe that inflation has had a material effect on our business, financial condition, or results of operations. If the Company’s costs were to become subject to significant inflationary pressures, the Company may not</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be able to fully offset such higher costs through increases in revenue as increases in core inflation rates may also affect consumers’ willingness to make discretionary purchases on our platforms. The Company’s inability or failure to do so could harm the Company’s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disclosure controls and procedures (as defined in Rules 13a-15(e) or 15d-15(e) under the Exchange Act) are designed to ensure</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disclosure. Our Chief Executive Officer and Chief Financial Officer, with assistance from other members of management, have evaluated the effectiveness of our disclosure controls and procedures as of September 30, 2022, and, based on their evaluation, have concluded that the</w:t>
      </w:r>
    </w:p>
    <w:p>
      <w:pPr>
        <w:spacing w:after="0" w:line="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disclosure controls and procedures were not effective as of such date due to material weaknesses in internal control over financial reporting,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Weaknesses in Internal Control over Financial Reporting</w:t>
      </w:r>
    </w:p>
    <w:p>
      <w:pPr>
        <w:spacing w:after="0" w:line="156" w:lineRule="exact"/>
        <w:rPr>
          <w:sz w:val="20"/>
          <w:szCs w:val="20"/>
          <w:color w:val="auto"/>
        </w:rPr>
      </w:pPr>
    </w:p>
    <w:p>
      <w:pPr>
        <w:jc w:val="both"/>
        <w:ind w:firstLine="628"/>
        <w:spacing w:after="0" w:line="271" w:lineRule="auto"/>
        <w:rPr>
          <w:sz w:val="20"/>
          <w:szCs w:val="20"/>
          <w:color w:val="auto"/>
        </w:rPr>
      </w:pPr>
      <w:r>
        <w:rPr>
          <w:rFonts w:ascii="Arial" w:cs="Arial" w:eastAsia="Arial" w:hAnsi="Arial"/>
          <w:sz w:val="18"/>
          <w:szCs w:val="18"/>
          <w:color w:val="auto"/>
        </w:rPr>
        <w:t>As disclosed in Item 9A, “Controls and Procedures” within our 2021 Form 10-K, which was filed with the SEC on March 14, 2022, the following material weaknesses were identified and remain outstanding as of September 30, 2022:</w:t>
      </w:r>
    </w:p>
    <w:p>
      <w:pPr>
        <w:spacing w:after="0" w:line="46" w:lineRule="exact"/>
        <w:rPr>
          <w:sz w:val="20"/>
          <w:szCs w:val="20"/>
          <w:color w:val="auto"/>
        </w:rPr>
      </w:pPr>
    </w:p>
    <w:p>
      <w:pPr>
        <w:jc w:val="both"/>
        <w:ind w:left="1020" w:hanging="503"/>
        <w:spacing w:after="0" w:line="244"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 Business process controls (automated and manual) that are dependent on the ineffective ITGCs, or that rely on data produced from systems impacted by the ineffective ITGCs, are also deemed ineffective.</w:t>
      </w:r>
    </w:p>
    <w:p>
      <w:pPr>
        <w:spacing w:after="0" w:line="81"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fully implement components of the COSO framework, including elements of the control environment, information and communication, control activities and monitoring activities components, relating to: (i) providing sufficient management oversight and ownership over the internal control evaluation process; (ii) hiring and training sufficient competent personnel to support the Company’s internal control objectives; (iii) performing timely monitoring to ascertain whether the components of internal control are present and functioning effectively; (iv) communicating deficiencies in a timely manner to those parties responsible for taking corrective action; and (v) retaining sufficient documentation of control activities and evidence supporting the operating effectiveness of the controls. As such, management concluded that it did not have an adequate process in place to complete its assessment of the design and operating effectiveness of internal control over financial reporting in a timely manner.</w:t>
      </w:r>
    </w:p>
    <w:p>
      <w:pPr>
        <w:spacing w:after="0" w:line="125"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18"/>
          <w:szCs w:val="18"/>
          <w:color w:val="auto"/>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spacing w:after="0" w:line="130"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18"/>
          <w:szCs w:val="18"/>
          <w:color w:val="auto"/>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Weaknesses</w:t>
      </w:r>
    </w:p>
    <w:p>
      <w:pPr>
        <w:spacing w:after="0" w:line="169"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remediation measures we have taken to date include:</w:t>
      </w:r>
    </w:p>
    <w:p>
      <w:pPr>
        <w:spacing w:after="0" w:line="104" w:lineRule="exact"/>
        <w:rPr>
          <w:sz w:val="20"/>
          <w:szCs w:val="20"/>
          <w:color w:val="auto"/>
        </w:rPr>
      </w:pPr>
    </w:p>
    <w:p>
      <w:pPr>
        <w:jc w:val="both"/>
        <w:ind w:left="1020" w:hanging="503"/>
        <w:spacing w:after="0" w:line="24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hiring and continuing to hire additional qualified accounting, financial reporting, tax and information technology personnel as well as increasing third-party consultants with public company and internal control over financial reporting experience including a new Chief Executive Officer with a deep understanding of ecommerce and cross border business, a technical project manager to assist with communicating, documenting, and assisting with the remediation of deficiencies, and additional resources to test internal controls;</w:t>
      </w:r>
    </w:p>
    <w:p>
      <w:pPr>
        <w:spacing w:after="0" w:line="68" w:lineRule="exact"/>
        <w:rPr>
          <w:rFonts w:ascii="Arial" w:cs="Arial" w:eastAsia="Arial" w:hAnsi="Arial"/>
          <w:sz w:val="18"/>
          <w:szCs w:val="18"/>
          <w:color w:val="auto"/>
        </w:rPr>
      </w:pPr>
    </w:p>
    <w:p>
      <w:pPr>
        <w:ind w:left="1020" w:right="20" w:hanging="503"/>
        <w:spacing w:after="0" w:line="28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additional training for our personnel including the appropriate level of documentation to be maintained to support internal control over financial reporting;</w:t>
      </w:r>
    </w:p>
    <w:p>
      <w:pPr>
        <w:spacing w:after="0" w:line="31" w:lineRule="exact"/>
        <w:rPr>
          <w:rFonts w:ascii="Arial" w:cs="Arial" w:eastAsia="Arial" w:hAnsi="Arial"/>
          <w:sz w:val="18"/>
          <w:szCs w:val="18"/>
          <w:color w:val="auto"/>
        </w:rPr>
      </w:pPr>
    </w:p>
    <w:p>
      <w:pPr>
        <w:jc w:val="both"/>
        <w:ind w:left="10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holding periodic SOX Steering Committee meetings which are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w:t>
      </w:r>
    </w:p>
    <w:p>
      <w:pPr>
        <w:spacing w:after="0" w:line="53" w:lineRule="exact"/>
        <w:rPr>
          <w:rFonts w:ascii="Arial" w:cs="Arial" w:eastAsia="Arial" w:hAnsi="Arial"/>
          <w:sz w:val="18"/>
          <w:szCs w:val="18"/>
          <w:color w:val="auto"/>
        </w:rPr>
      </w:pPr>
    </w:p>
    <w:p>
      <w:pPr>
        <w:ind w:left="1020" w:right="20" w:hanging="503"/>
        <w:spacing w:after="0" w:line="27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designing and implementing controls to formalize roles and review responsibilities to align with the staff’s skills and experience and to ensure proper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Measures specifically taken during the quarter ended September 30, 2022 include:</w:t>
      </w:r>
    </w:p>
    <w:p>
      <w:pPr>
        <w:spacing w:after="0" w:line="104" w:lineRule="exact"/>
        <w:rPr>
          <w:sz w:val="20"/>
          <w:szCs w:val="20"/>
          <w:color w:val="auto"/>
        </w:rPr>
      </w:pPr>
    </w:p>
    <w:p>
      <w:pPr>
        <w:jc w:val="both"/>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enhance and standardize user access reviews and monitoring controls to improve segregation of duties, and more comprehensively review user and privileged access to financial applications, programs and data to appropriate Company personnel;</w:t>
      </w:r>
    </w:p>
    <w:p>
      <w:pPr>
        <w:spacing w:after="0" w:line="5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enhance processes to monitor critical batch and interface jobs;</w:t>
      </w:r>
    </w:p>
    <w:p>
      <w:pPr>
        <w:spacing w:after="0" w:line="103" w:lineRule="exact"/>
        <w:rPr>
          <w:rFonts w:ascii="Arial" w:cs="Arial" w:eastAsia="Arial" w:hAnsi="Arial"/>
          <w:sz w:val="18"/>
          <w:szCs w:val="18"/>
          <w:color w:val="auto"/>
        </w:rPr>
      </w:pPr>
    </w:p>
    <w:p>
      <w:pPr>
        <w:ind w:left="1020" w:hanging="503"/>
        <w:spacing w:after="0" w:line="28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holding periodic meetings with the Audit Committee to communicate deficiencies, discuss the overall remediation plan, and discuss progress made against the approved plan;</w:t>
      </w:r>
    </w:p>
    <w:p>
      <w:pPr>
        <w:spacing w:after="0" w:line="31"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performed a comprehensive reassessment of financial reporting risks relevant to our consolidated financial statements, including identification of financially relevant systems and business processes at the financial statement assertion level, to facilitate the design and implementation or enhancement of existing controls to address the identified risks;</w:t>
      </w:r>
    </w:p>
    <w:p>
      <w:pPr>
        <w:spacing w:after="0" w:line="74"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enhancing the oversight and review of non-recurring transactions to include consistent communication between functional areas, support consistent documentation of conclusions reached, and retention of evidence supporting the operation of control activities;</w:t>
      </w:r>
    </w:p>
    <w:p>
      <w:pPr>
        <w:spacing w:after="0" w:line="74" w:lineRule="exact"/>
        <w:rPr>
          <w:rFonts w:ascii="Arial" w:cs="Arial" w:eastAsia="Arial" w:hAnsi="Arial"/>
          <w:sz w:val="18"/>
          <w:szCs w:val="18"/>
          <w:color w:val="auto"/>
        </w:rPr>
      </w:pPr>
    </w:p>
    <w:p>
      <w:pPr>
        <w:jc w:val="both"/>
        <w:ind w:left="1020" w:hanging="503"/>
        <w:spacing w:after="0" w:line="252"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enhancing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11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are committed to continuing to implement a strong system of controls and believe that our ongoing remediation efforts will result in significant improvements to our internal control over financial reporting and will remediate the material weaknesses. However, material weaknesses are not considered remediated until the new controls have been operational for a sufficient period of time, are tested, and management concludes that these controls are operating effectively. This remediation process will require resources and time to implement, and remediation efforts could continue beyond the fiscal year ending December 31, 2023. We will continue to monitor the effectiveness of these remediation measures, and we will make any changes to the design of this plan and take such other actions that we deem appropriate given the circumstances.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As described above under “Management’s Plan to Remediate the Material Weaknesses”, there were changes in our internal control over financial reporting during the quarter ended September 30, 2022 that have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Disclosure Controls and Procedures</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644"/>
        <w:spacing w:after="0" w:line="256" w:lineRule="auto"/>
        <w:rPr>
          <w:sz w:val="20"/>
          <w:szCs w:val="20"/>
          <w:color w:val="auto"/>
        </w:rPr>
      </w:pPr>
      <w:r>
        <w:rPr>
          <w:rFonts w:ascii="Arial" w:cs="Arial" w:eastAsia="Arial" w:hAnsi="Arial"/>
          <w:sz w:val="18"/>
          <w:szCs w:val="18"/>
          <w:color w:val="auto"/>
        </w:rPr>
        <w:t>The information set forth under Note 7, Commitments and Contingencies, in Notes to Unaudited Condensed Consolidated Financial Statements included in Part I, Item 1, of this Quarterly Report on Form 10-Q,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Investing in our Class A common stock involves a high degree of risk. Before deciding whether to purchase shares of our Class A</w:t>
      </w:r>
    </w:p>
    <w:p>
      <w:pPr>
        <w:jc w:val="both"/>
        <w:ind w:right="20"/>
        <w:spacing w:after="0" w:line="211" w:lineRule="auto"/>
        <w:rPr>
          <w:sz w:val="20"/>
          <w:szCs w:val="20"/>
          <w:color w:val="auto"/>
        </w:rPr>
      </w:pPr>
      <w:r>
        <w:rPr>
          <w:rFonts w:ascii="Arial" w:cs="Arial" w:eastAsia="Arial" w:hAnsi="Arial"/>
          <w:sz w:val="18"/>
          <w:szCs w:val="18"/>
          <w:color w:val="auto"/>
        </w:rPr>
        <w:t>common stock, you should consider carefully the risks and uncertainties described below, our consolidated financial statements and related notes, and all of the other information in this Quarterly Report on Form 10-Q. Additional risks and uncertainties that we are unaware of, or</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that we currently believe are not material, may also become important factors that affect our business. These risk factors could materially and adversely affect our business, financial condition and results of operations, and the market price of our ordinary shares could decline. These</w:t>
      </w:r>
    </w:p>
    <w:p>
      <w:pPr>
        <w:spacing w:after="0" w:line="219" w:lineRule="auto"/>
        <w:rPr>
          <w:sz w:val="20"/>
          <w:szCs w:val="20"/>
          <w:color w:val="auto"/>
        </w:rPr>
      </w:pPr>
      <w:r>
        <w:rPr>
          <w:rFonts w:ascii="Arial" w:cs="Arial" w:eastAsia="Arial" w:hAnsi="Arial"/>
          <w:sz w:val="18"/>
          <w:szCs w:val="18"/>
          <w:color w:val="auto"/>
        </w:rPr>
        <w:t>risk factors do not identify all risks that we face – our operations could also be affected by factors that are not presently known to us or that</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we currently consider to be immaterial to our operations. Due to risks and uncertainties, known and unknown, our past financial results may not be a reliable indicator of future performance and historical trends should not be used to anticipate results or trends in future periods.</w:t>
      </w:r>
    </w:p>
    <w:p>
      <w:pPr>
        <w:spacing w:after="0" w:line="114" w:lineRule="exact"/>
        <w:rPr>
          <w:sz w:val="20"/>
          <w:szCs w:val="20"/>
          <w:color w:val="auto"/>
        </w:rPr>
      </w:pPr>
    </w:p>
    <w:p>
      <w:pPr>
        <w:jc w:val="both"/>
        <w:ind w:firstLine="644"/>
        <w:spacing w:after="0" w:line="256" w:lineRule="auto"/>
        <w:rPr>
          <w:sz w:val="20"/>
          <w:szCs w:val="20"/>
          <w:color w:val="auto"/>
        </w:rPr>
      </w:pPr>
      <w:r>
        <w:rPr>
          <w:rFonts w:ascii="Arial" w:cs="Arial" w:eastAsia="Arial" w:hAnsi="Arial"/>
          <w:sz w:val="18"/>
          <w:szCs w:val="18"/>
          <w:color w:val="auto"/>
        </w:rPr>
        <w:t>We have marked with an asterisk (*) those risks described below that reflect substantive changes from, or additions to, the risks described in our Annual Report on Form 10-K for the year ended December 31,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efforts to acquire new users and engage existing users may not be successful or may be more costly than we expect, which could prevent us from maintaining or increasing our revenue.*</w:t>
      </w:r>
    </w:p>
    <w:p>
      <w:pPr>
        <w:spacing w:after="0" w:line="8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success depends on our ability to attract new users and engage existing users in a cost-effective manner. In order to acquire and engage users, we must, among other things, promote and sustain our platform and provide high-quality products, user experiences, and service. Our marketing efforts currently include various initiatives and consist primarily of digital marketing on a variety of social media channels, such as Facebook, search engine optimization on websites, such as Google, Bing, and Yahoo!, various branding strategies, such as our relationship with social influencers, and mobile “push” notifications, text messaging, and email. For the years ended December 31, 2021, 2020 and 2019, we spent $1.1 billion, $1.7 billion and $1.5 billion on sales and marketing, representing 53%, 67% and 77% of our revenue, respectively. We anticipate that sales and marketing expenses will continue to comprise a substantial majority of our overall operating costs for the foreseeable future. We have historically acquired a significant number of our users through digital advertising on platforms and websites owned by Facebook and Google, which may terminate their agreements with us anytime. Our investments in sales and marketing may not effectively reach potential users, potential users may decide not to buy through us, or user spend on our platform may not yield the intended return on investment, any of which could negatively affect our financial results.</w:t>
      </w:r>
    </w:p>
    <w:p>
      <w:pPr>
        <w:spacing w:after="0" w:line="13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addition, during the first half of 2022 we continued to face headwinds from the rise in digital advertising costs which has among other things impacted new customer acquisition and conversion. In response to rising digital advertising costs, which contributed to lower marketing efficiency, starting in the third quarter of 2021, we decided to significantly reduce our digital advertising expenditures as we focused our resources on other strategic initiatives. As discussed under “Management’s Discussion and Analysis of Financial Condition and Results of Operations—Key Financial and Performance Metrics,” our monthly active users and last twelve months Active Buyers were negatively impacted by our decision to significantly reduce our digital advertising expenditures. Starting in the third quarter of 2021, in response to these headwinds, we commenced a number of initiatives that we believe will improve the user experience and increase retention, including (i) enhancing our product quality and selection, (ii) providing an unmatched fun and entertaining shopping experience, and (iii) improving the performance of the app. Beginning late June of 2022, we began to ramp up digital advertising spend and initiated a number of programs which we believe could enhance the consumer experience, encourage customer acquisition, increase consumer retention, and position the Company for long-term sustainable growth. We believe our continued strategy to increase users’ experience in our marketplace and provide a more differentiated and engaging user experience will position us for long-term sustainable growth, but there can be no assurance that our initiatives will be successful.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p>
      <w:pPr>
        <w:ind w:firstLine="644"/>
        <w:spacing w:after="0" w:line="287" w:lineRule="auto"/>
        <w:rPr>
          <w:sz w:val="20"/>
          <w:szCs w:val="20"/>
          <w:color w:val="auto"/>
        </w:rPr>
      </w:pPr>
      <w:r>
        <w:rPr>
          <w:rFonts w:ascii="Arial" w:cs="Arial" w:eastAsia="Arial" w:hAnsi="Arial"/>
          <w:sz w:val="18"/>
          <w:szCs w:val="18"/>
          <w:color w:val="auto"/>
        </w:rPr>
        <w:t>Many other factors, some of which are beyond our control, may reduce our ability to acquire, maintain and further engage with users, including those described in this “Risk Factors” section and the following:</w:t>
      </w:r>
    </w:p>
    <w:p>
      <w:pPr>
        <w:spacing w:after="0" w:line="31" w:lineRule="exact"/>
        <w:rPr>
          <w:sz w:val="20"/>
          <w:szCs w:val="20"/>
          <w:color w:val="auto"/>
        </w:rPr>
      </w:pPr>
    </w:p>
    <w:p>
      <w:pPr>
        <w:ind w:left="1020" w:right="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system updates to app stores and advertising platforms such as Facebook and Google, including adjustments to algorithms that may decrease user engagement or negatively affect our ability to target a broad audience;</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ongoing changes in advertising platforms’ pricing, which could continue to result in higher advertising costs;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digital advertising platforms’ policies, such as those of Facebook and Google, that may delay or prevent us from advertising through these channels, which could result in reduced traffic to and sales on our platform;</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search algorithms by search engines;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of our email marketing messages to reach the intended recipients’ inbox;</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ineffectiveness of our marketing efforts and other spend to continue to acquire new users and maintain and increase engagement with existing users;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decline in popularity of, or governmental restrictions on, social media platforms where we advertise;</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of new search engines or social media sites that reduce traffic on existing search engines and social media sites;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consumer behavior changes as a result of COVID-19; and</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products listed by merchants on our platform that are the subject of adverse media reports, regulatory investigations, or other negative publicity.</w:t>
      </w:r>
    </w:p>
    <w:p>
      <w:pPr>
        <w:spacing w:after="0" w:line="114"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As a result of any of these factors or any additional factors that are outside of our control, if we are unable to continue acquiring new users or increasing engagement with existing users, it could have a material adverse effect on our business, financial condition, results of operations, and prospects.</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promote, maintain, and protect our brand and reputation, and offer a compelling user experience, our ability to attract new users and engage with our existing base of users will be impaired.</w:t>
      </w:r>
    </w:p>
    <w:p>
      <w:pPr>
        <w:spacing w:after="0" w:line="85"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believe that maintaining our brand and reputation will be critical to attracting new users and encouraging users to transact on our platform. In addition to targeted online marketing, we spend a considerable amount of resources on promoting our brand and reputation. For example, starting in 2020, we began to invest in additional off-line marketing activities. Our brand promotion activities, including our proposed rebranding of Wish, may not be successful or cost effective, and to the extent that these activities yield increased revenue, the increased revenue may not offset the expenses we incur. If we do not successfully drive brand awareness, we may fail to attract new users or increase engagement with existing users and our business may not grow or may decline, all of which could harm our business, financial condition, results of operations, and prospects.</w:t>
      </w:r>
    </w:p>
    <w:p>
      <w:pPr>
        <w:spacing w:after="0" w:line="12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ability to provide a high-quality user experience is also highly dependent on external factors over which we may have little or no control, including, without limitation, the reliability and performance of our merchants and third-party carriers. If our users are dissatisfied with the quality of the products sold on our platform, the customer service they receive or their overall user experience, or if our merchants or third-party carriers cannot deliver products to our users in a timely manner or at all, our users may stop purchasing products on our platform. Our users may also become dissatisfied with their user experience if they are unable to receive timely customer service, and because we rely in large part on an automated customer service system, it is possible our users could become dissatisfied with our customer service. We also rely on merchants for information, including product characteristics, descriptions, images, and availability that may be inaccurate or misleading. Our failure to provide our users with high-quality products and high-quality user experiences for any reason could substantially harm our reputation and adversely impact our efforts to develop Wish as a trusted brand, which could have a material adverse effect on our business, financial condition, results of operations, and prospects.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0" w:name="page41"/>
    <w:bookmarkEnd w:id="40"/>
    <w:p>
      <w:pPr>
        <w:jc w:val="both"/>
        <w:ind w:firstLine="644"/>
        <w:spacing w:after="0" w:line="246" w:lineRule="auto"/>
        <w:rPr>
          <w:sz w:val="20"/>
          <w:szCs w:val="20"/>
          <w:color w:val="auto"/>
        </w:rPr>
      </w:pPr>
      <w:r>
        <w:rPr>
          <w:rFonts w:ascii="Arial" w:cs="Arial" w:eastAsia="Arial" w:hAnsi="Arial"/>
          <w:sz w:val="18"/>
          <w:szCs w:val="18"/>
          <w:color w:val="auto"/>
        </w:rPr>
        <w:t>In addition, we may be subject to unfavorable publicity that would create a public perception that non-authentic, counterfeit, dangerous, illegal, or defective goods are sold on our platform, or that our policies and practices are insufficient to deter or respond to such conduct. Even if these claims are factually incorrect or based on isolated incidents, it could damage our reputation, diminish the value of our brand, draw governmental or regulatory scrutiny or action, undermine our trust and credibility, or have a negative impact on our ability to attract new users, or discourage our existing users from continuing to transact on our platform. We may also be subject to negative media regarding our privacy or cyber security practices, terms of service, product quality, litigation or regulatory activity, the sale of illicit or dangerous goods, other unauthorized actions by merchants on our platform, or the actions of other companies that provide similar services to ours, which may adversely affect our reputation, business, and financial results.</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transition to a new Chief Executive Officer (“CEO”) will be critical to our success and our business may be adversely impacted if we do not successfully manage the transition process in a timely manner.*</w:t>
      </w:r>
    </w:p>
    <w:p>
      <w:pPr>
        <w:spacing w:after="0" w:line="85"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Our success depends, in part, on the effectiveness of our new interim CEO, and a permanent CEO once such CEO is appointed. The CEO will be critical to executing on and achieving our vision, strategic direction, culture, products, and technology. Our capacity to identify and appoint a suitable permanent CEO in a timely manner will be essential to relieve any related speculation and uncertainty regarding our ability to execute the Company’s future business strategy. Likewise, the permanent CEO search and subsequent transition may be disruptive to the Company and our relationships with customers and employees. If we are unable to execute an orderly transition and successfully integrate the new CEO into our leadership team, revenue, operating results, and financial conditions may be adversely affected.</w:t>
      </w:r>
    </w:p>
    <w:p>
      <w:pPr>
        <w:spacing w:after="0" w:line="121"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18"/>
          <w:szCs w:val="18"/>
          <w:color w:val="auto"/>
        </w:rPr>
        <w:t>Additionally, Piotr Szulczewski, our founder and former CEO, resigned from the Board, and the departure of Mr. Szulczewski as our CEO and as a member of the Board has resulted in a loss of institutional knowledge. This loss of knowledge and experience can be mitigated through successful hiring and transition, but there can be no assurance that we will be successful in such efforts. The ability of the new CEO to quickly adapt to and understand our business, operations, and strategic plans will be critical to the Board and our management’s ability to make informed decisions about our strategic direction and operations.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lose the services of members of our senior management team or key employees, we may not be able to execute our business strategy.</w:t>
      </w:r>
    </w:p>
    <w:p>
      <w:pPr>
        <w:spacing w:after="0" w:line="9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Competition for talent in our industry and the technology industry has become increasingly intense as the current labor market to build, retain, and replace highly skilled personnel has become highly competitive. We rely on the continued service of our senior management team, key employees, and other highly skilled personnel. The failure to properly manage succession plans, develop leadership talent, and/or replace the loss of services of senior management or other key employees, could significantly delay or prevent the achievement of our objectives. From time to time, there have been and may continue be changes in our senior management team resulting from the hiring or departure of executives, which could disrupt our business. We do not have long-term employment agreements with any of our key personnel, and do not maintain any “key person” life insurance policies. The loss of the services of one or more of our senior management or other key employees for any reason could adversely affect our business, financial condition, and results of operations, and require significant amounts of time, training and resources to find suitable replacements and integrate them within our business and could affect our corporate culture. Further, in connection with the announcement of our restructuring plan, we may find it even more difficult to recruit and retain highly skilled personnel, which could harm our business. See the section titled “Management’s Discussion and Analysis of Financial Condition and Results of Operations— February 2022 Restructuring Plan” and Notes to Consolidated Financial Statements, Note</w:t>
      </w:r>
    </w:p>
    <w:p>
      <w:pPr>
        <w:spacing w:after="0" w:line="5" w:lineRule="exact"/>
        <w:rPr>
          <w:sz w:val="20"/>
          <w:szCs w:val="20"/>
          <w:color w:val="auto"/>
        </w:rPr>
      </w:pPr>
    </w:p>
    <w:p>
      <w:pPr>
        <w:ind w:left="5520" w:right="5520" w:hanging="5512"/>
        <w:spacing w:after="0" w:line="400" w:lineRule="auto"/>
        <w:tabs>
          <w:tab w:leader="none" w:pos="3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Restructuring Costs, for further discussion of our restructuring plan.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b w:val="1"/>
          <w:bCs w:val="1"/>
          <w:i w:val="1"/>
          <w:iCs w:val="1"/>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98" w:lineRule="exact"/>
        <w:rPr>
          <w:sz w:val="20"/>
          <w:szCs w:val="20"/>
          <w:color w:val="auto"/>
        </w:rPr>
      </w:pPr>
    </w:p>
    <w:p>
      <w:pPr>
        <w:jc w:val="both"/>
        <w:ind w:right="20" w:firstLine="644"/>
        <w:spacing w:after="0" w:line="287" w:lineRule="auto"/>
        <w:rPr>
          <w:sz w:val="20"/>
          <w:szCs w:val="20"/>
          <w:color w:val="auto"/>
        </w:rPr>
      </w:pPr>
      <w:r>
        <w:rPr>
          <w:rFonts w:ascii="Arial" w:cs="Arial" w:eastAsia="Arial" w:hAnsi="Arial"/>
          <w:sz w:val="18"/>
          <w:szCs w:val="18"/>
          <w:color w:val="auto"/>
        </w:rPr>
        <w:t>A significant portion of our users download our mobile app through the Apple App Store and the Google Play Store, and over 90% of our user activity and purchases occur on our mobile app.</w:t>
      </w:r>
    </w:p>
    <w:p>
      <w:pPr>
        <w:spacing w:after="0" w:line="85"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are subject to the policies and terms of service of these third-party platforms, which govern the promotion, distribution, content, and operation of our app on the platform. Each platform provider has broad discretion to change and interpret its terms of service and other policies with respect to us and other developers, and those changes may be unfavorable to us. A platform provider may also add fees associated with access to and use of its platform, alter how we are able to advertise on the platform, prevent our app from being offered on their platform, change how the personal information of its users is made available to application developers on the platform, or limit the use of personal information for advertising purposes.</w:t>
      </w:r>
    </w:p>
    <w:p>
      <w:pPr>
        <w:spacing w:after="0" w:line="13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may also object to content created by merchants on our platform, such as drug paraphernalia or adult content, and our perceived distribution or advertisement of such content may cause a platform provider to view us in a negative light or take other adverse actions against us. For example, platform providers have warned application developers on their platform, including Wish, that providing content related to drug paraphernalia or adult content could cause such platform providers to remove the apps from their platforms. While we believe that we have complied with platform providers’ requirements, they may introduce additional requirements in the future. If a platform provider establishes more favorable relationships with one or more of our competitors or such platform provider determines that we are a competitor, our access to a platform may be limited or discontinued entirely. Any limit or discontinuation of our access to any platform could adversely affect our business, financial condition, and results of operations.</w:t>
      </w:r>
    </w:p>
    <w:p>
      <w:pPr>
        <w:spacing w:after="0" w:line="123"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In the past, some of these platforms have been unavailable for short periods of time. This and other changes, bugs, or technical system issues could degrade the user experience on our platform. There may also be changes to mobile hardware or software technology that make it more difficult for our users to access and use our platform on their mobile devices, which could adversely affect our user growth and user engagement. If any of these events recurs on a prolonged, or even short-term basis, or other similar issues arise that impact users’ ability to access our app or use mobile devices, our business, financial condition, results of operations, or reputation may be harmed.</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offer features and attract merchants to list products that keep pace with changing consumer preferences, our business, financial condition, and results of operations may be materially and adversely affected.</w:t>
      </w:r>
    </w:p>
    <w:p>
      <w:pPr>
        <w:spacing w:after="0" w:line="71"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Constantly changing consumer preferences have affected and will continue to affect the ecommerce industry. We must stay ahead of emerging consumer preferences and anticipate product trends that will appeal to existing and potential users. Our users choose to purchase products due in part to the attractive prices that we offer, and they may choose to shop elsewhere if we cannot match the prices offered by other websites and platforms or by brick-and-mortar stores. If our users do not find our platform entertaining and are not shown desired products on our platform at attractive prices, they may lose interest in us, which in turn may materially and adversely affect our business, financial condition, and results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rely on our merchants to provide a positive experience to our users.</w:t>
      </w:r>
    </w:p>
    <w:p>
      <w:pPr>
        <w:spacing w:after="0" w:line="16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Negative publicity or sentiment as a result of complaints about merchants selling on our platform could reduce our ability to attract users, discourage users from making additional purchases on our platform, or otherwise damage our reputation. A perception that our levels of responsiveness and support for our users are inadequate could have similar results. In some situations, we may choose to reimburse users for their purchases to help avoid harm to our reputation, but we may not be able to recover the funds we expend for those reimbursements.</w:t>
      </w:r>
    </w:p>
    <w:p>
      <w:pPr>
        <w:spacing w:after="0" w:line="123"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Disruptions in the operations of a substantial number of merchants on our platform, to the extent they are caused by events that are beyond their control, such as interruptions in order or payment processing, transportation disruptions, natural disasters, pandemics, inclement weather, geo-political conflicts, including the current conflict between Russia and Ukraine arising from the invasion of Ukraine by Russia, terrorism, public health crises, or political unrest, could result in negative experiences for a substantial number of our users, which could harm our reputation and adversely affect our business. For example, during the initial outbreak of COVID-19, our merchants based in China experienced supply interruptions and delivery delays. If there are subsequent or further increases in the number of COVID-19 outbreaks in China or elsewhere, merchants on our platform may experience additional disruptions to their supply and restrictions on their ability to deliver products to our users in a timely manner, which could harm our business.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brand, reputation, and business may be harmed if merchants on our platform use unethical or illegal business practices, including the sale of hazardous, counterfeit, fraudulent, or illegal products, or if our policies and practices with respect to such sales are perceived or found to be inadequate, and we may be impacted by the unlawful activities of merchants on our platform.</w:t>
      </w:r>
    </w:p>
    <w:p>
      <w:pPr>
        <w:spacing w:after="0" w:line="119"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It is important that both merchants and users have confidence in the transactions they are completing on our platform. Merchants on our platform have in the past, and may in the future, engage in illegal or unethical business practices. Allegations or findings of such illegal or unethical business practices by merchants on our platform could harm our brand, reputation, and business. Our policies promote legal and ethical business practices, such as prohibiting false or misleading seller or product information, the listing or sale of counterfeit or otherwise infringing goods, and the listing or sale of hazardous, fraudulent, or illegal products. For example, our merchant terms explicitly prohibit any illegal activity by merchants and require compliance with our policies. We maintain a suite of policies that educate merchants regarding items and practices that are explicitly prohibited from the platform, as well as the penalties for violations of our policies. We enforce these policies through the use of human and machine reviews as well as penalties for merchants if a violation of the policies is discovered. However, we do not control merchants or their business practices and cannot ensure their compliance with our policies.</w:t>
      </w:r>
    </w:p>
    <w:p>
      <w:pPr>
        <w:spacing w:after="0" w:line="125" w:lineRule="exact"/>
        <w:rPr>
          <w:sz w:val="20"/>
          <w:szCs w:val="20"/>
          <w:color w:val="auto"/>
        </w:rPr>
      </w:pPr>
    </w:p>
    <w:p>
      <w:pPr>
        <w:jc w:val="both"/>
        <w:ind w:firstLine="644"/>
        <w:spacing w:after="0" w:line="287" w:lineRule="auto"/>
        <w:rPr>
          <w:sz w:val="20"/>
          <w:szCs w:val="20"/>
          <w:color w:val="auto"/>
        </w:rPr>
      </w:pPr>
      <w:r>
        <w:rPr>
          <w:rFonts w:ascii="Arial" w:cs="Arial" w:eastAsia="Arial" w:hAnsi="Arial"/>
          <w:sz w:val="18"/>
          <w:szCs w:val="18"/>
          <w:color w:val="auto"/>
        </w:rPr>
        <w:t>If merchants on our platform engage in illegal or unethical business practices or are perceived to do so, we may receive negative publicity and our brand and reputation may be harmed.</w:t>
      </w:r>
    </w:p>
    <w:p>
      <w:pPr>
        <w:spacing w:after="0" w:line="8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Additionally, while we do not control merchants and cannot ensure their compliance with applicable law, we nevertheless frequently receive and respond to inquiries and demands from regulators and law-enforcement agencies around the globe, and we expect to continue to receive more inquiries and demands in the future. If our policies are violated by merchants, or if our policies and practices or responses to such conduct are perceived as or found to be inadequate by regulators or law-enforcement agencies, it could subject us to government inquiries, investigations, or enforcement actions, as well as potential civil or criminal liabilities, or requiring changes to our policies and practices with respect to illegal or unethical business practices that could lower our revenue, increase our costs, make our platform less user-friendly, or otherwise adversely impact our business. This has been the case in France, where regulators are trying to hold Wish accountable and responsible for the purportedly illegal or hazardous listings created by merchants; we are currently responding to and challenging these claims in French courts. Separately, during the initial outbreak of COVID-19, a small number of merchants created listings of personal protective equipment and other health-related products that regulators deemed to violate consumer protections related to pricing and advertising. Though these listings were posted by merchants in violation of our policies, Wish has received and may continue to receive inquiries and demands from regulators regarding these listings.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43" w:name="page44"/>
    <w:bookmarkEnd w:id="43"/>
    <w:p>
      <w:pPr>
        <w:jc w:val="both"/>
        <w:ind w:firstLine="644"/>
        <w:spacing w:after="0" w:line="248" w:lineRule="auto"/>
        <w:rPr>
          <w:sz w:val="20"/>
          <w:szCs w:val="20"/>
          <w:color w:val="auto"/>
        </w:rPr>
      </w:pPr>
      <w:r>
        <w:rPr>
          <w:rFonts w:ascii="Arial" w:cs="Arial" w:eastAsia="Arial" w:hAnsi="Arial"/>
          <w:sz w:val="18"/>
          <w:szCs w:val="18"/>
          <w:color w:val="auto"/>
        </w:rPr>
        <w:t>Our merchants are subject to regulation by the U.S. Consumer Product Safety Commission and similar state and international regulatory authorities in the United States and abroad, and their products sold on our platform could be subject to involuntary recalls, takedown notices, and other actions by these authorities. Concerns about product safety, including concerns about the safety of products manufactured in developing countries, could lead to recalls of selected products sold on our platform. Recall and government or user concerns about product safety could harm our reputation and reduce sales, either of which could have a material adverse effect on our business, results of operations, financial condition, and prospects.</w:t>
      </w:r>
    </w:p>
    <w:p>
      <w:pPr>
        <w:spacing w:after="0" w:line="121"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Proposed laws in Europe, the United States, and other jurisdictions and/or novel interpretations or enforcement of existing law may change the scope of platform liability, and ongoing case law developments may unpredictably increase our liability as a platform for merchant activity or for activities adjacent to the marketplace, such as logistics, or otherwise constrain or impede our ability to do business in a given jurisdiction. In that event, we may be held directly or secondarily liable for the intellectual property infringement, product compliance deficiencies, consumer protection deficiencies, privacy and data protection incidents, or regulatory issues of our merchants, including potentially for their conduct over which we have no control or influence. Moreover, we may be subject to product liability claims where merchants lack sufficient assets or are not reachable, which could be costly to defend in the aggregate. Regardless of the validity of any claims made against us, we may incur significant costs and efforts to defend against or settle them. We expect to continue to receive inquiries or demands from regulators and law enforcement regarding intellectual property, product compliance, and product safety. This could lead to government investigations, inquiries, and/or the imposition of penalties, fines and/or criminal liability in certain jurisdictions and, consequently, would be costly, time consuming, and would adversely impact our business.</w:t>
      </w:r>
    </w:p>
    <w:p>
      <w:pPr>
        <w:spacing w:after="0" w:line="13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Merchants on our platform have in the past, and may in the future, engage in fictitious transactions or collaborate with third parties in order to artificially inflate their sales records and search results rankings. Such activity may frustrate other merchants by enabling the perpetrating merchants to be favored over legitimate merchants, may harm users by misleading them to believe that a merchant is more reliable or trustworthy than the merchant actually is, and may impact key performance metrics. Although we have implemented policies and practices to detect and penalize merchants who engage in fraudulent activities on our platform, there can be no assurance that such policies and practices will be effective in preventing fraudulent transactions. Any of these activities may adversely affect our brand, reputation, and business. If a governmental authority determines that we have aided and abetted the infringement or sale of counterfeit goods or if legal changes result in us potentially being liable for actions by merchants on our platform, we could face regulatory, civil, or criminal penalties. Successful claims by third-party rights owners could require us to pay substantial damages or refrain from permitting any further listing of the relevant items. These types of claims could force us to modify our business practices, which could lower our revenue, increase our costs, or make our platform less user friendly. Moreover, public perception that counterfeit or other unauthorized items are common in our platform, even if factually incorrect, could result in negative publicity and damage to our reputation and brand.</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merchants rely on third-party carriers and transportation providers as part of the fulfillment process, and these third parties may fail to adequately serve our users and comply with shipping and related regulations, which could adversely affect our service offerings and results of operations.</w:t>
      </w:r>
    </w:p>
    <w:p>
      <w:pPr>
        <w:spacing w:after="0" w:line="9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 xml:space="preserve">We rely on merchants to properly and promptly prepare products ordered by our users for shipment and our logistics program relies on third-party carriers and logistics providers to deliver products as well as third parties to consolidate packages for shipping. Any failure by merchants to timely prepare such products for shipment or any delay by third-party carriers to deliver the products will have an adverse effect on the fulfillment of user orders, which could negatively affect the user experience and harm our business and results of operations. Any increase in shipping costs, any significant shipping difficulties, disruptions or delays, or any failure by merchants on our platform to deliver products in a timely manner or to otherwise adequately serve our users, could damage our reputation and brand, and may harm our business. For example, due to abrupt new VAT regulations in Colombia (and related evolving interpretations of the same by local regulatory enforcement agencies),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in the first quarter of 2018, PostNord, the postal service in Sweden, suspended delivery of packages coming from outside the European Union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 Our merchants based in China also experienced supply interruptions and delivery delays during the initial outbreak of COVID-19 and have continued to experience such interruptions and delays, which may continue to have an adverse effect on our users’ experience on our platform.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4" w:name="page45"/>
    <w:bookmarkEnd w:id="44"/>
    <w:p>
      <w:pPr>
        <w:jc w:val="both"/>
        <w:ind w:firstLine="644"/>
        <w:spacing w:after="0" w:line="245" w:lineRule="auto"/>
        <w:rPr>
          <w:sz w:val="20"/>
          <w:szCs w:val="20"/>
          <w:color w:val="auto"/>
        </w:rPr>
      </w:pPr>
      <w:r>
        <w:rPr>
          <w:rFonts w:ascii="Arial" w:cs="Arial" w:eastAsia="Arial" w:hAnsi="Arial"/>
          <w:sz w:val="18"/>
          <w:szCs w:val="18"/>
          <w:color w:val="auto"/>
        </w:rPr>
        <w:t>Historically, our merchants in China have benefitted from lower shipping costs due to the Universal Postal Union Treaty (“UPU”). Certain expected changes to UPU postal rates that went into effect in July 2020 and other expected changes that will be implemented in the future are likely to increase the shipping rates our merchants incur to ship products from China. Further, the European Commission is considering a legislative proposal from trade industry associations to eliminate de minimis thresholds for customs entry, which if later enacted, would limit packages from several countries from qualifying for tariff-free entry into the EU-27 under existing de minimis laws, thus making importing goods from any country to the European Union more complicated and expensive. The actions we have taken in our logistics program to mitigate these increased costs may not be successful over the long term. If there are increases in shipping costs, including rising oil and gas prices, the sales price of products on our platform could increase, which could reduce the volume of transaction activity on our platform to decrease and may consequently have a negative impact on our results of operations.</w:t>
      </w:r>
    </w:p>
    <w:p>
      <w:pPr>
        <w:spacing w:after="0" w:line="12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generate a portion of our revenue from merchant advertising on our platform. A reduction in advertising spend by merchants could harm our business.*</w:t>
      </w:r>
    </w:p>
    <w:p>
      <w:pPr>
        <w:spacing w:after="0" w:line="99"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have implemented new features on our platform, such as ProductBoost and the Merchant Promotions Platform, which allow merchants to promote their listings to our users. In addition to generating revenue from merchants, these features may also result in increased purchases by users. However, not all merchants on our platform may agree with us on the value of these new features and may not use ProductBoost or the Merchant Promotions Platform, and some of our merchants could react negatively to these new features. During the initial outbreak of COVID-19, merchant advertising declined due to the shutdown of business activity in China. If we are unable to monetize existing and new features for merchants, it could have a significant impact on our business, financial condition, and prospects.</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continued efforts to improve our logistics programs and enable faster and more reliable delivery in order to help grow our business and generate revenue may not be effective.</w:t>
      </w:r>
    </w:p>
    <w:p>
      <w:pPr>
        <w:spacing w:after="0" w:line="85"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We have worked to improve our logistics programs and to streamline our processes in order to provide a more consistent and reliable experience for our users through programs such as Wish Express and Wish Local. However, we still rely on third-party carriers for delivery and we are still in the process of establishing reliable long-term agreements with such carriers both in the United States and worldwide. If we are not able to negotiate acceptable pricing, service level requirements, and other terms with these carriers, or these carriers experience capacity or performance problems or other issues, it could negatively impact our results of operations and our users’ experience. For example, due to COVID-19 and related supply chain issues, global logistics has experienced longer delivery times.</w:t>
      </w:r>
    </w:p>
    <w:p>
      <w:pPr>
        <w:spacing w:after="0" w:line="121"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We have also developed and experimented with different logistics offerings in order to monetize our logistics platform. This is a relatively new business initiative for us. If we are unable to consistently generate revenue from our logistics platform or offer logistics services that are appealing to merchants and users, or if changes in carrier policies and pricing, shortage of low-cost carriers, and fluctuation of oil and gas prices result in higher logistics costs, it could have a material impact on our business, financial condition,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out our Wish Local program may be costly and time intensive and we may not receive the expected benefits.</w:t>
      </w:r>
    </w:p>
    <w:p>
      <w:pPr>
        <w:spacing w:after="0" w:line="16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2019, we introduced Wish Local, a program that develops partnerships with local brick-and-mortar stores that can serve as local pickup and delivery locations for users’ orders. In addition, we are in the process of expanding the Wish Local program to partner with collection point network providers in some countries to provide additional local pickup and dropoff locations for user’s orders. The process of reaching out to and entering into relationships with these retailers can be time intensive and costly because we must evaluate and approve each retailer individually prior to them becoming part of the Wish Local program. Therefore, growing Wish Local may be more expensive and time consuming than we have estimated. Also, users may not use the Wish Local program as much as we expect, which would delay or prevent any expected benefits. For example, users have curtailed their use of Wish Local due to health concerns regarding COVID-19, which has slowed the growth of this program.</w:t>
      </w:r>
    </w:p>
    <w:p>
      <w:pPr>
        <w:spacing w:after="0" w:line="126"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Our terms of service require Wish Local retailers to meet certain service level requirements with respect to holding and delivering Wish orders to users. If these retailers do not comply with these service level requirements, our reputation may be harmed. Additionally, we may need to implement monitoring systems to confirm that the Wish Local retailers are complying with service level requirements and to prevent fraudulent activities by these retailers. Implementing these systems may prove to be costly and time intensive.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5" w:name="page46"/>
    <w:bookmarkEnd w:id="45"/>
    <w:p>
      <w:pPr>
        <w:jc w:val="both"/>
        <w:spacing w:after="0" w:line="294" w:lineRule="auto"/>
        <w:rPr>
          <w:sz w:val="20"/>
          <w:szCs w:val="20"/>
          <w:color w:val="auto"/>
        </w:rPr>
      </w:pPr>
      <w:r>
        <w:rPr>
          <w:rFonts w:ascii="Arial" w:cs="Arial" w:eastAsia="Arial" w:hAnsi="Arial"/>
          <w:sz w:val="18"/>
          <w:szCs w:val="18"/>
          <w:b w:val="1"/>
          <w:bCs w:val="1"/>
          <w:i w:val="1"/>
          <w:iCs w:val="1"/>
          <w:color w:val="auto"/>
        </w:rPr>
        <w:t>The market in which we operate is rapidly evolving and we face intense competition; if we do not compete effectively, our results of operations and financial condition could be harmed.</w:t>
      </w:r>
    </w:p>
    <w:p>
      <w:pPr>
        <w:spacing w:after="0" w:line="71"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Our market is highly competitive and characterized by rapid changes in technology and consumer sentiment. Competition in our industry has intensified, and we expect this trend to continue as the list of our competitors grows. This competition, among other things, affects our ability to attract new users and engage our existing users.</w:t>
      </w:r>
    </w:p>
    <w:p>
      <w:pPr>
        <w:spacing w:after="0" w:line="10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We compete with ecommerce platforms and other retailers for merchants on our platform and merchants can list their goods on a number of ecommerce platforms, such as Amazon.com, Alibaba, Shein, and Shopify.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various factors that affect how merchants engage with our platform, including:</w:t>
      </w:r>
    </w:p>
    <w:p>
      <w:pPr>
        <w:spacing w:after="0" w:line="10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engagement of users on our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fees;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brand awareness;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quality of our services;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functionality of our platform.</w:t>
      </w:r>
    </w:p>
    <w:p>
      <w:pPr>
        <w:spacing w:after="0" w:line="17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We also compete with retailers for the attention of users. A user has the choice of shopping with any online or offline retailer, whether large marketplaces, such as Amazon.com, Alibaba, Shein, and Shopify, as well as more traditional discount retailers, such as Walmart and Target, and discount retailers that offer heavily discounted and off-season merchandise, such as Dollar General and TJ Maxx, or local stores or other venues or marketplaces. Many of these competitors offer low-cost or free shipping, fast shipping times, favorable return policies, and other features that may be difficult or impossible for our merchants to match.</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various factors that affect how users engage with our platform, including:</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brand awareness and recognition;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of goods sold on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functionality of our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ease of payment;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shipping terms;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breadth of the products sold on our platform.</w:t>
      </w:r>
    </w:p>
    <w:p>
      <w:pPr>
        <w:spacing w:after="0" w:line="17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Some of our competitors have, and potential competitors may have, longer operating histories, greater financial, technical, marketing, institutional and other resources, faster shipping times, lower-cost shipping, larger databases, greater name and brand recognition, or a larger base of users or merchants than we do. For example, Google or Facebook could enter the ecommerce space and they have significantly more resources and users than we do. They may devote greater resources to the development, marketing, and promotion of their services than we do, and they may offer lower pricing or free shipping to the users on their platforms. These factors may allow our competitors to derive greater revenue and profits from their existing user and merchant bases, acquire users at lower costs or respond more quickly than we can to new or emerging technologies and changes in trends and consumer shopping behavior. If we are unable to compete successfully, or if competing successfully requires us to expend greater resources, our financial condition and results of operations could be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not achieve or maintain profitability in the future.</w:t>
      </w:r>
    </w:p>
    <w:p>
      <w:pPr>
        <w:spacing w:after="0" w:line="169"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Since our inception in 2010, we have incurred net losses each year. We incurred net losses of $361 million, $745 million, and $129 million for the years ended December 31, 2021, 2020, and 2019, respectively, and incurred a net loss of $274 million for the nine months ended September 30, 2022. As of September 30, 2022, we had an accumulated deficit of approximately $2.8 billion. We may not achieve or maintain profitability in the future. Our operating expenses may continue to increase in the future as we increase our efforts to expand our user base, continue to invest in the research and development of our technologies and service offerings and continue to operate as a public company. These efforts may be more costly than we expect and we may not be able to increase our revenue to offset our operating expenses. Our revenue growth slowed for the year ended December 31, 2021 and may slow again, or our revenue may decline for a number of other possible reasons, including increased competition, a decrease in the growth or reduction in size of our overall market, or if we fail for any reason to capitalize on growth opportunities.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company is evolving, and we are in the process of executing on new business strategies and restructuring efforts; if we fail to successfully execute on these strategies, our business, financial condition, and operating results could be harmed.*</w:t>
      </w:r>
    </w:p>
    <w:p>
      <w:pPr>
        <w:spacing w:after="0" w:line="7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Our business is undergoing significant changes and our business strategy is constantly evolving. Our success depends on our ability to adapt our business model to changing market conditions and consumer spending habits. For example, in 2021, we made a number of strategic decisions in an effort to improve our business operations and our marketplace offerings in response to the headwinds of reduced retention and new buyer conversion and a rise in digital advertising costs. Nevertheless, certain elements of this shift in strategy, or any future changes to our strategy that we may make could be disruptive to our business and our employees if we do not manage the changes properly. Furthermore, continuing changes in macroeconomic trends, shifting consumer priorities, and the COVID-19 pandemic may hamper and delay our efforts by, for example, making our assumptions regarding our strategies incorrect or subject to change or causing our strategies to not have the effect and outcomes that we anticipate. The slowing of consumer discretionary spending due to macroeconomic factors could impede our turnaround efforts.</w:t>
      </w:r>
    </w:p>
    <w:p>
      <w:pPr>
        <w:spacing w:after="0" w:line="12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not successfully execute or achieve the expected benefits of our restructuring and turnaround initiatives, which could adversely affect our business.</w:t>
      </w:r>
    </w:p>
    <w:p>
      <w:pPr>
        <w:spacing w:after="0" w:line="99"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We recently announced a turnaround and restructuring strategy which focuses on narrowing our business focus, reducing our headcount and outside spend, reviewing our real estate footprint, and a number of other cost saving measures. These restructuring initiatives are intended to focus the business on operational efficiency and right-sizing our expenses for 2022 and beyond. Although we believe these initiatives address the needs of our business and its long-term objectives, our strategy is based on certain assumptions and forecasts, which are subject to risks and uncertainties, including whether we have accurately identified the issues, whether we targeted the appropriate cost saving measures, and whether our right-sizing efforts are executed at the appropriate scale and scope. Consequently, the implementation of these restructuring initiatives may not be successful in yielding the intended results. Moreover, implementation of these initiatives may be costly and disruptive to our business, with the intended impact falling short or resulting in an overcorrection. Our cost cutting initiatives may negatively affect employee morale, which could result in personnel losses beyond the planned workforce reduction, diminished productivity, loss of institutional knowledge, and difficulty attracting highly skilled employees. The intended results of our turnaround effort may also be impacted by negative publicity about the Company and/or our restructuring initiatives, resulting in reputational harm, diminished investor confidence, and consumer backlash. These new initiatives have and may continue to require a significant amount of executive management’s time and focus, which may divert attention from other areas of our business. See the section titled “Management’s Discussion and Analysis of Financial Condition and Results of Operations— February 2022 Restructuring Plan” and Notes to Consolidated Financial Statements, Note 12. Restructuring Costs, for further discussion of our restructuring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or subject us to fines or other penalties.</w:t>
      </w:r>
    </w:p>
    <w:p>
      <w:pPr>
        <w:spacing w:after="0" w:line="16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We use social media, emails, and text messages as part of our omnichannel approach to marketing. As laws and regulations rapidly evolve to govern the use of these channels, the failure by us, our employees or third parties acting on our behalf or at our direction to abide by applicable laws and regulations in the use of these channels could adversely affect our reputation or subject us to fines, other penalties, or lawsuits. Although we continue to update our practices as these laws change over time, we may be subject to lawsuits alleging our failure to comply with such laws. In addition, our employees or third parties acting on our behalf or at our direction may knowingly or inadvertently use social media, including through advertisements, in ways that could lead to the loss or infringement of intellectual property, as well as the public disclosure of proprietary, confidential, or sensitive personal information of our business, employees, users, merchants, or others. Any such inappropriate use of social media, emails, and text messages could also cause reputational damage.</w:t>
      </w:r>
    </w:p>
    <w:p>
      <w:pPr>
        <w:spacing w:after="0" w:line="126"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Moreover, changes in advertising and tracking policies of mobile device operating systems and platforms (e.g., Apple and Android) may limit or prevent the collection and use of certain data elements for certain purposes, such as ad targeting, and the use of such data elements may subject us to fines or other penalties.</w:t>
      </w:r>
    </w:p>
    <w:p>
      <w:pPr>
        <w:spacing w:after="0" w:line="10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Our users may engage with us online through social media platforms, including Facebook, Instagram, and Twitter, by providing feedback and public commentary about all aspects of our business. Information concerning us or our merchants,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5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users can pay for purchases using a variety of methods, including through credit cards or Buy Now, Pay Later solutions through various third-party payment providers, and we pay our merchants through a variety of methods. If these service providers do not perform adequately or if our relationships with these service providers were to terminate, our users’ ability to place orders, and our merchants’ ability to receive orders or payment could be adversely affected and our business could be harmed. For example, in 2014, PayPal temporarily suspended processing payments on our platform as a result of concerns related to products listed on our platform. If a third-party payment provider suspends service or has significant outages in the future and we do not have alternative payment providers in place or are unable to provide our own solution, our business could be harmed. Likewise, if our third-party payment providers experience a security breach or fraud attack, our merchants and users could be adversely impacted. In addition, if our third-party providers increase the fees they charge us, our operating expenses could increase. If we respond by increasing the fees we charge to our merchants, some merchants may increase the price of their products, stop listing new items for sale or even close their accounts altogether.</w:t>
      </w:r>
    </w:p>
    <w:p>
      <w:pPr>
        <w:spacing w:after="0" w:line="123"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laws and regulations related to payments are complex, evolving, subject to change and vary across different jurisdictions in the United States and globally. Any failure or claim of our failure to comply, or any failure by our third-party payment processors to comply, could cost us substantial resources and could result in liabilities. Further, through our agreements with our third-party payment processors, we are indirectly subject to payment card association operating rules, and certification requirements, including the Payment Card Industry Data Security Standard and Visa Network Rules, which are subject to change. Failure to comply with these rules and certification requirements could impact our ability to meet our contractual obligations with our third-party payment processors and could result in potential fines. We are also subject to rules governing electronic funds transfers. Any change in these rules and requirements could make it difficult or impossible for us to comply. In addition, similar to a potential increase in costs from third-party providers described above, any increased costs associated with compliance with payment card association rules could lead to increased fees for our merchants, which may negatively impact our marketplaces.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r>
        <w:rPr>
          <w:rFonts w:ascii="Arial" w:cs="Arial" w:eastAsia="Arial" w:hAnsi="Arial"/>
          <w:sz w:val="18"/>
          <w:szCs w:val="18"/>
          <w:b w:val="1"/>
          <w:bCs w:val="1"/>
          <w:color w:val="auto"/>
        </w:rPr>
        <w:t>.</w:t>
      </w:r>
    </w:p>
    <w:p>
      <w:pPr>
        <w:spacing w:after="0" w:line="9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We calculate and track performance metrics with internal tools, which are not independently verified by any third-party. While we believe our metrics are reasonable estimates of our user or merchant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merchants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merchant base, or traffic levels; if we discover material inaccuracies in our metrics; or if the metrics we rely on to track our performance do not provide an accurate measurement of our business, user or merchant base or traffic levels, we may not be able to effectively implement our business strategy, our reputation may be harmed, and our operating and financial results could be adversely affected.</w:t>
      </w:r>
    </w:p>
    <w:p>
      <w:pPr>
        <w:spacing w:after="0" w:line="123"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Our merchants, platform partners,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merchants may be less willing to sell on our platform, which could negatively affect our business, financial condition, or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develop new offerings to respond to our users’ and merchants’ changing needs.</w:t>
      </w:r>
    </w:p>
    <w:p>
      <w:pPr>
        <w:spacing w:after="0" w:line="169"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user and merchant demands.</w:t>
      </w:r>
    </w:p>
    <w:p>
      <w:pPr>
        <w:spacing w:after="0" w:line="10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Our users and merchants may not be satisfied with our new platform offerings or perceive that the new offerings do not respond to their needs. Developing new offerings is complex, and the timetable for commercial release is difficult to predict and may vary from our historical experience. As a result, the introduction of new offerings may occur after anticipated or announced release dates. In addition, new offerings could require us to comply with additional governmental regulations. Our new offerings also may bring us more directly into competition with companies that are better established or have greater resources than we do.</w:t>
      </w:r>
    </w:p>
    <w:p>
      <w:pPr>
        <w:spacing w:after="0" w:line="13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If we do not continue to cost-effectively develop new offerings that satisfy our users or merchants, then our competitive position and growth prospects may be harmed. In addition, new offerings may have lower margins than existing offerings and our revenue may not grow enough as a result of the new offerings to offset the cost of developing them.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If we fail to maintain, expand, and diversify our relationships with merchants, our revenue and results of operations will be harmed.</w:t>
      </w:r>
    </w:p>
    <w:p>
      <w:pPr>
        <w:spacing w:after="0" w:line="169"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We rely on our merchants to offer products that appeal to our existing and potential users at attractive prices. Our ability to provide popular products on our platform at attractive prices depends on our ability to develop mutually beneficial relationships with our merchants. For example, we rely on our merchants, most of whom are based in China, to make available sufficient inventory and fulfill large volumes of orders in an efficient and timely manner to ensure a positive user experience. Merchants can leave our platform at any time, so we may experience merchant attrition in the ordinary course of business resulting from several factors, such as losses to competitors, perception that marketing on our platform is ineffective, reduction in our or merchants’ marketing budgets, and the penalties we impose on merchants for failing to comply with our policies. We have had, and may continue to have, disputes with merchants with respect to their compliance with our delivery requirements, quality control policies and measures, and the penalties imposed by us for violation of these policies or measures, which may cause them to be dissatisfied with our platform or to legally challenge the enforceability of our terms. If we experience significant merchant attrition, or if we are unable to attract new and geographically-diverse merchants, our revenue and results of operations may be materially and adversely affected. For example, during the initial outbreak of COVID-19, many of our merchants based in China were adversely impacted, which had a negative impact on the supply of inventory on our marketplace and our merchants based in China continue to be adversely impacted. In addition, our agreements with merchants also typically do not restrict them from establishing or maintaining business relationships with our competitors. Furthermore, the European Commission is considering a legislative proposal from trade industry associations to eliminate de minimis thresholds for customs entry. If the European Commission were to adopt these recommendations, it would bar or limit packages from numerous countries from qualifying for tariff-free entry into the EU-27 under existing de minimis laws, and make importing goods from any country to the European Union more complicated and expensive, potentially adversely affecting our business.</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to deal effectively with fraudulent activities on our platform would increase our loss rate and harm our business, and could severely diminish merchant and user confidence in and use of our services.</w:t>
      </w:r>
    </w:p>
    <w:p>
      <w:pPr>
        <w:spacing w:after="0" w:line="71"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7"/>
          <w:szCs w:val="17"/>
          <w:color w:val="auto"/>
        </w:rPr>
        <w:t>We have in the past incurred and may in the future incur losses from various types of fraud, including stolen credit card numbers, claims that a user did not authorize a purchase, merchant fraud, and users who have closed bank accounts or have insufficient funds in open bank accounts to satisfy payments. We face risks with respect to fraudulent activities on our platform and periodically receive complaints from users who may not have received the products that they had contracted to purchase. In some jurisdictions, users may also have the right to cancel a sale made by a merchant within a specified time period and for any reason. Although we have implemented measures to detect and reduce the occurrence of fraudulent activities, combat bad user experiences, and increase user satisfaction, including evaluating merchants on the basis of their transaction history and restricting or suspending their activity, there can be no assurance that these measures will be effective in combating fraudulent transactions or improving overall satisfaction among merchants, users, and other participants. Additional measures to address fraud could negatively affect the attractiveness of our services to users or merchants, resulting in a reduction in our ability to attract new users or continue to engage current users, damage to our reputation, or a diminution in the value of our brand.</w:t>
      </w:r>
    </w:p>
    <w:p>
      <w:pPr>
        <w:spacing w:after="0" w:line="11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Additionally, under current credit card practices, we are liable for fraudulent credit card transactions because we do not obtain a cardholder’s signature, which results in chargebacks made to our users that we are not able to collect from our merchants. We do not currently carry insurance against this risk. We face the risk of significant losses from this type of fraud as our net sales increase and as we continue to expand globally. Our failure to adequately control fraudulent credit card transactions could damage our reputation and brand and substantially harm our business, results of operations, financial condition, and prospects.</w:t>
      </w:r>
    </w:p>
    <w:p>
      <w:pPr>
        <w:spacing w:after="0" w:line="136"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We also accept payments for many of our sales through credit and debit card transactions, which are handled through third-party payment processors. As a result, we are subject to a number of risks related to credit and debit card payments, including that we pay interchange and other fees, which may increase over time and could require us to absorb or pass along an increase in our costs and expenses. In addition, as part of payment processing, our users’ credit and debit card information is transmitted to our third-party credit card payment processors. We may in the future become subject to lawsuits or other proceedings for purportedly fraudulent transactions arising out of the actual or alleged theft of our users’ credit or debit card information if the security of our third-party credit card payment processors is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users in addition to the consequences that could arise from such action or inaction violating applicable privacy, data protection, data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50" w:name="page51"/>
    <w:bookmarkEnd w:id="50"/>
    <w:p>
      <w:pPr>
        <w:jc w:val="both"/>
        <w:spacing w:after="0" w:line="287" w:lineRule="auto"/>
        <w:rPr>
          <w:sz w:val="20"/>
          <w:szCs w:val="20"/>
          <w:color w:val="auto"/>
        </w:rPr>
      </w:pPr>
      <w:r>
        <w:rPr>
          <w:rFonts w:ascii="Arial" w:cs="Arial" w:eastAsia="Arial" w:hAnsi="Arial"/>
          <w:sz w:val="18"/>
          <w:szCs w:val="18"/>
          <w:color w:val="auto"/>
        </w:rPr>
        <w:t>security and other laws as outlined above, and there may be an adverse impact on our business, results of operations, financial condition, and prospects.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continue to adversely affect our business and results of operations.</w:t>
      </w:r>
    </w:p>
    <w:p>
      <w:pPr>
        <w:spacing w:after="0" w:line="156"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In March 2020, the World Health Organization declared COVID-19 to be a pandemic. In an effort to contain and mitigate the spread of COVID-19, many countries, including the United States, imposed unprecedented restrictions on travel and business operations, and there were business closures and a substantial reduction in economic activity in countries that had significant outbreaks of COVID-19. While many of the restrictions have been lifted, we cannot be certain that such restrictions will not be reinstituted in the future.</w:t>
      </w:r>
    </w:p>
    <w:p>
      <w:pPr>
        <w:spacing w:after="0" w:line="13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operations and performance depend significantly on global and regional economic conditions, and the outbreak of COVID-19 has had a significant negative effect on global and regional economies. Further, the ability of our merchants to offer products and make available sufficient inventory in an efficient manner may be adversely affected by the health impacts, travel restrictions, required social distancing, and other governmental mandates due to COVID-19 that continue to remain in place, which could negatively impact our users’ experience and cause our revenue and reputation to decline. Additionally, due to the continuing economic impacts caused by COVID-19, consumer discretionary spending has been adversely affected, which may cause the demand for the products available on our platform to be reduced and our revenue to decline.</w:t>
      </w:r>
    </w:p>
    <w:p>
      <w:pPr>
        <w:spacing w:after="0" w:line="139"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We were conducting business with substantial restrictions, such as remote working and limited employee travel, among other modifications and some of those restrictions continue to remain in place. While our business occurs over an online platform, which allows us to support our merchants and users virtually, we cannot be certain that our ability to service our merchants and users will not be adversely affected by COVID-19. We also continue to see disruption in the supply chain that is affecting delivery times.</w:t>
      </w:r>
    </w:p>
    <w:p>
      <w:pPr>
        <w:spacing w:after="0" w:line="116"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At the beginning of the COVD-19 pandemic, we benefited from greater mobile usage and less competition from physical retail as a result of shelter-in-place mandates. We also benefited from increased user spending due to U.S. government stimulus programs.</w:t>
      </w:r>
    </w:p>
    <w:p>
      <w:pPr>
        <w:spacing w:after="0" w:line="113"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TThe extent to which the COVID-19 pandemic may continue to impact our business will depend on future developments, which are highly uncertain and cannot be predicted with confidence, including the duration of the pandemic, the lifting of, or reinstitution of, travel restrictions, changes to consumer ecommerce activity in response to evolving governmental mandates that impact brick-and-mortar stores, supply chain and logistical challenges, global unemployment rates, shifting priorities of regulatory agencies in response to the pandemic, the development and distribution of vaccines, and the effectiveness of actions taken in the United States and other countries to prevent, contain, and treat the disease and its variants. The pandemic may have the effect of heightening or exacerbating many of the other risks described in this “Risk Factors” section. See the section titled “Management’s Discussion and Analysis of Financial Condition and Results of Operations— Impact of the COVID-19 Pandemic” for a further discussion of the impact of the COVID-19 pandemic on our business.</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pricing strategies may not meet users’ price expectations or result in net income (loss), and laws and regulations could negatively impact the effectiveness of our model.</w:t>
      </w:r>
    </w:p>
    <w:p>
      <w:pPr>
        <w:spacing w:after="0" w:line="99"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pricing strategies have had, and may continue to have, a significant impact on our revenue and net income (loss). In addition to offering discounted prices and shipping as a means of attracting users and encouraging repeat purchases, we use dynamic pricing, where pricing varies depending on factors such as user location and demand, which is intended to optimize revenue and volume and allows us to offer a variety of promotions and discounts. Such offers and discounts, however, may reduce our revenue and margins. In the future, laws applicable to data protection, consumer protection, and artificial intelligence may change in a manner that limits our ability to employ dynamic pricing. In addition, our competitors’ pricing and marketing strategies are beyond our control and can significantly affect the results of our pricing strategies. If our pricing strategies, which may evolve over time, fail to meet our users’ price expectations or fail to result in increased margins, or if we are unable to compete effectively with our competitors if they engage in aggressive pricing strategies or other competitive activities, it could have a material adverse effect on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refund policies may adversely affect our results of operations.</w:t>
      </w:r>
    </w:p>
    <w:p>
      <w:pPr>
        <w:spacing w:after="0" w:line="16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We have adopted user-friendly refund policies that make it convenient and easy for users to receive a refund after completing purchases. These policies are designed to improve users’ shopping experience and promote user loyalty, which in turn help us acquire and engage our existing users. However, these policies also subject us to additional costs and expenses which we may not recoup through increased revenue. We may also be required by law to adopt new or amend existing refund policies from time to time. These policies also make us more susceptible to misuse and if our refund policy is misused by a significant number of users, our costs may increase significantly, and our results of operations may be materially and adversely affected. If we revise these policies to reduce our costs and expenses, our users may be dissatisfied, which may result in loss of existing users or failure to acquire new users at a desirable pace or cost, which may materially and adversely affect our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recruit and retain employees is important to our success.</w:t>
      </w:r>
    </w:p>
    <w:p>
      <w:pPr>
        <w:spacing w:after="0" w:line="156"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Our future performance depends on our employees, including key engineering and product development personnel. Competition for key personnel is intense, especially in the San Francisco Bay area where our corporate headquarters are located, and we may be unable to successfully attract, integrate, or retain sufficiently qualified key personnel. In making employment decisions, particularly in the Internet and high-technology industries, job candidates often consider the value of the equity awards they would receive in connection with their employment and fluctuations in and negative pressure on our stock price may make it more difficult to attract, retain, and motivate employees.</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forecasts of market opportunity and market growth may prove to be inaccurate, and, even if these forecasts materialize, we cannot assure you our business will grow at similar rates, if at all.</w:t>
      </w:r>
    </w:p>
    <w:p>
      <w:pPr>
        <w:spacing w:after="0" w:line="7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Estimates of market opportunity and forecasts of market growth are subject to significant uncertainty and are based on assumptions and estimates that may not prove to be accurate, including due to the impacts from COVID-19. Any estimates of the size of the markets that we may be able to address and any forecasts relating to the expected growth in ecommerce and other markets are subject to many assumptions and may prove to be inaccurate. These markets may not grow at the rates that we forecast. We may not grow our business at similar rates, or at all. Our growth is subject to many factors, including our success in implementing our business strategy, which is subject to many risks and uncertainties. Accordingly, any estimates of market opportunity and forecasts of market growth, including any in this report, should not be taken as indicative of our future growth.</w:t>
      </w:r>
    </w:p>
    <w:p>
      <w:pPr>
        <w:spacing w:after="0" w:line="12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rely on consumer discretionary spending and may be adversely affected by economic downturns and other macroeconomic conditions or trends.</w:t>
      </w:r>
    </w:p>
    <w:p>
      <w:pPr>
        <w:spacing w:after="0" w:line="99"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Macroeconomic conditions may adversely affect our business. If general economic conditions deteriorate globally or in specific markets where we operate, consumer discretionary spending may decline and demand for products available in our platform may be reduced. Recently, there have been some indications of deteriorating economic conditions both globally and in the markets we operate. A decrease in consumer discretionary spending would cause sales in our platform to decline and adversely impact our business. If the Company’s costs were to become subject to significant inflationary pressures, including recent inflationary pressures, the Company may not be able to fully offset such higher costs through increases in revenue as increases in core inflation rates are affecting consumers’ willingness to make discretionary purchases on our platforms. The Company’s inability or failure to do so could harm the Company’s business, financial condition, and results of operations. As the world moves into new phases of the pandemic, with new variants emerging, and inflation on the rise, macroeconomic conditions may continue to trend downward for a more prolonged period than expected.</w:t>
      </w:r>
    </w:p>
    <w:p>
      <w:pPr>
        <w:spacing w:after="0" w:line="1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Unfavorable changes or failure by us to comply with evolving internet and ecommerce regulations could substantially harm our business and operating results.</w:t>
      </w:r>
    </w:p>
    <w:p>
      <w:pPr>
        <w:spacing w:after="0" w:line="85"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These regulations and laws may involve taxes, privacy and data security, consumer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 Any failure, or perceived failure, by us to comply with any of these laws or regulations could result in damage to our reputation, a loss in business and proceedings, or actions against us by governmental entities or others, which could impact our operating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business could suffer if we are unsuccessful in making, integrating, and maintaining any future acquisitions and investments.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acquire businesses or technologies in the future. Integrating an acquired business or technology is difficult and can be risky.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potential and completed transactions create risks such as:</w:t>
      </w:r>
    </w:p>
    <w:p>
      <w:pPr>
        <w:spacing w:after="0" w:line="8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 of our ongoing businesses, including loss of management focus on existing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of integrating new businesses and technologies into our infrastructure; and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assuming liabilities related to the activities of the acquired business before and after the acquisition, including liabilities for violations of laws and regulations, commercial disputes, cyberattacks, taxes, and other matters.</w:t>
      </w:r>
    </w:p>
    <w:p>
      <w:pPr>
        <w:spacing w:after="0" w:line="114"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Moreover, acquisitions may divert management’s time and focus from operating our business. 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merchants, or our users.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litigation matters or other legal proceedings that are expensive and time consuming.</w:t>
      </w:r>
    </w:p>
    <w:p>
      <w:pPr>
        <w:spacing w:after="0" w:line="169"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may become involved in litigation matters, including class action lawsuits, relating to intellectual property, product liability, and consumer practices, whether for our own products or those offered by merchants, as well as other commercial disputes.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spacing w:after="0" w:line="13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 xml:space="preserve">Additionally, the market price of our Class A common stock has been and may continue to be volatile. As a result, we have been named in lawsuits, and may be subject to both ongoing litigation and other requests related to our stock price/performance and/or Board performance and independence. In 2021, we were named as defendants in various securities litigations: (1) </w:t>
      </w:r>
      <w:r>
        <w:rPr>
          <w:rFonts w:ascii="Arial" w:cs="Arial" w:eastAsia="Arial" w:hAnsi="Arial"/>
          <w:sz w:val="18"/>
          <w:szCs w:val="18"/>
          <w:color w:val="222222"/>
        </w:rPr>
        <w:t>In May 2021, four putative class</w:t>
      </w:r>
      <w:r>
        <w:rPr>
          <w:rFonts w:ascii="Arial" w:cs="Arial" w:eastAsia="Arial" w:hAnsi="Arial"/>
          <w:sz w:val="18"/>
          <w:szCs w:val="18"/>
          <w:color w:val="auto"/>
        </w:rPr>
        <w:t xml:space="preserve"> </w:t>
      </w:r>
      <w:r>
        <w:rPr>
          <w:rFonts w:ascii="Arial" w:cs="Arial" w:eastAsia="Arial" w:hAnsi="Arial"/>
          <w:sz w:val="18"/>
          <w:szCs w:val="18"/>
          <w:color w:val="222222"/>
        </w:rPr>
        <w:t xml:space="preserve">action lawsuits were filed in U.S. federal court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(“IPO cases”). One of these four cases was dismissed, leaving three pending cases against the Company, which have since been related and consolidated before one judge. The lead case is </w:t>
      </w:r>
      <w:r>
        <w:rPr>
          <w:rFonts w:ascii="Arial" w:cs="Arial" w:eastAsia="Arial" w:hAnsi="Arial"/>
          <w:sz w:val="18"/>
          <w:szCs w:val="18"/>
          <w:i w:val="1"/>
          <w:iCs w:val="1"/>
          <w:color w:val="222222"/>
        </w:rPr>
        <w:t>Hoang</w:t>
      </w:r>
      <w:r>
        <w:rPr>
          <w:rFonts w:ascii="Arial" w:cs="Arial" w:eastAsia="Arial" w:hAnsi="Arial"/>
          <w:sz w:val="18"/>
          <w:szCs w:val="18"/>
          <w:color w:val="222222"/>
        </w:rPr>
        <w:t xml:space="preserve"> v. ContextLogic, Inc., </w:t>
      </w:r>
      <w:r>
        <w:rPr>
          <w:rFonts w:ascii="Arial" w:cs="Arial" w:eastAsia="Arial" w:hAnsi="Arial"/>
          <w:sz w:val="18"/>
          <w:szCs w:val="18"/>
          <w:color w:val="000000"/>
        </w:rPr>
        <w:t>and (2) in August 2021,</w:t>
      </w:r>
      <w:r>
        <w:rPr>
          <w:rFonts w:ascii="Arial" w:cs="Arial" w:eastAsia="Arial" w:hAnsi="Arial"/>
          <w:sz w:val="18"/>
          <w:szCs w:val="18"/>
          <w:color w:val="222222"/>
        </w:rPr>
        <w:t xml:space="preserve">a shareholder derivative action purportedly brought on behalf of the Company, </w:t>
      </w:r>
      <w:r>
        <w:rPr>
          <w:rFonts w:ascii="Arial" w:cs="Arial" w:eastAsia="Arial" w:hAnsi="Arial"/>
          <w:sz w:val="18"/>
          <w:szCs w:val="18"/>
          <w:i w:val="1"/>
          <w:iCs w:val="1"/>
          <w:color w:val="222222"/>
        </w:rPr>
        <w:t>Patel v. Szulczewski</w:t>
      </w:r>
      <w:r>
        <w:rPr>
          <w:rFonts w:ascii="Arial" w:cs="Arial" w:eastAsia="Arial" w:hAnsi="Arial"/>
          <w:sz w:val="18"/>
          <w:szCs w:val="18"/>
          <w:color w:val="222222"/>
        </w:rPr>
        <w:t xml:space="preserve">,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cases. We are also subject to other securities litigation, a derivative action </w:t>
      </w:r>
      <w:r>
        <w:rPr>
          <w:rFonts w:ascii="Arial" w:cs="Arial" w:eastAsia="Arial" w:hAnsi="Arial"/>
          <w:sz w:val="18"/>
          <w:szCs w:val="18"/>
          <w:i w:val="1"/>
          <w:iCs w:val="1"/>
          <w:color w:val="000000"/>
        </w:rPr>
        <w:t>Aviv v. Szulczewski</w:t>
      </w:r>
      <w:r>
        <w:rPr>
          <w:rFonts w:ascii="Arial" w:cs="Arial" w:eastAsia="Arial" w:hAnsi="Arial"/>
          <w:sz w:val="18"/>
          <w:szCs w:val="18"/>
          <w:color w:val="000000"/>
        </w:rPr>
        <w:t>, discussed elsewhere herein. We may continue to be the target of securities litigations, and/or may receive other</w:t>
      </w:r>
      <w:r>
        <w:rPr>
          <w:rFonts w:ascii="Arial" w:cs="Arial" w:eastAsia="Arial" w:hAnsi="Arial"/>
          <w:sz w:val="18"/>
          <w:szCs w:val="18"/>
          <w:color w:val="222222"/>
        </w:rPr>
        <w:t xml:space="preserve"> </w:t>
      </w:r>
      <w:r>
        <w:rPr>
          <w:rFonts w:ascii="Arial" w:cs="Arial" w:eastAsia="Arial" w:hAnsi="Arial"/>
          <w:sz w:val="18"/>
          <w:szCs w:val="18"/>
          <w:color w:val="000000"/>
        </w:rPr>
        <w:t>civil and regulator inquiries and requests, in the future. Securities litigation or inquiries or investigations against us could result in substantial costs and divert our management’s attention from other business concerns, which could adversely affect our business.</w:t>
      </w:r>
    </w:p>
    <w:p>
      <w:pPr>
        <w:spacing w:after="0" w:line="129"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From time to time, we are subject to investigations, demands, litigation and other proceedings involving consumer protection, product safety, and data protection authorities or other regulatory agencies, including, in particular, in Denmark, France, Hungary, Italy, the Netherlands, and the United States. These proceedings can result in civil and/or criminal penalties, large fines, other penalties, and/or remediation efforts and/or injunctive relief that could limit or restrict our ability to do business either in a given jurisdiction within a product class. For example, in France we are facing (1) civil litigation over product safety and merchant listings which the regulator deems to be unsafe or of poor quality; and (2) charges from the French authorities relating to the previous policies enabling merchants to utilize strike-through pricing, previous practices regarding non-translation of product listings on the Wish app and website, and allegations relating to anti-counterfeiting practices and policies. Separately, at the initial outbreak of COVID-19, consumer protection authorities demanded rapid and decisive changes in the way that we screen and handle product listings that potentially violate various laws, including emergency price caps on certain items. Implementing these requests or defending against any associated fines could prove expensive and time consuming and negatively affect our results of operations and financial condition. While we may dispute the charges or cases, novel interpretations of the law or enforcement efforts could subject us to litigation and/or time consuming and costly remediation measures or otherwise impair business operations in a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98"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p>
    <w:p>
      <w:pPr>
        <w:spacing w:after="0" w:line="121"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The material weaknesses that we identified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spacing w:after="0" w:line="116"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Class A common stock. See Item 4. “Controls and Procedures” for further discussions of the identified material weaknesses.</w:t>
      </w:r>
    </w:p>
    <w:p>
      <w:pPr>
        <w:spacing w:after="0" w:line="12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spacing w:after="0" w:line="98"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spacing w:after="0" w:line="12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continue to improve our internal control over financial reporting by hiring additional accounting, engineering, and business intelligence personnel and implementing process level and management review controls to identify and address emerging risks, we cannot guarantee that these changes will remediate future deficiencies or that additional material weaknesses in our internal control over financial reporting will not be identified in the future.</w:t>
      </w:r>
    </w:p>
    <w:p>
      <w:pPr>
        <w:spacing w:after="0" w:line="121"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spacing w:after="0" w:line="130" w:lineRule="exact"/>
        <w:rPr>
          <w:sz w:val="20"/>
          <w:szCs w:val="20"/>
          <w:color w:val="auto"/>
        </w:rPr>
      </w:pPr>
    </w:p>
    <w:p>
      <w:pPr>
        <w:ind w:right="80" w:firstLine="644"/>
        <w:spacing w:after="0" w:line="24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Class A common stock, and could result in our delisting on Nasdaq. As noted previously, see Item 4. “Controls and Procedures” for further discussions of the identified material weaknesses.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Economic tension between the United States and China, or between other countries, may intensify and the United States, China, or other countries may adopt drastic measures in the future that impact our business.*</w:t>
      </w:r>
    </w:p>
    <w:p>
      <w:pPr>
        <w:spacing w:after="0" w:line="85"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Our merchants source a large percentage of the products we list on our platform from China and other countries outside the United States and Europe. Additionally, most of our merchants, and some of our operations, are located in China, making the price and availability of products on our platform susceptible to international trade risks and other international economic conditions.</w:t>
      </w:r>
    </w:p>
    <w:p>
      <w:pPr>
        <w:spacing w:after="0" w:line="10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If the U.S. government or other governments impose tariffs or other economic measures that directly or indirectly increase the price of products it imports and that we list on our platform, the increased prices could have a material adverse effect on our financial results and business. The effects of the imposed and proposed tariffs are uncertain because of the dynamic nature of governmental action, relations and responses. Further escalation of trade, economic and geo-political tensions between the United States and its trading partners, especially China, could result in long-term changes to global trade, including retaliatory trade restrictions that restrict the international flow of products. For example, the European Commission is considering a legislative proposal from trade industry associations to eliminate de minimis thresholds for customs entry. If the European Commission were to adopt these recommendations, it would bar or limit packages from numerous countries from qualifying for tariff-free entry into the EU-27 under existing de minimis laws, and make importing goods from any country to the European Union more complicated and expensive, potentially adversely affecting our business. We also cannot predict what actions may ultimately be taken with respect to tariffs or trade relations between the United States and China or other countries, what products may be subject to such actions, or what actions may be taken by the other countries in retaliation.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124"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Additionally, certain jurisdictions may attempt to restrict the operation and access of certain China-based companies, such as TikTok, WeChat and Alipay in the United States. In response, government authorities in China, or elsewhere, may seek to restrict access and operation of U.S. companies. Most of our merchants and some of our operations are located in China; if our operations or our merchant’s activities were restricted in China, our platform, our business, financial condition, and results of operations would be adversely affected.</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We are not able to predict future economic policy of the United States, China, or of any foreign countries in which we operate. The adoption and expansion of restrictions, including restrictions on access to apps and other platforms, cross-border data transfers, tariffs, or other governmental action related to economic policies, has the potential to adversely impact our business, operational results and financial position.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relating to the provision of financial services are subject to government regulation and oversight.</w:t>
      </w:r>
    </w:p>
    <w:p>
      <w:pPr>
        <w:spacing w:after="0" w:line="156"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Many jurisdictions in which we operate have laws that govern financial services activities. Regulators in certain jurisdictions may determine that certain aspects of our business are subject to these laws and could require us to obtain licenses to continue to operate in such jurisdictions. For example, if we are deemed to be a money transmitter as defined by applicable regulation, we could be subject to certain laws, rules and regulations enforced by multiple authorities and governing bodies in the United States and abroad. If we are found to be a money transmitter or lender under any applicable regulation and we are not in compliance with such regulations, we may be subject to fines or other penalties in one or more jurisdictions levied by federal or state or local regulators, including state Attorneys General, as well as those levied by foreign regulators. In addition to fines, penalties for failing to comply with applicable rules and regulations could include criminal and civil proceedings or other enforcement actions. We could also be required to make changes to our business practices or compliance programs as a result of regulatory scrutiny.</w:t>
      </w:r>
    </w:p>
    <w:p>
      <w:pPr>
        <w:spacing w:after="0" w:line="123" w:lineRule="exact"/>
        <w:rPr>
          <w:sz w:val="20"/>
          <w:szCs w:val="20"/>
          <w:color w:val="auto"/>
        </w:rPr>
      </w:pPr>
    </w:p>
    <w:p>
      <w:pPr>
        <w:ind w:right="20" w:firstLine="644"/>
        <w:spacing w:after="0" w:line="246" w:lineRule="auto"/>
        <w:rPr>
          <w:sz w:val="20"/>
          <w:szCs w:val="20"/>
          <w:color w:val="auto"/>
        </w:rPr>
      </w:pPr>
      <w:r>
        <w:rPr>
          <w:rFonts w:ascii="Arial" w:cs="Arial" w:eastAsia="Arial" w:hAnsi="Arial"/>
          <w:sz w:val="18"/>
          <w:szCs w:val="18"/>
          <w:color w:val="auto"/>
        </w:rPr>
        <w:t>One of our subsidiaries, ContextLogic B.V., received a payments institution license in 2021 from its regulatory authority, De Nederlandsche Bank. This license permits ContextLogic B.V. to operate as a payment service provider (including acquiring and executing payment transactions, as referred to in the Revised Payment Services Directive (“2015/2366/EU”) in the Netherlands. In addition, ContextLogic B.V. can offer its payment services in all other countries of the European Economic Area (“EEA”) on the basis of a European passport. As a regulated financial institution, ContextLogic B.V. is in compliance and will continue to comply with financial services regulations within the European Union, including those relating to anti-money laundering, combating the financing of terrorism, bribery, forced labor, human trafficking, slavery, and sanctioned or prohibited persons or regions.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5" w:name="page56"/>
    <w:bookmarkEnd w:id="55"/>
    <w:p>
      <w:pPr>
        <w:jc w:val="both"/>
        <w:ind w:firstLine="644"/>
        <w:spacing w:after="0" w:line="246" w:lineRule="auto"/>
        <w:rPr>
          <w:sz w:val="20"/>
          <w:szCs w:val="20"/>
          <w:color w:val="auto"/>
        </w:rPr>
      </w:pPr>
      <w:r>
        <w:rPr>
          <w:rFonts w:ascii="Arial" w:cs="Arial" w:eastAsia="Arial" w:hAnsi="Arial"/>
          <w:sz w:val="18"/>
          <w:szCs w:val="18"/>
          <w:color w:val="auto"/>
        </w:rPr>
        <w:t>We continue to evaluate our options for seeking additional licenses and/or subsidiaries in several other jurisdictions to optimize our payment solutions, interchange fees, and to support the future growth of our business. We could be denied such licenses, have existing licenses revoked, or be required to make significant changes to our business operations before being granted such licenses. If we are denied licenses or such licenses are revoked, we may be forced to cease or limit business operations in certain jurisdictions, including in the EEA, and even if we are able to obtain such licenses, we could be subject to fines or other enforcement action, or stripped of such licenses, if we are found to violate the requirements of such licenses. Such regulatory actions, or the need to obtain regulatory approvals, could impose significant costs and involve substantial delay in payments we make in certain local markets, any of which could adversely affect our business, financial condition, or operating results.</w:t>
      </w:r>
    </w:p>
    <w:p>
      <w:pPr>
        <w:spacing w:after="0" w:line="125"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addition, laws related to money transmission and online payments are evolving, and changes in such laws could affect our ability to provide payment processing on our platform in the same form and on the same terms as we have historically, or at all. As we evolve our business or make changes to our business structure, we may be subject to additional laws or requirements related to money transmission, lending, online payments and financial regulation. These laws govern, among other things, money transmission, prepaid access instruments, lending, electronic funds transfers, anti-money laundering, combating the financing of terrorism, banking, systematic integrity risk assessments, cyber security of payment processes, sanctions and import and export restrictions. Our business operations may not always comply with these financial laws and regulations. Historical or future non-compliance with these laws or regulations could result in significant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spacing w:after="0" w:line="123"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Further, our payment system is susceptible to illegal and improper uses, including money laundering, terrorist financing, fraud and payments to sanctioned parties. We have invested and will need to continue to invest substantial resources to comply with applicable financial services legislation, including anti-money laundering, combating the financing of terrorism, and sanctions laws. Government authorities may seek to bring legal action against us if we fail to prevent or detect that our payment system is used for improper or illegal purposes or if our enterprise risk management or controls are not adequately assessed, updated, or implemented, and any such action could result in financial or reputational harm to our business.</w:t>
      </w:r>
    </w:p>
    <w:p>
      <w:pPr>
        <w:spacing w:after="0" w:line="12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Additionally, some of our merchants use applications, such as WeChat, for transmitting payments and communicating with us. If any of these payment applications were limited or banned by governmental authorities, certain payments could be delayed or our communications with merchants could be adversely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are subject to global trade customs regulations and government oversight.</w:t>
      </w:r>
    </w:p>
    <w:p>
      <w:pPr>
        <w:spacing w:after="0" w:line="156" w:lineRule="exact"/>
        <w:rPr>
          <w:sz w:val="20"/>
          <w:szCs w:val="20"/>
          <w:color w:val="auto"/>
        </w:rPr>
      </w:pPr>
    </w:p>
    <w:p>
      <w:pPr>
        <w:jc w:val="both"/>
        <w:ind w:right="20" w:firstLine="644"/>
        <w:spacing w:after="0" w:line="261" w:lineRule="auto"/>
        <w:rPr>
          <w:sz w:val="20"/>
          <w:szCs w:val="20"/>
          <w:color w:val="auto"/>
        </w:rPr>
      </w:pPr>
      <w:r>
        <w:rPr>
          <w:rFonts w:ascii="Arial" w:cs="Arial" w:eastAsia="Arial" w:hAnsi="Arial"/>
          <w:sz w:val="18"/>
          <w:szCs w:val="18"/>
          <w:color w:val="auto"/>
        </w:rPr>
        <w:t>We are also within the scope of certain customs enquiries and subject to international trade law enforcement, that could require us to incur an increase in costs and/or impacting the supply and delivery-times of products from merchants to consumers, potentially causing us to experience damage in reputation and/or restricting our rate of global growth.</w:t>
      </w:r>
    </w:p>
    <w:p>
      <w:pPr>
        <w:spacing w:after="0" w:line="10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Our business is conducted worldwide, with goods imported from and exported to a substantial number of countries. The vast majority of products sold on our platform are shipped internationally. We are subject to numerous regulations, including customs and international trade laws that govern the importation, exportation, and sale of goods. For example, due to abrupt new VAT regulations in Colombia (and related evolving interpretations of the same by local regulatory enforcement agencies), the de minimis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in the first quarter of 2018, PostNord, the postal service in Sweden, suspended delivery of packages coming from outside the European Union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6" w:name="page57"/>
    <w:bookmarkEnd w:id="56"/>
    <w:p>
      <w:pPr>
        <w:jc w:val="both"/>
        <w:ind w:firstLine="644"/>
        <w:spacing w:after="0" w:line="251" w:lineRule="auto"/>
        <w:rPr>
          <w:sz w:val="20"/>
          <w:szCs w:val="20"/>
          <w:color w:val="auto"/>
        </w:rPr>
      </w:pPr>
      <w:r>
        <w:rPr>
          <w:rFonts w:ascii="Arial" w:cs="Arial" w:eastAsia="Arial" w:hAnsi="Arial"/>
          <w:sz w:val="18"/>
          <w:szCs w:val="18"/>
          <w:color w:val="auto"/>
        </w:rPr>
        <w:t>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If these laws or regulations were to change or were violated by our management, employees or merchants, we could experience delays in shipments of our goods, be subject to fines or penalties, or suffer reputational harm, which could reduce demand for our services and negatively impact our results of operations.</w:t>
      </w:r>
    </w:p>
    <w:p>
      <w:pPr>
        <w:spacing w:after="0" w:line="11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Legal requirements are frequently changed and subject to interpretation, and we are unable to predict the ultimate cost of compliance with these requirements or their effects on our operations. We may be required to make significant expenditures to comply with existing or future laws and regulations, which may increase our costs and materially limit our ability to operate our business. In addition, changes to legal requirements can create delays in the introduction and sale of our products and services, or in some cases, prevent the export or import or our products and services to certain countries, governments, or persons altogether.</w:t>
      </w:r>
    </w:p>
    <w:p>
      <w:pPr>
        <w:spacing w:after="0" w:line="123"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We may see a significant loss of revenue in France or from users in France as a result of French regulator enforcement actions.*</w:t>
      </w:r>
    </w:p>
    <w:p>
      <w:pPr>
        <w:spacing w:after="0" w:line="156"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222222"/>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DGCCRF is relying on an untested interpretation and enforcement of Europe’s Market Surveillance Regulation (“MSR”) to support its position that Wish is responsible as a distributor for products sold by merchants on the platform, and regarding the role of Wish in platform liability and immunity. In addition to the delisting and blocking, the injunction could also expose Wish to fines and penalties. As far as we know, this is a case of first impression in Europe; we are the first e-commerce company that we are aware of in the EU that has faced any such delisting/blocking, and the first of its kind in France. We took immediate measures to challenge the injunction, and to suspend and lift it. We are in the process of the legal challenge.</w:t>
      </w:r>
    </w:p>
    <w:p>
      <w:pPr>
        <w:spacing w:after="0" w:line="123"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222222"/>
        </w:rPr>
        <w:t>We have since challenged the injunction in French Administrative Courts and Appellate Courts. While the courts have upheld the injunction, we continue to pursue other legal challenges available to us.</w:t>
      </w:r>
    </w:p>
    <w:p>
      <w:pPr>
        <w:spacing w:after="0" w:line="100"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222222"/>
        </w:rPr>
        <w:t>Meanwhile, the injunction has had significant effects on our revenues from France as we are unable to acquire new users on the App, old users may be precluded from upgrading or updating their app, and mobile or web users are unable to find us or navigate to us from the main search engines in France. In addition, we have ceased ad spend in France as a direct and proximate result of the injunction as there is no return on such an investment nor would we recoup any revenue from ad spending. We anticipate that in 2022 we may lose as much as 80-85% of our marketplace revenue in France as a result of the injunction if the delisting injunction is not ended, lifted or otherwise overruled.</w:t>
      </w:r>
    </w:p>
    <w:p>
      <w:pPr>
        <w:spacing w:after="0" w:line="121"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222222"/>
        </w:rPr>
        <w:t>This injunction and the legal proceedings challenging it could also subject the Company to substantial costs, divert resources and the attention of management from the Company’s business, and harm the Company’s business and financial results. We may also be subject to additional civil and criminal litigation and/or penalties from the DGCCRF relating to any purported or perceived moderation of the platform and/or merchant activity on the platform.</w:t>
      </w:r>
    </w:p>
    <w:p>
      <w:pPr>
        <w:spacing w:after="0" w:line="130"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222222"/>
        </w:rPr>
        <w:t>The injunction may also expose us to risk in the EU generally, should other regulators take a similar approach or interpretation to the MSR, and we may be the subject of additional requests for information, document requests or information in the EU.</w:t>
      </w:r>
    </w:p>
    <w:p>
      <w:pPr>
        <w:spacing w:after="0" w:line="100"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Separately, in late December 2021, authorities in France charged ContextLogic with legal violations relating to the Company’s former policy permitting merchants to use strikethrough pricing in France, the Company’s previous failure to translate into French listings and product details on the Company’s app and website, and the Company’s anti-counterfeiting policies and practices. The Company disputes the charges and is preparing to defend itself at a hearing that is currently scheduled for March 2023. Any adverse outcome could result in payment of substantial fines, payments to allegedly impacted consumer groups, harm to our reputation, loss of rights, or adverse changes to our offerings or business practices in France. Any of these results could adversely affect our business. In addition, defending claims may be costly and may impose a significant burden on our management.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Our international operations are subject to increased risks.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inherent risks in doing business internationally, including:</w:t>
      </w:r>
    </w:p>
    <w:p>
      <w:pPr>
        <w:spacing w:after="0" w:line="104" w:lineRule="exact"/>
        <w:rPr>
          <w:sz w:val="20"/>
          <w:szCs w:val="20"/>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localizing our products and services and user data, including offering our users and merchants the ability to transact business in the local currency and language, and adapting our platform to local preferences;</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enforceability in some foreign jurisdictions of so-called “clickwrap” contracts with our customers, merchants and Wish Local retailers;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simultaneously managing a large number of varying foreign operations as a result of distance, language, and cultural differences;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credit risk and higher levels of payment fraud;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laws or regulations related to the import or export of goods alleged to violate third-party intellectual property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geopolitical events, including natural disasters, public health issues, acts of war, and terrorism;</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such as the Foreign Corrupt Practices Act and foreign laws prohibiting corruption, U.S. and foreign economic and trade sanctions laws, and U.S. and foreign laws designed to combat money laundering and the financing of terrorist activities;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potentially adverse tax developments and consequences;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economic uncertainties related to sovereign debt and other debt;</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uncertain, or more stringent user protection, data protection, data collection, privacy, payments, advertising, pricing, and other laws;</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by governmental authorities on transmission of privacy information and other data between countries, whether from the United States or other jurisdictions;</w:t>
      </w:r>
    </w:p>
    <w:p>
      <w:pPr>
        <w:spacing w:after="0" w:line="3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services, content, including uncertainty as a result of less internet-friendly legal systems, local laws, lack of legal precedent, and varying rules, regulations, and practices;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other government regulation or required compliance with local laws;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w:t>
      </w:r>
    </w:p>
    <w:p>
      <w:pPr>
        <w:spacing w:after="0" w:line="170" w:lineRule="exact"/>
        <w:rPr>
          <w:sz w:val="20"/>
          <w:szCs w:val="20"/>
          <w:color w:val="auto"/>
        </w:rPr>
      </w:pPr>
    </w:p>
    <w:p>
      <w:pPr>
        <w:ind w:right="120" w:firstLine="644"/>
        <w:spacing w:after="0" w:line="247" w:lineRule="auto"/>
        <w:rPr>
          <w:sz w:val="20"/>
          <w:szCs w:val="20"/>
          <w:color w:val="auto"/>
        </w:rPr>
      </w:pPr>
      <w:r>
        <w:rPr>
          <w:rFonts w:ascii="Arial" w:cs="Arial" w:eastAsia="Arial" w:hAnsi="Arial"/>
          <w:sz w:val="18"/>
          <w:szCs w:val="18"/>
          <w:color w:val="auto"/>
        </w:rPr>
        <w:t>Violations of the complex foreign and U.S. laws and regulations that apply to our international operations may result in litigation, fines, criminal actions, or sanctions against us, our officers, or our employees; restrictions on the operations of our business; and damage to our reputation. Although we have implemented policies and procedures designed to promote compliance with these laws, there can be no assurance that our employees, contractors, or agents will not violate our policies. These risks inherent in our international operations and expansion increase our costs of doing business internationally and could harm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69"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Our user pricing and payments are denominated in the local currencies of the users, primarily in U.S. dollars and Euros, and we make a majority of our payments in Renminbi (“RMB”) to the merchants in China for products sold on the Wish platform, which creates exposure to currency rate fluctuations. Additionally, our operating expenses are denominated in the currencies of the countries in which our operations are located, and may be subject to fluctuations due to changes in foreign currency exchange rates, particularly changes in RMB. As part of our currency hedging strategy, we use financial instruments such as forward contracts to hedge our foreign currency exposure in order to reduce the frequency that we need to adjust local currency pricing as well as reduce the short-term impact of foreign currency rate fluctuations on our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factors that reduce cross-border trade or make such trade more difficult could harm our business.</w:t>
      </w:r>
    </w:p>
    <w:p>
      <w:pPr>
        <w:spacing w:after="0" w:line="15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Cross-border trade is an important source of revenue for us. The shipping of goods across national borders is often more expensive and complicated than domestic shipping.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trade or restrict, delay, or make cross-border trade more difficult or impractical, including any delays or other factors caused by the current conflict between Russia and Ukraine arising from the invasion of Ukraine by Russia, would lower our revenue and profits and could harm our business.</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7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Most of our merchants, and some of our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and growth rate.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Uncertainties with respect to the People’s Republic of China’s (“PRC”) legal system and changes in laws and regulations in China could adversely affect us.</w:t>
      </w:r>
    </w:p>
    <w:p>
      <w:pPr>
        <w:spacing w:after="0" w:line="99"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Our operations in China are governed by PRC laws and regulations. Our Chinese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spacing w:after="0" w:line="123"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21"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spacing w:after="0" w:line="98"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The Chinese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3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Because our business may be subject to governmental supervision and regulation by the relevant Chinese governmental authorities in many aspects of the operation of online retailing, we may be required to hold a number of licenses and permits in connection with our business operation. New laws and regulations may be adopted from time to time to require additional licenses and permits other than those we currently have. As a result, substantial uncertainties exist regarding the interpretation and implementation of current and any future PRC laws and regulations applicable to online retail businesses. If the Chinese government considers that we were operating without the proper approvals, licenses or permits, or promulgates new laws and regulations that require additional approvals or licenses or impose additional restrictions on the operation of any part of our business, it has the power, among other actions, to levy fines, confiscate our income, revoke our business licenses, or require us to discontinue our relevant business or impose restrictions on the affected portion of our business. Any of these or other regulatory actions by the Chinese governmental authorities, including issuance of official notices, change of policies, promulgation of regulations and imposition of sanctions, may adversely affect our business and have a material and adverse effect on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Network and Infrastructure</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significant disruption in service on our platform or in our computer systems, some of which are currently hosted by third-party providers, could damage our reputation and result in a loss of users, which would harm our business and results of operations.</w:t>
      </w:r>
    </w:p>
    <w:p>
      <w:pPr>
        <w:spacing w:after="0" w:line="9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brand, reputation and ability to deliver a positive user experience depends upon the reliability of our infrastructure. We have experienced interruptions in these systems in the past, including server failures that temporarily slowed down or interfered with the performance of our websites and apps, or particular features of our websites and apps, and we may experience interruptions in the future. For example, in June 2020, we experienced a full platform outage for more than one hour due to the release of a software update that did not follow proper internal protocols. We have since updated our processes for following such protocols. Interruptions, whether due to system failures, human errors, computer viruses, physical or electronic break-ins, denial-of-service attacks, and capacity limitations, could prevent or inhibit the ability of merchants to access, or users from completing purchases on, our websites and apps. Volume of traffic and activity on our platform spikes on certain days, and any such interruption would be particularly problematic if it were to occur at such a high-volume time. Problems with the reliability of our systems could prevent us from earning revenue and could harm our reputation. Damage to our reputation, any resulting loss of user confidence and the cost of remedying these problems could negatively affect our business, results of operations, financial condition,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60" w:name="page61"/>
    <w:bookmarkEnd w:id="60"/>
    <w:p>
      <w:pPr>
        <w:jc w:val="both"/>
        <w:ind w:firstLine="644"/>
        <w:spacing w:after="0" w:line="242" w:lineRule="auto"/>
        <w:rPr>
          <w:sz w:val="20"/>
          <w:szCs w:val="20"/>
          <w:color w:val="auto"/>
        </w:rPr>
      </w:pPr>
      <w:r>
        <w:rPr>
          <w:rFonts w:ascii="Arial" w:cs="Arial" w:eastAsia="Arial" w:hAnsi="Arial"/>
          <w:sz w:val="18"/>
          <w:szCs w:val="18"/>
          <w:color w:val="auto"/>
        </w:rPr>
        <w:t>We either lease or own our servers and have service agreements with data center providers. Our systems and operations are vulnerable to damage or interruption from fire, flood, power loss, telecommunications failure, terrorist attacks, acts of war, electronic and physical break-ins, computer viruses, earthquakes, and similar events. The occurrence of any of the foregoing events could result in damage to our systems and hardware or could cause them to fail completely, and our insurance may not cover such events or may be insufficient to compensate us for losses that may occur. Our systems are not completely redundant, so a system failure at one site could result in reduced platform functionality for our users, and a total failure of our systems could cause our websites or apps to be inaccessible by some or all of our users. A significant portion of our data storage, data processing and other computing services and systems is hosted by Amazon Web Services (“AWS”). AWS provides us with computing and storage capacity pursuant to an agreement that continues until terminated by either party. Problems with our third-party service providers, including AWS, or with their network providers or with the systems allocating capacity among their users, including us, could adversely affect our users’ experience.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In the event that our agreement with AWS, or other third-party service providers, is terminated, or we add additional cloud infrastructure service providers, we may experience significant costs or downtime in connection with the transfer to, or the addition of, new cloud infrastructure service providers. Any of the above circumstances or events may harm our reputation and brand, reduce the availability or usage of our platform, lead to a significant short-term loss of revenue, increase our costs, and impair our ability to attract new users or merchants, any of which could adversely affect our business, financial condition, and results of operations.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9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We collect, maintain, transmit, and store data about our users, merchants and others, including personally identifiable information and personal data, as well as other confidential information.</w:t>
      </w:r>
    </w:p>
    <w:p>
      <w:pPr>
        <w:spacing w:after="0" w:line="113"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We also engage third parties that store, process, and transmit these types of information on our behalf. We rely 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credential stuffing, and password spraying. Our security measures, and those of our third-party service providers, may not detect or prevent all attempts to breach our systems, viruses, malicious software, break-ins, phishing attacks, accidental actions or omissions to act that create vulnerabilities,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be able to anticipate or prevent all types of attacks, and we may not detect such attacks until after they have already been launched. Further,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actions by our employees or by third parties. These risks may increase over time as the complexity and number of technical systems and applications we use also increases.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1" w:name="page62"/>
    <w:bookmarkEnd w:id="61"/>
    <w:p>
      <w:pPr>
        <w:jc w:val="both"/>
        <w:ind w:firstLine="644"/>
        <w:spacing w:after="0" w:line="242" w:lineRule="auto"/>
        <w:rPr>
          <w:sz w:val="20"/>
          <w:szCs w:val="20"/>
          <w:color w:val="auto"/>
        </w:rPr>
      </w:pPr>
      <w:r>
        <w:rPr>
          <w:rFonts w:ascii="Arial" w:cs="Arial" w:eastAsia="Arial" w:hAnsi="Arial"/>
          <w:sz w:val="18"/>
          <w:szCs w:val="18"/>
          <w:color w:val="auto"/>
        </w:rPr>
        <w:t>Cyber security incidents or breaches of our security measures or those of our third-party service providers or cyber security incidents could result in unauthorized access to our websites, networks and systems; unauthorized access to and misappropriation of our data, including user information, personally identifiable information, or other confidential or proprietary information of ours or of third parties; viruses, worms, spyware, or other malware being served from our websites,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Further, due to the political uncertainty involving Russia and Ukraine, there is an increased likelihood that escalation of tensions could result in cyber attacks that could either directly or indirectly impact our operations. Social engineering, phishing, malware, and similar attacks and threats of denial-of-service attacks could have a material adverse effect on our operations. Additionally, from time to time, our merchants’ and users’ accounts have been subject to unauthorized access by third parties, including through illicit purchase of usernames and passwords by bad actors.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 or merchant password could access the user or merchant’s transaction data or personal information, resulting in the perception that our systems are insecure.</w:t>
      </w:r>
    </w:p>
    <w:p>
      <w:pPr>
        <w:spacing w:after="0" w:line="13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(including costs for technical teams to investigate and remediate such incidents), adverse publicity and a loss of confidence in our security measures, which could have a material adverse effect on our business, results of operations, financial condition, and prospects. We devote significant resources to protect against security breaches and we may need to devote more resources in the future to address problems caused by breaches, including notifying affected users and responding to any resulting litigation, which in turn, diverts resources from the growth and expansion of our business.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information security, and consumer protection. If we are unable to comply with these, we may be subject to governmental enforcement actions, litigation, fines and penalties, or adverse publicity.</w:t>
      </w:r>
    </w:p>
    <w:p>
      <w:pPr>
        <w:spacing w:after="0" w:line="98"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We collect personally identifiable information and other data from users and prospective users. We use this information to provide services and relevant products to our users, to support, expand and improve our business, and to tailor our marketing and advertising efforts. We may also share users’ personal data with certain third parties as authorized by the user or as described in our privacy policy.</w:t>
      </w:r>
    </w:p>
    <w:p>
      <w:pPr>
        <w:spacing w:after="0" w:line="108"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As a result, we are subject to governmental regulation and other legal obligations related to the protection of confidential and sensitive data (including personally identifiable information and personal data), privacy, information security and consumer protection in certain countries where we do business and there has been and will continue to be a significant increase globally in such laws that restrict or control the use of personal data.</w:t>
      </w:r>
    </w:p>
    <w:p>
      <w:pPr>
        <w:spacing w:after="0" w:line="11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In Europe, where the data privacy and information security regime underwent a significant change in 2018, the legal environment related to personal data continues to evolve and companies like us that process personal data from large numbers of individuals are subject to increasing regulatory scrutiny. The General Data Protection Regulation (“GDPR”) implemented more stringent operational requirements for our use of personal data. These more stringent requirements include expanded disclosures to tell our users about how we may use their personal data, increased controls on profiling users and increased rights for users to access, control and delete their personal data. In addition, there are mandatory data breach notification requirements and significantly increased penalties of the greater of €20 million or 4% of global turnover for the preceding financial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2" w:name="page63"/>
    <w:bookmarkEnd w:id="62"/>
    <w:p>
      <w:pPr>
        <w:jc w:val="both"/>
        <w:ind w:firstLine="644"/>
        <w:spacing w:after="0" w:line="242" w:lineRule="auto"/>
        <w:rPr>
          <w:sz w:val="20"/>
          <w:szCs w:val="20"/>
          <w:color w:val="auto"/>
        </w:rPr>
      </w:pPr>
      <w:r>
        <w:rPr>
          <w:rFonts w:ascii="Arial" w:cs="Arial" w:eastAsia="Arial" w:hAnsi="Arial"/>
          <w:sz w:val="18"/>
          <w:szCs w:val="18"/>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(“Schrems II” decision). To the extent that we or our service providers were to rely on the EU-U.S. Privacy Shield Framework, we may not be able to do so in the future, which could increase our costs and limit our ability to process personal data from the European Union. The Schrems II decision also cast doubt on the ability to use one of the primary alternatives to the Privacy Shield, namely, the European Commission’s Standard Contractual Clauses, to lawfully transfer personal data from Europe to the United States and most other countries. In November 2020, the European Commission released a draft of revised Standard Contractual Clauses, and, in January 2021, the European Data Protection Board and the European Data Protection Supervisor issued a joint opinion regarding these revised Standard Contractual Clauses. These revised Standard Contractual Clauses and related developments, opinions, and guidance from European regulators may significantly increase our liability under, and compliance costs related to, cross-border data transfers and the GDPR, and may impact our ability to operate and deliver services in the European Economic Area.</w:t>
      </w:r>
    </w:p>
    <w:p>
      <w:pPr>
        <w:spacing w:after="0" w:line="130"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Following its exit from the European Union in January 2020, the United Kingdom implemented legislation referred to as the “UK-GDPR” which substantially aligns with requirements and penalties under the EU GDPR. We may face similar costs, risks, and operational impacts in complying with the UK-GDPR as we face in complying with the EU GDPR.</w:t>
      </w:r>
    </w:p>
    <w:p>
      <w:pPr>
        <w:spacing w:after="0" w:line="10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and laws in this area are also under reform. In the European Union, current national laws that implement the ePrivacy Directive will be replaced by an EU regulation known as the ePrivacy Regulation. The draft ePrivacy Regulation retains existing informed consent conditions and also imposes the strict opt-in marketing rules on direct marketing that is “presented” on a web page rather than sent by email, alters rules on third-party cookies and similar technology and significantly increases penalties for breach of the rules. Regulation of cookies and similar technologies may lead to broader restrictions on our marketing and personalization activities and may negatively impact the effectiveness of our marketing. Such regulations may also increase regulatory scrutiny and increase potential civil liability under data protection or consumer protection laws. The ePrivacy Regulations draft also advocates the development of browsers that block cookies by default. These developments could impair our ability to collect user information, including personal data and usage information, that helps us provide more targeted advertising to our current and prospective users, which could adversely affect our business, given our use of cookies and similar technologies to target our marketing and personalize the user experience. We may incur liabilities, expenses, costs, and other operational losses under GDPR and applicable EU Member States and the U.K. privacy laws in connection with any measures we take to comply with them.</w:t>
      </w:r>
    </w:p>
    <w:p>
      <w:pPr>
        <w:spacing w:after="0" w:line="124"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As interpretation of both the ePrivacy Regulation and GDPR develop, we could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3" w:name="page64"/>
    <w:bookmarkEnd w:id="63"/>
    <w:p>
      <w:pPr>
        <w:jc w:val="both"/>
        <w:ind w:firstLine="644"/>
        <w:spacing w:after="0" w:line="242" w:lineRule="auto"/>
        <w:rPr>
          <w:sz w:val="20"/>
          <w:szCs w:val="20"/>
          <w:color w:val="auto"/>
        </w:rPr>
      </w:pPr>
      <w:r>
        <w:rPr>
          <w:rFonts w:ascii="Arial" w:cs="Arial" w:eastAsia="Arial" w:hAnsi="Arial"/>
          <w:sz w:val="18"/>
          <w:szCs w:val="18"/>
          <w:color w:val="auto"/>
        </w:rPr>
        <w:t>In the United States, federal and various state governments have adopted or are considering, laws, guidelines or rules for the collection, distribution, use and storage of information collected from or about users or their devices. For example, California passed the California Consumer Privacy Act (the “CCPA”), which became effective on January 1, 2020 and introduced substantial changes to privacy law for businesses that collect personal information from California residents.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And on November 3, 2020, California passed the California Privacy Rights Act (the “CPRA”). The CPRA, which will not be fully in effect until January 1, 2023, amends and expands the CCPA, including the introduction of sensitive personal information as a new regulated dataset in California that is subject to new disclosure and purpose limitation requirements. Additionally, the Virginia Consumer Data Protection Act (the “VCDPA”) will become effective on January 1, 2023. The Colorado Privacy Act and the Connecticut Data Privacy Act will become effective on July 1, 2023, and the Utah Consumer Privacy Act will become effective on December 31, 2023. Other states may decide to adopt similar laws in the future. Additionally, the U.S. Federal Trade Commission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43"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In September 2021 and November 2021, the People’s Republic of China made effective its new Data Security Law and Personal Information Protection Law, respectively. While there are many aspects of these laws that are still yet-to-be-defined, they impose complex and far-reaching requirements related to cybersecurity and the processing of personal data, both within China and extraterritorially. Potential penalties under the Personal Information Protection Law are severe, at up to the greater of 5% of global revenue or $7.7 million. The precise scope and impact of these laws is still unclear but they could significantly increase our compliance costs, cause us to suffer monetary penalties, or otherwise adversely impact our business and operations.</w:t>
      </w:r>
    </w:p>
    <w:p>
      <w:pPr>
        <w:spacing w:after="0" w:line="136"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Many data protection regimes apply based on where a user is located, and as we expand our platform and new laws are enacted or existing laws change, we may be subject to new laws, regulations or standards or new interpretations of existing laws, regulations or standards, including those in the areas of data security, data privacy and regulation of email providers and those that require localization of certain data, which could require us to incur additional costs and restrict our business operations. Any failure or perceived failure by us to comply with rapidly evolving privacy or security laws policies (including our own stated privacy policies), legal obligations or industry standards or any security incident that results in the unauthorized release or transfer of personally identifiable information or other user data may result in governmental enforcement actions, litigation (including user class actions), fines and penalties or adverse publicity and could cause our users to lose trust in us, which could have a material adverse effect on our business, results of operations, financial condition, and prospects.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71"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ecommerce, internet advertising and price display, consumer protection, anti-corruption, economic and trade sanctions, tax, payments,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services, limit marketing methods and capabilities, affect our margins, increase costs or subject us to additional liabilities. For example, as a result of the initial outbreak of COVID-19, consumer protection authorities demanded rapid and decisive changes in the way that Wish screens and handles product listings that potentially violate various laws, including emergency price caps on certain items. We believe we have legal grounds to satisfy current requests or prevail against associated fines and penalties, and we intend to vigorously defend such fines and penalties.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4" w:name="page65"/>
    <w:bookmarkEnd w:id="64"/>
    <w:p>
      <w:pPr>
        <w:jc w:val="both"/>
        <w:ind w:firstLine="644"/>
        <w:spacing w:after="0" w:line="241" w:lineRule="auto"/>
        <w:rPr>
          <w:sz w:val="20"/>
          <w:szCs w:val="20"/>
          <w:color w:val="auto"/>
        </w:rPr>
      </w:pPr>
      <w:r>
        <w:rPr>
          <w:rFonts w:ascii="Arial" w:cs="Arial" w:eastAsia="Arial" w:hAnsi="Arial"/>
          <w:sz w:val="18"/>
          <w:szCs w:val="18"/>
          <w:color w:val="auto"/>
        </w:rPr>
        <w:t>Additionally, there are, and will likely continue to be, an increasing number of laws and regulations pertaining to the internet and ecommerce that may relate to liability for information retrieved from or transmitted over the internet, display of certain taxes and fees, online editorial and user-generated content, user privacy, data security, network and information systems security, behavioral targeting and online advertising, taxation, liability for third-party activities, quality of services and consumer protection. For example, the European Digital Services Act (DSA) which is expected to take effect in or about early 2024, intends to impose new legal obligations on online marketplaces operating in Europe in terms of both verifying and ensuring the accuracy and disclosure of required information, as well as the safety and authenticity of products posted by third-party merchants. The DSA also updates the responsibilities and liabilities of digital online services, such as the rules on illegal content, notice-and-takedown, and online targeted advertising, bringing new powers to fine in-scope eligible companies up to 6% of their global annual turnover. In addition, the European Union’s Market Surveillance Regulation, which took effect in July 2021, placed new obligations on online marketplaces that perform certain “fulfilment service provider” activities in Europe and was designed to reduce the availability of non-compliant products in Europe when offered by sellers outside of the region that either had or did not have an appointed authorized product compliance representative in Europe. Denmark has passed a law placing new burdens on marketplaces and giving its regulators the right to request fines and shutdowns where marketplaces are consistently unsuccessful in screening products that are unsafe or unlawful. Furthermore, the growth and development of ecommerce may prompt calls for more stringent consumer protection laws and more aggressive enforcement efforts, which may impose additional burdens on online businesses generally. For instance, based upon the results of the EU-wide screening of online reviews that triggered doubts about the validity of the reviews, amendments to the EU’s Unfair Commercial Practices Directive that took effect on May 28, 2022 mandated additional obligations on online platforms and marketplaces that host user-customer reviews regarding third-party products. Such new obligations created greater disclosure, transparency, reactionary reporting, and policy enforcement requirements on online platforms and marketplaces in the area of user reviews, designed to prevent the risks of the reviews being fake, false, or misleading.</w:t>
      </w:r>
    </w:p>
    <w:p>
      <w:pPr>
        <w:spacing w:after="0" w:line="150"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Likewise, the Securities and Exchange Commission (the “SEC”), the U.S. Department of Justice, the U.S. Treasury Department’s Office of Foreign Assets Controls, the U.S. Department of State, as well as other foreign regulatory authorities continue to enforce economic and trade regulations and anti-corruption laws, across industries as well as certain regions. U.S. trade sanctions relate to transactions with designated foreign countries and territories, including Cuba, Iran, North Korea, Syria, the Crimea and recently annexed Luhansk and Donetsk regions of Ukraine, as well as specifically targeted individuals and entities that are identified on United States’ and other blacklists, and those owned by them or those acting on their behalf. Further, In February 2022, following Russia’s invasion of Ukraine, the U.S. and other countries announced sanctions against Russia. The U.S. and other countries could impose wider sanctions and take other actions should the conflict further escalate. While it is difficult to anticipate the impact the sanctions announced to date may have on the Company, any further sanctions imposed or actions taken by the U.S. or other countries, and any retaliatory measures by Russia in response, could have an adverse effect on our business. We have established a trade and screening compliance program designed to increase our compliance with these economic and trade restrictions, as well as export and import control regimes. However, these laws and regulations are complex and subject to frequent change, including with respect to jurisdictional reach and the lists of countries, entities, individuals and technologies subject to sanctions and other regulatory controls, including direct and indirect obligations around Know-Your-Customer and Know-Your-Business type screening for online marketplace platforms. For example, on June 21, 2022, the Uyghur Forced Labor Prevention Act (UFLPA) went into effect in the US. This law, among other things,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United States. We may incur significant costs related to current, new or changing sanctions, embargoes, export controls programs or other restrictions and disclosure requirements, as well as negative publicity, investigations, fines, fees or settlements, which may be difficult to predict. We also could face increased compliance costs and risks as our merchant-base and logistics offerings expand globally and into additional business areas, such as within South East Asia.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5" w:name="page66"/>
    <w:bookmarkEnd w:id="65"/>
    <w:p>
      <w:pPr>
        <w:jc w:val="both"/>
        <w:ind w:firstLine="644"/>
        <w:spacing w:after="0" w:line="246" w:lineRule="auto"/>
        <w:rPr>
          <w:sz w:val="20"/>
          <w:szCs w:val="20"/>
          <w:color w:val="auto"/>
        </w:rPr>
      </w:pPr>
      <w:r>
        <w:rPr>
          <w:rFonts w:ascii="Arial" w:cs="Arial" w:eastAsia="Arial" w:hAnsi="Arial"/>
          <w:sz w:val="18"/>
          <w:szCs w:val="18"/>
          <w:color w:val="auto"/>
        </w:rPr>
        <w:t>Anti-corruption laws, including the U.S. Foreign Corrupt Practices Act and the U.K. Bribery Act, generally prohibit direct or indirect corrupt payments to government officials and, under certain laws, to private persons to obtain or retain business or an improper business advantage. Similarly, global anti-money laundering laws and regulations generally prohibit exchanging money or assets that were obtained criminally for money or other assets that are clean, including money that is used to fund terrorism, howsoever obtained. Although we have policies and procedures in place designed to promote compliance with these laws and regulations, our employees, partners, or agents could take actions in contravention of our policies and procedures or violate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2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Additionally, the law relating to liability of online service providers is currently unsettled at both a national and global level. Lawmakers and governmental agencies have in the past and could in the future require changes in the way our business is conducted, including with explicit obligations to inspect and screen content and products or implicit obligations that might stem from increased legal liability for online service providers, including online marking and labeling requirements.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increase our cost of doing business, require us to change our business practices in a manner materially adverse to our business, damage our reputation, impede our growth, or otherwise have a material effect on our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adequately.</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Our intellectual property is an essential asset of our business, and our success is dependent, in part, upon protecting our intellectual property. To establish and protect our intellectual property rights, we rely on a combination of trade secret, copyright, trademark and, to a lesser extent, patent laws, as well as confidentiality protection procedures and contractual provisions. The efforts we have taken to protect our intellectual property may not be sufficient or effective. We generally do not elect to register our copyrights, relying instead on the laws protecting unregistered intellectual property, which may not be sufficient. We rely on both registered and unregistered trademarks, which may not always be comprehensive in scope. In addition, our copyrights and trademarks, whether or not registered, and patents may be held invalid or unenforceable if challenged and may be of limited territorial reach.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and any changes in the law could make it harder for us to enforce our rights. While we have obtained or applied for patent protection with respect to some of our intellectual property, we generally do not rely on patents as a principal means of protecting intellectual property. We make business decisions about when to seek patent protection for a particular technology and when to rely upon trade secret protection, and the approach we select may ultimately prove to be inadequate. To the extent we do seek patent protection, any U.S. or other patents issued to us may not be sufficiently broad to protect our proprietary technologies.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items listed on our platform are counterfeit, infringing or illegal, which may harm our business.</w:t>
      </w:r>
    </w:p>
    <w:p>
      <w:pPr>
        <w:spacing w:after="0" w:line="156"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We frequently receive communications alleging that items listed on our platform infringe third-party copyrights, trademarks, or other intellectual property rights. We have intellectual property complaint and take-down procedures in place to address these communications, and we believe such procedures are important to promote confidence in our platform and provide users reassurance in the products they are purchasing. We follow these procedures to review complaints and relevant facts to determine the appropriate action, which may include removal of the item from our platform and, in certain cases, prohibiting merchants from participating in our platform who repeatedly violate our policies.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6" w:name="page67"/>
    <w:bookmarkEnd w:id="66"/>
    <w:p>
      <w:pPr>
        <w:jc w:val="both"/>
        <w:ind w:firstLine="644"/>
        <w:spacing w:after="0" w:line="246" w:lineRule="auto"/>
        <w:rPr>
          <w:sz w:val="20"/>
          <w:szCs w:val="20"/>
          <w:color w:val="auto"/>
        </w:rPr>
      </w:pPr>
      <w:r>
        <w:rPr>
          <w:rFonts w:ascii="Arial" w:cs="Arial" w:eastAsia="Arial" w:hAnsi="Arial"/>
          <w:sz w:val="18"/>
          <w:szCs w:val="18"/>
          <w:color w:val="auto"/>
        </w:rPr>
        <w:t>Our procedures may not effectively reduce or eliminate our liability. In particular, we may be subject to civil or criminal liability for activities carried out by merchants on our platform, especially outside the United States where laws may offer less protection for intermediaries and platforms than the United States. Under current U.S. copyright law, we may benefit from statutory safe harbor provisions that protect us from copyright liability for content posted on our platform by our merchants and users. However, trademark and patent laws do not include similar statutory provisions, and liability for these forms of intellectual property is often determined by court decisions. These safe harbors and court rulings may change unfavorably. In that event, we may be held secondarily liable for the intellectual property infringement of merchants on our platform. We may also be directly liable for the inventory we purchase ourselves that we sell on our platform.</w:t>
      </w:r>
    </w:p>
    <w:p>
      <w:pPr>
        <w:spacing w:after="0" w:line="13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addition, allegations of infringement of intellectual property rights, including but not limited to counterfeit items, have resulted in actual litigation from time to time by rights owners against merchants. These and similar suits have resulted in the freezing of merchant accounts or the shutdown of merchant storefronts on our platform, which can adversely impact revenue in the short-term, and may require us to spend substantial resources to comply with court orders. We may also incur costs responding to subpoenas from governmental authorities regarding illegal or counterfeit products listed for sale on our platform. In addition, we may receive media attention relating to the listing or sale of illegal or counterfeit goods, which could damage our reputation, diminish the value of our brand, and make users and merchants reluctant to use our platform.</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Regardless of the validity of any claims made against us, we may incur significant costs and efforts to defend against or settle them.</w:t>
      </w:r>
    </w:p>
    <w:p>
      <w:pPr>
        <w:spacing w:after="0" w:line="158" w:lineRule="exact"/>
        <w:rPr>
          <w:sz w:val="20"/>
          <w:szCs w:val="20"/>
          <w:color w:val="auto"/>
        </w:rPr>
      </w:pPr>
    </w:p>
    <w:p>
      <w:pPr>
        <w:jc w:val="both"/>
        <w:ind w:right="20" w:firstLine="644"/>
        <w:spacing w:after="0" w:line="261" w:lineRule="auto"/>
        <w:rPr>
          <w:sz w:val="20"/>
          <w:szCs w:val="20"/>
          <w:color w:val="auto"/>
        </w:rPr>
      </w:pPr>
      <w:r>
        <w:rPr>
          <w:rFonts w:ascii="Arial" w:cs="Arial" w:eastAsia="Arial" w:hAnsi="Arial"/>
          <w:sz w:val="18"/>
          <w:szCs w:val="18"/>
          <w:color w:val="auto"/>
        </w:rPr>
        <w:t>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to protect our rights.</w:t>
      </w:r>
    </w:p>
    <w:p>
      <w:pPr>
        <w:spacing w:after="0" w:line="11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intellectual property claims, which are extremely costly to defend, could require us to pay significant damages and could limit our ability to use certain technologies in the future.</w:t>
      </w:r>
    </w:p>
    <w:p>
      <w:pPr>
        <w:spacing w:after="0" w:line="99"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Companies in the internet and technology industries are frequently subject to litigation based on allegations of infringement or other violations of intellectual property rights. We periodically receive communications that claim we have infringed, misappropriated or misused others’ intellectual property rights. To the extent we gain greater public recognition, we may face a higher risk of being the subject of intellectual property claims. Third parties may have intellectual property rights that cover significant aspects of our technologies or business methods and prevent us from expanding our offerings. Any intellectual property claim against us, with or without merit, could be time consuming and expensive to settle or litigate and could divert the attention of our management. Litigation regarding intellectual property rights is inherently uncertain due to the complex issues involved, and we may not be successful in defending ourselves in such matters.</w:t>
      </w:r>
    </w:p>
    <w:p>
      <w:pPr>
        <w:spacing w:after="0" w:line="14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addition, some of our competitors have extensive portfolios of issued patents.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of our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7" w:name="page68"/>
    <w:bookmarkEnd w:id="67"/>
    <w:p>
      <w:pPr>
        <w:jc w:val="both"/>
        <w:ind w:firstLine="644"/>
        <w:spacing w:after="0" w:line="244" w:lineRule="auto"/>
        <w:rPr>
          <w:sz w:val="20"/>
          <w:szCs w:val="20"/>
          <w:color w:val="auto"/>
        </w:rPr>
      </w:pPr>
      <w:r>
        <w:rPr>
          <w:rFonts w:ascii="Arial" w:cs="Arial" w:eastAsia="Arial" w:hAnsi="Arial"/>
          <w:sz w:val="18"/>
          <w:szCs w:val="18"/>
          <w:color w:val="auto"/>
        </w:rPr>
        <w:t>Many potential litigants, including some of our competitors and patent holding companies, have the ability to dedicate substantial resources to enforcing their intellectual property rights. Moreover, our patents may provide little or no deterrence in litigation involving patent holding companies or other adverse patent owners that have no relevant product revenue. Any claims successfully brought against us could subject us to significant liability for damages and we may be required to stop using technology or other intellectual property alleged to be in violation of a third-party’s rights in jurisdictions where we do business. We also might be required to enter into costly settlement agreements or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highly complex and may contain undetected errors.</w:t>
      </w:r>
    </w:p>
    <w:p>
      <w:pPr>
        <w:spacing w:after="0" w:line="16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software and code underlying our platform is highly interconnected and complex and may contain undetected errors or vulnerabilities, some of which may only be discovered after the code has been released. We typically release software code daily and this practice may result in the more frequent introduction of errors or vulnerabilities into the software underlying our platform, which can impact the user and merchant experience on our platform. Additionally, due to the interconnected nature of the software underlying our platform, updates to certain parts of our code, including changes to our website or mobile app or third-party APIs on which our website and mobile app rely, could have an unintended impact on other sections of our code, which may result in errors or vulnerabilities to our platform. Any errors or vulnerabilities discovered in our code after release could result in damage to our reputation, loss of our merchants or users, loss of revenue, or liability for damages, any of which could adversely affect our growth prospects and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69"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We use open source software in our proprietary software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or remove, the implicated open source software. Our use of open source software may also present additional security risks because the source code for open source software is publicly available, which may make it easier for hackers and other third parties to determine how to breach our website and systems that rely on open source software. Any of these risks could be difficult to eliminate or manage, and, if not addressed, could have a material adverse effect on our business, results of operations, financial condition,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Taxes and Financial Position</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and our merchants and users may be subject to sales and other taxes and these taxes may negatively impact our revenue and growth.</w:t>
      </w:r>
    </w:p>
    <w:p>
      <w:pPr>
        <w:spacing w:after="0" w:line="85"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The application of indirect taxes, such as sales and use tax, value-added tax, provincial taxes, goods and services tax, business tax and gross receipt tax to our business and to our merchants is a complex and evolving issue. In addition, governments are increasingly looking for ways to increase revenue, which has resulted in discussions about new legislative action to increase tax revenue, including through indirect taxes.</w:t>
      </w:r>
    </w:p>
    <w:p>
      <w:pPr>
        <w:spacing w:after="0" w:line="13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Significant judgment and expertise is required to evaluate applicable tax obligations. As a result, amounts recognized may be subject to adjustments by the relevant tax authorities. In many cases, the ultimate tax determination is uncertain because it is not clear how new and existing statutes might apply to our business or to the businesses of our merchants. One or more states, the federal government or other countries may seek to impose additional reporting, recordkeeping or indirect tax collection obligations on businesses like ours that facilitate ecommerce.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8" w:name="page69"/>
    <w:bookmarkEnd w:id="68"/>
    <w:p>
      <w:pPr>
        <w:jc w:val="both"/>
        <w:ind w:firstLine="644"/>
        <w:spacing w:after="0" w:line="251" w:lineRule="auto"/>
        <w:rPr>
          <w:sz w:val="20"/>
          <w:szCs w:val="20"/>
          <w:color w:val="auto"/>
        </w:rPr>
      </w:pPr>
      <w:r>
        <w:rPr>
          <w:rFonts w:ascii="Arial" w:cs="Arial" w:eastAsia="Arial" w:hAnsi="Arial"/>
          <w:sz w:val="18"/>
          <w:szCs w:val="18"/>
          <w:color w:val="auto"/>
        </w:rPr>
        <w:t>State and local taxing authorities in the United States have identified ecommerce platforms as a means to calculate, collect and remit indirect taxes for transactions taking place over the internet. U.S. states began enacting related legislation with effective dates in early 2018 and in June 2018, the U.S. Supreme Court held in South Dakota v. Wayfair that a U.S. state may require an ecommerce platform to collect sales taxes imposed by the state in which the buyer is located, even if the retailer has no physical presence in that state, thus permitting a wider enforcement of such sales tax collection requirements. All U.S. states have since followed suit in enacting similar legislation.</w:t>
      </w:r>
    </w:p>
    <w:p>
      <w:pPr>
        <w:spacing w:after="0" w:line="119"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Outside of the United States, the application of value added tax or other indirect taxes on ecommerce providers continues to evolve. An increasing number of jurisdictions are legislating or have adopted laws that impose new taxes, including revenue-based taxes that target ecommerce and the remote selling of goods. These laws include new obligations to collect sales, consumption, value added, or similar taxes on ecommerce platform and remote sellers, or other requirements that may result in liability for third-party obligations. As a result of Brexit, the U.K. began imposing value added tax on ecommerce platform effective January 2021, and the European Union abolished its low value goods exemption effective July 2021 and require online marketplace facilitators to collect and remit value added tax. Our business could be adversely affected by additional taxes that focus on marketplace service revenue.</w:t>
      </w:r>
    </w:p>
    <w:p>
      <w:pPr>
        <w:spacing w:after="0" w:line="12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Additionally, existing and new tax laws and legislation could require us or our merchants to incur substantial costs in order to comply, including costs associated with legal advice, tax calculation, collection, remittance and audit requirements, which could make selling in such markets less attractive and could adversely affect our business. Further, these laws can be applied prospectively or retroactively. Noncompliance with new laws may result in fines or penalties. It is possible we may not have sufficient notice to create and adopt processes to properly comply with new reporting or collection obligations by the effective date.</w:t>
      </w:r>
    </w:p>
    <w:p>
      <w:pPr>
        <w:spacing w:after="0" w:line="13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results of operations and cash flows could be adversely affected by additional taxes or increasing taxes of this nature imposed on us prospectively or retroactively, or additional taxes or penalties resulting from the failure to comply with any collection obligations or failure to provide information about our users, merchants or other third parties for tax reporting purposes to various government agencies.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various tax related obligations.</w:t>
      </w:r>
    </w:p>
    <w:p>
      <w:pPr>
        <w:spacing w:after="0" w:line="15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are subject to various taxes in the United States and in many other jurisdictions. We record these taxes based on current tax payment calculations and estimates of tax liabilities, which may include estimates of probable settlements of tax audits. The determination of these liabilities requires estimation and significant judgment and the ultimate determination is uncertain. At any time, multiple tax years could be subject to audit by various taxing jurisdictions. As a result, we could be subject to higher than anticipated tax liabilities as well as ongoing variability in our quarterly tax rates related to potential audits and as exposures are re-evaluated. While we have estimated accruals that we believe are reasonable to cover potential exposures, the reserves may ultimately not be sufficient and additional cash outflows may result. Fluctuations in our tax obligations could adversely affect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9" w:name="page70"/>
    <w:bookmarkEnd w:id="69"/>
    <w:p>
      <w:pPr>
        <w:jc w:val="both"/>
        <w:spacing w:after="0" w:line="294"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carryforwards, and other tax attributes, which could adversely affect our profitability.</w:t>
      </w:r>
    </w:p>
    <w:p>
      <w:pPr>
        <w:spacing w:after="0" w:line="71"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8"/>
          <w:szCs w:val="18"/>
          <w:color w:val="auto"/>
        </w:rPr>
        <w:t>As of December 31, 2021, we had federal net operating loss carryforwards (“NOLs”) available to reduce future taxable income, if any, of $886 million that begin to expire in 2030 and continue to expire through 2037 and $ 1.3 billion that have an unlimited carryover period. As of December 31, 2021, we had state NOLs available to reduce future taxable income, if any, of $4.3 billion that begin to expire in 2026 and continue to expire through 2041 and $1.3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2021, is limited to 80% of taxable income. It is uncertain if and to what extent various states will conform to the Tax Act or the CARES Act. In addition, the utilization of NOLs and other tax attributes to offset future taxable income or taxes may be subject to limitations under Sections 382 and 383 of the Internal Revenue Code of 1986, as amended (the “Code”), and similar state statutes as a result of ownership changes that have occurred or could occur in the future. Additionally, portions of these NOLs could expire unused and be unavailable to offset future income tax liabilities. In addition, at the state level, there may be periods during which the use of net operating losses is suspended or otherwise limited. For example, California recently imposed limits on the usability of California state NOLs to offset taxable income in tax years beginning after 2019 and before 2023. As a result, even if we attain profitability, we may be unable to use a material portion of our NOLs and other tax attributes, which could adversely affect our future cash flows, which could adversely affect our profitability.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which may not be available to us on acceptable terms or at all.</w:t>
      </w:r>
    </w:p>
    <w:p>
      <w:pPr>
        <w:spacing w:after="0" w:line="156"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We believe that our existing cash, cash equivalents and marketable securities, together with cash generated from our operations, will be enough to meet our anticipated cash needs for at least the next 12 months. However, we may require additional cash resources due to changes in business conditions or other developments, such as acquisitions or investments we may decide to pursue. Any debt financing that we may secure in the future could result in additional operating and financial covenants that would limit or restrict our ability to take certain actions, such as incurring additional debt, making capital expenditures or declaring dividends. It is also possible that financing may not be available to us in amounts or on terms acceptable to us, if at 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Class A Common Stock</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Global Select Market and Nasdaq could delist our common stock.*</w:t>
      </w:r>
    </w:p>
    <w:p>
      <w:pPr>
        <w:spacing w:after="0" w:line="99"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Our common stock is listed on the Nasdaq Global Select Market and, in order to maintain that listing, we must satisfy minimum financial and other continued listing requirements and standards. On October 28, 2022, we received written notice (the “Notice”) from The Nasdaq Stock Market LLC (“Nasdaq”) indicating that, for the last 30 consecutive business days, the bid price of our common stock closed below the $ 1.00 per share minimum bid price requirement for continued listing on the Nasdaq Global Select Market pursuant to Nasdaq Listing Rule 5450(a)(1) (the “Minimum Bid Price Requirement”).</w:t>
      </w:r>
    </w:p>
    <w:p>
      <w:pPr>
        <w:spacing w:after="0" w:line="123" w:lineRule="exact"/>
        <w:rPr>
          <w:sz w:val="20"/>
          <w:szCs w:val="20"/>
          <w:color w:val="auto"/>
        </w:rPr>
      </w:pPr>
    </w:p>
    <w:p>
      <w:pPr>
        <w:jc w:val="both"/>
        <w:ind w:firstLine="599"/>
        <w:spacing w:after="0" w:line="261" w:lineRule="auto"/>
        <w:rPr>
          <w:sz w:val="20"/>
          <w:szCs w:val="20"/>
          <w:color w:val="auto"/>
        </w:rPr>
      </w:pPr>
      <w:r>
        <w:rPr>
          <w:rFonts w:ascii="Arial" w:cs="Arial" w:eastAsia="Arial" w:hAnsi="Arial"/>
          <w:sz w:val="18"/>
          <w:szCs w:val="18"/>
          <w:color w:val="auto"/>
        </w:rPr>
        <w:t>In accordance with Nasdaq Listing Rule 5810(c)(3)(A), if during the 180 calendar day period following the date of the Notice the closing bid price of our common stock is at or above $1.00 for a minimum of 10 consecutive business days, we will regain compliance with the Minimum Bid Price Requirement and our common stock will continue to be eligible for listing on the Nasdaq Global Select Market.</w:t>
      </w:r>
    </w:p>
    <w:p>
      <w:pPr>
        <w:spacing w:after="0" w:line="108"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18"/>
          <w:szCs w:val="18"/>
          <w:color w:val="auto"/>
        </w:rPr>
        <w:t>If we do not regain compliance within the 180 calendar day period, we may qualify for an additional 180 calendar day compliance period if we transfer the listing of our common stock to the Nasdaq Capital Market and meet certain requirements. If we do not qualify for, or fail to regain, compliance during the second compliance period, then our common stock will be subject to delisting, at which point we may appeal Nasdaq’s delisting determination to a Nasdaq Listing Qualifications Hearings Panel.</w:t>
      </w:r>
    </w:p>
    <w:p>
      <w:pPr>
        <w:spacing w:after="0" w:line="130"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In the event that our common stock is not eligible for continued listing on Nasdaq or another national securities exchange, it could become more difficult to dispose of, or obtain accurate price quotations for, our common stock, and there would likely also be a reduction in our coverage by security analysts and the news media, which could cause the price of our common stock to decline further.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70" w:name="page71"/>
    <w:bookmarkEnd w:id="70"/>
    <w:p>
      <w:pPr>
        <w:jc w:val="both"/>
        <w:ind w:firstLine="599"/>
        <w:spacing w:after="0" w:line="246" w:lineRule="auto"/>
        <w:rPr>
          <w:sz w:val="20"/>
          <w:szCs w:val="20"/>
          <w:color w:val="auto"/>
        </w:rPr>
      </w:pPr>
      <w:r>
        <w:rPr>
          <w:rFonts w:ascii="Arial" w:cs="Arial" w:eastAsia="Arial" w:hAnsi="Arial"/>
          <w:sz w:val="18"/>
          <w:szCs w:val="18"/>
          <w:color w:val="auto"/>
        </w:rPr>
        <w:t>We intend to actively monitor the closing bid price of our common stock and will consider all available options to regain compliance with the Minimum Bid Price Requirement, which may include seeking stockholder approval to effect a reverse stock split. However, there can be no assurance that the reverse stock split would be approved by our shareholders. Additionally, there can be no assurance that the market price per new share of our common stock after the reverse stock split will remain unchanged or increase in proportion to the reduction in the number of old shares of our common stock outstanding before the reverse stock split. Further, even if the reverse stock split is approved by our shareholders, there can be no assurance that the Company will be able to regain compliance with the Minimum Bid Price Requirement or will otherwise be in compliance with other Nasdaq listing rules.</w:t>
      </w:r>
    </w:p>
    <w:p>
      <w:pPr>
        <w:spacing w:after="0" w:line="13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price of our Class A common stock has been and continues to be volatile. Declines in the price of our Class A common stock has resulted in and could subject us to future litigation.</w:t>
      </w:r>
    </w:p>
    <w:p>
      <w:pPr>
        <w:spacing w:after="0" w:line="85"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Prior to our IPO in December 2020, there was no public market for our Class A common stock. If trading in our Class A common stock is not active, investors and other stockholders may not be able to sell their shares quickly, at the market price or at all. In addition, the market price of our Class A common stock has fluctuated and declined and may continue to fluctuate or decline substantially. Further, the trading prices of the securities of technology companies have historically been highly volatile. Accordingly, the price of our Class A common stock has been subject to wide fluctuations and could continue to be subject to wide fluctuations for many reasons, many of which are beyond our control, including those described in this “Risk Factors” section and others such as:</w:t>
      </w:r>
    </w:p>
    <w:p>
      <w:pPr>
        <w:spacing w:after="0" w:line="67" w:lineRule="exact"/>
        <w:rPr>
          <w:sz w:val="20"/>
          <w:szCs w:val="20"/>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operating results and other financial and operational metrics, including the key financial and operating metrics disclosed in this report, as well as how those results and metrics compare to analyst and investor expectations;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about our operating results in the absence of our own financial projections;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analysts to initiate or maintain coverage of our company, changes in their estimates of our operating results or changes in recommendations by analysts that follow our Class A common stock;</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new services or enhancements, strategic alliances or significant agreements or other developments by us or our competitors;</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mergers or acquisitions or rumors of such transactions involving us or our competitors;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senior management or other key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in our platform due to hardware, software or network problems, security breaches or other issues;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the global economy or the economy in the jurisdictions in which we operate, and market conditions in our industry and those affecting our merchants and users;</w:t>
      </w:r>
    </w:p>
    <w:p>
      <w:pPr>
        <w:spacing w:after="0" w:line="3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our principal stockholders and other market participants, in whom ownership of our Class A common stock may be concentrated following our IPO;</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legal or regulatory requirements relating to our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against us;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conversion and subsequent sale of Class B common stock held by our founder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our Class A common stock that are available for public trading;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report.</w:t>
      </w:r>
    </w:p>
    <w:p>
      <w:pPr>
        <w:spacing w:after="0" w:line="157"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price of our Class A common stock could decline for reasons unrelated to our business, results of operations or financial condition. The price of our Class A common stock might also decline in reaction to events that affect other companies, even if those events do not directly affect us. We have been named in lawsuits and may be subject to both ongoing litigation and other requests related to our stock price/performance and/or Board performance and independence. This could result in securities litigation. If we are the subject of additional securities class actions, it could result in substantial costs and could divert our management’s attention and resources, which could adversely affect our business. Additionally, the price of our Class A common stock may be volatile and may decline regardless of our operating performance and you may lose all or part of your investment.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outlook.</w:t>
      </w:r>
    </w:p>
    <w:p>
      <w:pPr>
        <w:spacing w:after="0" w:line="169"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From time to time, we release outlook (or guidance) in our quarterly earnings conference calls, quarterly earnings releases, or otherwise, regarding our future financial performance that represents our management’s estimates as of the date of release. This outlook, which includes forward-looking statements, is based on projections prepared by our management. This outlook is not prepared with a view toward compliance with published guidelines of the American Institute of Certified Public Accountants (AICPA) regarding projections or the SEC regarding forward-looking statements, and neither our independent registered public accounting firm nor any other independent expert or outside party compiles or examines the projections. Accordingly, no such person will express any opinion or any other form of assurance with respect to the projections.</w:t>
      </w:r>
    </w:p>
    <w:p>
      <w:pPr>
        <w:spacing w:after="0" w:line="12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industry, economic and competitive uncertainties and contingencies, many of which are beyond our control and are based upon specific assumptions with respect to future business decisions, some of which will change. The principal reason that we release outlook is to provide a basis for our management to discuss our business expectations with analysts and investors. We do not accept any responsibility for any projections or reports published by any such third parties.</w:t>
      </w:r>
    </w:p>
    <w:p>
      <w:pPr>
        <w:spacing w:after="0" w:line="123"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18"/>
          <w:szCs w:val="18"/>
          <w:color w:val="auto"/>
        </w:rPr>
        <w:t>Outlook is necessarily speculative in nature, and it can be expected that some or all of the assumptions underlying the outlook furnished by us will not materialize or will vary significantly from actual results. Accordingly, our outlook is only an estimate of what management believes is realizable as of the date of release. Actual results may vary and the variations may be material. We expressly disclaim any obligations to update or revise any outlook, whether as a result of new information, future events or otherwise, except as required by law. In light of the foregoing, investors are urged to put the outlook in context and not place undue reliance on it.</w:t>
      </w:r>
    </w:p>
    <w:p>
      <w:pPr>
        <w:spacing w:after="0" w:line="119"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Form 10-K could result in the actual operating results being different from our outlook, and the differences may be adverse and material.</w:t>
      </w:r>
    </w:p>
    <w:p>
      <w:pPr>
        <w:spacing w:after="0" w:line="11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beneficially own a substantial percentage of our stock and will be able to exert significant control over matters subject to stockholder approval.</w:t>
      </w:r>
    </w:p>
    <w:p>
      <w:pPr>
        <w:spacing w:after="0" w:line="9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Following the conversion as noted in Note 13 of Part I, Item 1 of this Quarterly Report on Form 10-Q, our directors, executive officers, greater than 5% stockholders and their respective affiliates held in the aggregate approximately 32% of the voting power of our outstanding capital stock as of August 9, 2022. Therefore, these stockholders will continue to have the ability to influence us through their ownership position, which may prevent or discourage unsolicited acquisition proposals or offers for our capital stock that other stockholders may feel are in their best interests.*</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Class A common stock could result in additional dilution to our stockholders and could cause the price of our Class A common stock to decline.</w:t>
      </w:r>
    </w:p>
    <w:p>
      <w:pPr>
        <w:spacing w:after="0" w:line="99"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We may issue additional Class A common stock, convertible securities or other equity. We also expect to issue Class A common stock to our employees, directors and other service providers pursuant to our equity incentive plans. Such issuances could be dilutive to investors and could cause the price of our Class A common stock to decline. New investors in such issuances could also receive rights senior to those of holders of our Class A common stock.</w:t>
      </w:r>
    </w:p>
    <w:p>
      <w:pPr>
        <w:spacing w:after="0" w:line="116"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price of our Class A common stock could decline if there are substantial sales of our Class A common stock, particularly sales by our directors, executive officers, employees, and significant stockholders, or when there is a large number of shares of our Class A common stock available for sale.</w:t>
      </w:r>
    </w:p>
    <w:p>
      <w:pPr>
        <w:spacing w:after="0" w:line="108"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market price of the shares of our Class A common stock could decline as a result of the sale of a substantial number of our shares of common stock in the public market or the perception in the market that the holders of a large number of shares intend to sell their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72" w:name="page73"/>
    <w:bookmarkEnd w:id="72"/>
    <w:p>
      <w:pPr>
        <w:jc w:val="both"/>
        <w:spacing w:after="0" w:line="29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could limit attempts to make changes in our management and could depress the price of our Class A common stock.*</w:t>
      </w:r>
    </w:p>
    <w:p>
      <w:pPr>
        <w:spacing w:after="0" w:line="7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in control of our company or limiting changes in our management. In August 2022, Piotr Szulczewski, our founder and member of our Board of Directors until his resignation in August 2022, converted all shares of Class B common stock he held into the same number of shares of Class A common stock. Immediately following such conversion, Mr. Szulczewski’s voting power decreased to approximately 8% of the voting power of our outstanding common stock (not including outstanding options that are immediately exercisable). Additionally, following such conversion the outstanding shares of our Class B common stock constituted less than 1% of our outstanding shares of our common stock. This resulted in all other shares of Class B common stock converting automatically into the same number of shares of Class A common stock. Among other things, the provisions in our certificate of incorporation and bylaws provide:</w:t>
      </w:r>
    </w:p>
    <w:p>
      <w:pPr>
        <w:spacing w:after="0" w:line="72" w:lineRule="exact"/>
        <w:rPr>
          <w:sz w:val="20"/>
          <w:szCs w:val="20"/>
          <w:color w:val="auto"/>
        </w:rPr>
      </w:pPr>
    </w:p>
    <w:p>
      <w:pPr>
        <w:ind w:left="1020" w:right="420" w:hanging="503"/>
        <w:spacing w:after="0" w:line="286"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conversion noted above, our Board of Directors became classified into three classes of directors with staggered three-year terms;</w:t>
      </w:r>
    </w:p>
    <w:p>
      <w:pPr>
        <w:spacing w:after="0" w:line="32" w:lineRule="exact"/>
        <w:rPr>
          <w:rFonts w:ascii="Times New Roman" w:cs="Times New Roman" w:eastAsia="Times New Roman" w:hAnsi="Times New Roman"/>
          <w:sz w:val="18"/>
          <w:szCs w:val="18"/>
          <w:color w:val="auto"/>
        </w:rPr>
      </w:pPr>
    </w:p>
    <w:p>
      <w:pPr>
        <w:ind w:left="1020" w:right="80" w:hanging="503"/>
        <w:spacing w:after="0" w:line="26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conversion noted above, directors are now able to be removed only for cause and only by the affirmative vote of the holders of at least two-thirds of the voting power of our common stock. Vacancies on our Board of Directors will be able to be filled only by our Board of Directors and not by stockholders;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certain amendments to our certificate of incorporation or bylaws will require the approval of two-thirds of our common stock;</w:t>
      </w:r>
    </w:p>
    <w:p>
      <w:pPr>
        <w:spacing w:after="0" w:line="102" w:lineRule="exact"/>
        <w:rPr>
          <w:rFonts w:ascii="Times New Roman" w:cs="Times New Roman" w:eastAsia="Times New Roman" w:hAnsi="Times New Roman"/>
          <w:sz w:val="18"/>
          <w:szCs w:val="18"/>
          <w:color w:val="auto"/>
        </w:rPr>
      </w:pPr>
    </w:p>
    <w:p>
      <w:pPr>
        <w:ind w:left="1020" w:right="180" w:hanging="503"/>
        <w:spacing w:after="0" w:line="286"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32"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conversion noted above, our stockholders are now only able to take action at a meeting of stockholders and not by written consent;</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may not call special meetings of the stockholders;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expressly authorized to amend or repeal any provision of our bylaws;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that the forum for certain litigation against us must be Delaware or the U.S. federal district courts; and</w:t>
      </w:r>
    </w:p>
    <w:p>
      <w:pPr>
        <w:spacing w:after="0" w:line="11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00"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These provisions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73" w:name="page74"/>
    <w:bookmarkEnd w:id="73"/>
    <w:p>
      <w:pPr>
        <w:jc w:val="both"/>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98"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p>
    <w:p>
      <w:pPr>
        <w:spacing w:after="0" w:line="13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23"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spacing w:after="0" w:line="11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increases in the value of our Class A common stock.</w:t>
      </w:r>
    </w:p>
    <w:p>
      <w:pPr>
        <w:spacing w:after="0" w:line="9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the terms of our Revolving Credit Facility contain, and any future credit facility or financing we obtain may contain, terms prohibiting or limiting the amount of dividends that may be declared or paid on our common stock. Any return to stockholders will therefore be limited to increases in the price of our Class A common stock, if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operating results may fluctuate, which could cause our stock price to decline.</w:t>
      </w:r>
    </w:p>
    <w:p>
      <w:pPr>
        <w:spacing w:after="0" w:line="156"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Our quarterly and annual operating results may fluctuate for a variety of reasons, many of which are beyond our control. These reasons include those described in this “Risk Factors” section as well as the following:</w:t>
      </w:r>
    </w:p>
    <w:p>
      <w:pPr>
        <w:spacing w:after="0" w:line="59"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our sales and marketing costs;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user acquisition strategies;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traffic on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selling prices on our platform and the percentage of revenue we retain from the sale of products;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mix of products listed on our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fraud, including the sale of counterfeit goods, and refunds, including our response to these areas;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impact from COVID-19, including the effects of phasing out of governmental measures, decreased online activity, and phasing out of government stimulus programs;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merchant advertising on our platform;</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in supply or shipment of products listed on our platform, especially from China where most of our merchants are currently located;</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app stores and advertising platforms such as Facebook and Google;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seasonality;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exchange rates;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our other operating expenses;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expiration of expiration of contractual lock-up agreements and market standoff agreements;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competitive developments and our response to those developments;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carrier policies and pricing and resulting higher logistics costs;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perceived disruptions or defects in our platform, such as data security breaches or outages;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and regulations that impact our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in the jurisdictions in which we operate;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general political, economic, and market conditions, particularly those affecting our industry.</w:t>
      </w:r>
    </w:p>
    <w:p>
      <w:pPr>
        <w:spacing w:after="0" w:line="157"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Fluctuations in our quarterly and annual operating results may cause those results to fall below the expectations of analysts or investors, which could cause the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w:t>
      </w:r>
    </w:p>
    <w:p>
      <w:pPr>
        <w:spacing w:after="0" w:line="130"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8"/>
          <w:szCs w:val="18"/>
          <w:color w:val="auto"/>
        </w:rPr>
        <w:t>In addition, we believe that our quarterly and annual operating results may vary in the future and that period -to-period comparisons of our operating results may not be meaningful. For example, our historical growth may have overshadowed the seasonal effects on our historical operating results. These seasonal effects may become more pronounced over time, which could also cause our operating results to fluctuate. You should not rely on the results of one quarter or one year as an indication of future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69"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Our operating results are seasonal in nature because our transaction volume is affected by traditional retail selling periods that impact sales on our platform. Our historical growth may have reduced or outweighed seasonal effects on our past financial results. However, seasonal effects may become more pronounced over time, which could cause fluctuations in our financial results. For example, sales on our platform have historically peaked in the fall and user activity begins to slow down in December as it may be too late to place orders for holiday delivery. Additionally, we have historically experienced some slowdown in merchant activity in late January or early February due to our China-based merchants celebrating the Chinese New Year holiday.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5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harm our business. In the event of a major earthquake, hurricane or catastrophic event such as fire, power loss, telecommunications failure, cyber-attack, war, or terrorist attack, pandemic or epidemic, we may be unable to continue our operations and may endure reputational harm, delays in developing our platform and solutions breaches of data security and loss of critical data, all of which could harm our business, results of operations, and financial condition.</w:t>
      </w:r>
    </w:p>
    <w:p>
      <w:pPr>
        <w:spacing w:after="0" w:line="123"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marketing activities. If these systems were to fail or be negatively impacted as a result of a natural disaster or other event, our ability to deliver a positive user and merchant experience would be impaired.</w:t>
      </w:r>
    </w:p>
    <w:p>
      <w:pPr>
        <w:spacing w:after="0" w:line="108"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related controversies.</w:t>
      </w:r>
    </w:p>
    <w:p>
      <w:pPr>
        <w:spacing w:after="0" w:line="16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We may also be subject to tax controversies in the United States and in foreign jurisdictions that can result in tax assessments against us. Developments in an audit, investigation, or other tax controversy can have a material effect on our operating results or cash flows. We regularly assess the likelihood of an adverse outcome resulting from these proceedings to determine the adequacy of our tax accruals and while we believe our tax estimates are reasonable, the final outcome of audits, investigations, and any other tax controversies could be materially different from our historical tax accruals.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w:t>
      </w:r>
    </w:p>
    <w:p>
      <w:pPr>
        <w:spacing w:after="0" w:line="107"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As a public company, we incur substantial legal, accounting, and other expenses that we did not incur as a private company. For example, we are subject to the reporting requirements of the Securities Exchange Act of 1934 as amended (the “Exchange Act”), the applicable requirements of the Sarbanes-Oxley Act of 2002 (the “Sarbanes-Oxley Act”), the Dodd-Frank Wall Street Reform and Consumer Protection Act and the rules and regulations of the SEC. The rules and regulations of Nasdaq also apply to us. As part of the new requirements, we need to establish and maintain effective disclosure and financial controls and we have made changes to our corporate governance practices. We expect that compliance with these requirements will increase our legal and financial compliance costs and will make some activities more time-consuming or costly and increase demand on our systems and resources.</w:t>
      </w:r>
    </w:p>
    <w:p>
      <w:pPr>
        <w:spacing w:after="0" w:line="135"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Many members of our management and other key personnel have little experience managing a public company and preparing public filings. 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will need to continue to hire additional accounting and financial staff with appropriate public company experience and technical accounting knowledge.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76" w:name="page77"/>
    <w:bookmarkEnd w:id="76"/>
    <w:p>
      <w:pPr>
        <w:jc w:val="both"/>
        <w:ind w:firstLine="644"/>
        <w:spacing w:after="0" w:line="251" w:lineRule="auto"/>
        <w:rPr>
          <w:sz w:val="20"/>
          <w:szCs w:val="20"/>
          <w:color w:val="auto"/>
        </w:rPr>
      </w:pPr>
      <w:r>
        <w:rPr>
          <w:rFonts w:ascii="Arial" w:cs="Arial" w:eastAsia="Arial" w:hAnsi="Arial"/>
          <w:sz w:val="18"/>
          <w:szCs w:val="18"/>
          <w:color w:val="auto"/>
        </w:rPr>
        <w:t>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19"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In addition, as a result of our disclosure obligations as a public company, we have reduced flexibility and are under pressure to focus on short-term results, which may adversely affect our ability to achieve long-term profitability.</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8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the fair value of financial instruments, useful lives of long-lived assets, fair value of common stock prior to IPO, fair value of derivative instruments, fair value of redeemable convertible preferred stock and related redeemable convertible preferred stock warrant and equity awards and other equity issuances prior to IPO, incremental borrowing rate applied to lease accounting, contingent liabilities, allowances for refunds and chargebacks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Class A common stock.</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71" w:lineRule="exact"/>
        <w:rPr>
          <w:sz w:val="20"/>
          <w:szCs w:val="20"/>
          <w:color w:val="auto"/>
        </w:rPr>
      </w:pPr>
    </w:p>
    <w:p>
      <w:pPr>
        <w:ind w:right="280" w:firstLine="644"/>
        <w:spacing w:after="0" w:line="247"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analysts publish about our business. We do not have any control over these analysts. If one or more of the analysts who cover us downgrade our Class A common stock or publish inaccurate or unfavorable research about our business, the price of our Class A common stock would likely decline. If few analysts cover us,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480" w:type="dxa"/>
            <w:vAlign w:val="bottom"/>
            <w:gridSpan w:val="9"/>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9"/>
              </w:rPr>
              <w:t>3.1*</w:t>
            </w:r>
          </w:p>
        </w:tc>
        <w:tc>
          <w:tcPr>
            <w:tcW w:w="120" w:type="dxa"/>
            <w:vAlign w:val="bottom"/>
          </w:tcPr>
          <w:p>
            <w:pPr>
              <w:spacing w:after="0"/>
              <w:rPr>
                <w:sz w:val="17"/>
                <w:szCs w:val="17"/>
                <w:color w:val="auto"/>
              </w:rPr>
            </w:pPr>
          </w:p>
        </w:tc>
        <w:tc>
          <w:tcPr>
            <w:tcW w:w="9940" w:type="dxa"/>
            <w:vAlign w:val="bottom"/>
            <w:gridSpan w:val="11"/>
          </w:tcPr>
          <w:p>
            <w:pPr>
              <w:spacing w:after="0" w:line="196" w:lineRule="exact"/>
              <w:rPr>
                <w:sz w:val="20"/>
                <w:szCs w:val="20"/>
                <w:color w:val="auto"/>
              </w:rPr>
            </w:pPr>
            <w:r>
              <w:rPr>
                <w:rFonts w:ascii="Arial" w:cs="Arial" w:eastAsia="Arial" w:hAnsi="Arial"/>
                <w:sz w:val="18"/>
                <w:szCs w:val="18"/>
                <w:color w:val="0000FF"/>
              </w:rPr>
              <w:t>Certificate of Retirement of the Class B Common Stock.</w:t>
            </w:r>
          </w:p>
        </w:tc>
        <w:tc>
          <w:tcPr>
            <w:tcW w:w="0" w:type="dxa"/>
            <w:vAlign w:val="bottom"/>
          </w:tcPr>
          <w:p>
            <w:pPr>
              <w:spacing w:after="0"/>
              <w:rPr>
                <w:sz w:val="1"/>
                <w:szCs w:val="1"/>
                <w:color w:val="auto"/>
              </w:rPr>
            </w:pPr>
          </w:p>
        </w:tc>
      </w:tr>
      <w:tr>
        <w:trPr>
          <w:trHeight w:val="20"/>
        </w:trPr>
        <w:tc>
          <w:tcPr>
            <w:tcW w:w="11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10.1*</w:t>
            </w: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2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Offer letter, dated September 8, 2022, between the Registrant and Jun Yan.</w:t>
            </w:r>
          </w:p>
        </w:tc>
        <w:tc>
          <w:tcPr>
            <w:tcW w:w="20" w:type="dxa"/>
            <w:vAlign w:val="bottom"/>
            <w:tcBorders>
              <w:bottom w:val="single" w:sz="8" w:color="0000EE"/>
            </w:tcBorders>
          </w:tcPr>
          <w:p>
            <w:pPr>
              <w:spacing w:after="0"/>
              <w:rPr>
                <w:sz w:val="14"/>
                <w:szCs w:val="14"/>
                <w:color w:val="auto"/>
              </w:rPr>
            </w:pPr>
          </w:p>
        </w:tc>
        <w:tc>
          <w:tcPr>
            <w:tcW w:w="39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jc w:val="center"/>
              <w:spacing w:after="0" w:line="169" w:lineRule="exact"/>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14"/>
                <w:szCs w:val="14"/>
                <w:color w:val="auto"/>
              </w:rPr>
            </w:pPr>
          </w:p>
        </w:tc>
        <w:tc>
          <w:tcPr>
            <w:tcW w:w="6040" w:type="dxa"/>
            <w:vAlign w:val="bottom"/>
            <w:gridSpan w:val="4"/>
          </w:tcPr>
          <w:p>
            <w:pPr>
              <w:spacing w:after="0" w:line="169" w:lineRule="exact"/>
              <w:rPr>
                <w:sz w:val="20"/>
                <w:szCs w:val="20"/>
                <w:color w:val="auto"/>
              </w:rPr>
            </w:pPr>
            <w:r>
              <w:rPr>
                <w:rFonts w:ascii="Arial" w:cs="Arial" w:eastAsia="Arial" w:hAnsi="Arial"/>
                <w:sz w:val="18"/>
                <w:szCs w:val="18"/>
                <w:color w:val="0000FF"/>
              </w:rPr>
              <w:t>Certification of Principal Executive Officer Pursuant to Rules 13a-14(a) and</w:t>
            </w:r>
          </w:p>
        </w:tc>
        <w:tc>
          <w:tcPr>
            <w:tcW w:w="3900" w:type="dxa"/>
            <w:vAlign w:val="bottom"/>
            <w:gridSpan w:val="7"/>
          </w:tcPr>
          <w:p>
            <w:pPr>
              <w:spacing w:after="0" w:line="169" w:lineRule="exact"/>
              <w:rPr>
                <w:sz w:val="20"/>
                <w:szCs w:val="20"/>
                <w:color w:val="auto"/>
              </w:rPr>
            </w:pPr>
            <w:r>
              <w:rPr>
                <w:rFonts w:ascii="Arial" w:cs="Arial" w:eastAsia="Arial" w:hAnsi="Arial"/>
                <w:sz w:val="18"/>
                <w:szCs w:val="18"/>
                <w:color w:val="0000FF"/>
              </w:rPr>
              <w:t>15d-14(a) under the Securities Exchange Act of</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1934, as Adopted Pursuant to Section 302 of the Sarbanes-Oxley Act of 2002.</w:t>
            </w:r>
          </w:p>
        </w:tc>
        <w:tc>
          <w:tcPr>
            <w:tcW w:w="20" w:type="dxa"/>
            <w:vAlign w:val="bottom"/>
            <w:tcBorders>
              <w:top w:val="single" w:sz="8" w:color="0000FF"/>
              <w:bottom w:val="single" w:sz="8" w:color="0000EE"/>
            </w:tcBorders>
          </w:tcPr>
          <w:p>
            <w:pPr>
              <w:spacing w:after="0"/>
              <w:rPr>
                <w:sz w:val="12"/>
                <w:szCs w:val="12"/>
                <w:color w:val="auto"/>
              </w:rPr>
            </w:pPr>
          </w:p>
        </w:tc>
        <w:tc>
          <w:tcPr>
            <w:tcW w:w="3600" w:type="dxa"/>
            <w:vAlign w:val="bottom"/>
            <w:tcBorders>
              <w:top w:val="single" w:sz="8" w:color="0000FF"/>
            </w:tcBorders>
            <w:gridSpan w:val="4"/>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18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1934, as Adopted Pursuant to Section 302 of the Sarbanes-Oxley Act of 2002.</w:t>
            </w:r>
          </w:p>
        </w:tc>
        <w:tc>
          <w:tcPr>
            <w:tcW w:w="20" w:type="dxa"/>
            <w:vAlign w:val="bottom"/>
            <w:tcBorders>
              <w:top w:val="single" w:sz="8" w:color="0000FF"/>
              <w:bottom w:val="single" w:sz="8" w:color="0000EE"/>
            </w:tcBorders>
          </w:tcPr>
          <w:p>
            <w:pPr>
              <w:spacing w:after="0"/>
              <w:rPr>
                <w:sz w:val="12"/>
                <w:szCs w:val="12"/>
                <w:color w:val="auto"/>
              </w:rPr>
            </w:pPr>
          </w:p>
        </w:tc>
        <w:tc>
          <w:tcPr>
            <w:tcW w:w="3540" w:type="dxa"/>
            <w:vAlign w:val="bottom"/>
            <w:tcBorders>
              <w:top w:val="single" w:sz="8" w:color="0000FF"/>
            </w:tcBorders>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18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8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6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jc w:val="center"/>
              <w:spacing w:after="0"/>
              <w:rPr>
                <w:sz w:val="20"/>
                <w:szCs w:val="20"/>
                <w:color w:val="auto"/>
              </w:rPr>
            </w:pPr>
            <w:r>
              <w:rPr>
                <w:rFonts w:ascii="Arial" w:cs="Arial" w:eastAsia="Arial" w:hAnsi="Arial"/>
                <w:sz w:val="18"/>
                <w:szCs w:val="18"/>
                <w:color w:val="auto"/>
                <w:w w:val="99"/>
              </w:rPr>
              <w:t>101.INS*</w:t>
            </w:r>
          </w:p>
        </w:tc>
        <w:tc>
          <w:tcPr>
            <w:tcW w:w="12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170"/>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101.SCH*</w:t>
            </w:r>
          </w:p>
        </w:tc>
        <w:tc>
          <w:tcPr>
            <w:tcW w:w="120" w:type="dxa"/>
            <w:vAlign w:val="bottom"/>
          </w:tcPr>
          <w:p>
            <w:pPr>
              <w:spacing w:after="0"/>
              <w:rPr>
                <w:sz w:val="14"/>
                <w:szCs w:val="14"/>
                <w:color w:val="auto"/>
              </w:rPr>
            </w:pPr>
          </w:p>
        </w:tc>
        <w:tc>
          <w:tcPr>
            <w:tcW w:w="9940" w:type="dxa"/>
            <w:vAlign w:val="bottom"/>
            <w:gridSpan w:val="11"/>
          </w:tcPr>
          <w:p>
            <w:pPr>
              <w:spacing w:after="0" w:line="170" w:lineRule="exact"/>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189"/>
        </w:trPr>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8"/>
              </w:rPr>
              <w:t>101.CAL*</w:t>
            </w:r>
          </w:p>
        </w:tc>
        <w:tc>
          <w:tcPr>
            <w:tcW w:w="120" w:type="dxa"/>
            <w:vAlign w:val="bottom"/>
          </w:tcPr>
          <w:p>
            <w:pPr>
              <w:spacing w:after="0"/>
              <w:rPr>
                <w:sz w:val="16"/>
                <w:szCs w:val="16"/>
                <w:color w:val="auto"/>
              </w:rPr>
            </w:pPr>
          </w:p>
        </w:tc>
        <w:tc>
          <w:tcPr>
            <w:tcW w:w="994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101.DEF*</w:t>
            </w:r>
          </w:p>
        </w:tc>
        <w:tc>
          <w:tcPr>
            <w:tcW w:w="120" w:type="dxa"/>
            <w:vAlign w:val="bottom"/>
          </w:tcPr>
          <w:p>
            <w:pPr>
              <w:spacing w:after="0"/>
              <w:rPr>
                <w:sz w:val="16"/>
                <w:szCs w:val="16"/>
                <w:color w:val="auto"/>
              </w:rPr>
            </w:pPr>
          </w:p>
        </w:tc>
        <w:tc>
          <w:tcPr>
            <w:tcW w:w="994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101.LAB*</w:t>
            </w:r>
          </w:p>
        </w:tc>
        <w:tc>
          <w:tcPr>
            <w:tcW w:w="120" w:type="dxa"/>
            <w:vAlign w:val="bottom"/>
          </w:tcPr>
          <w:p>
            <w:pPr>
              <w:spacing w:after="0"/>
              <w:rPr>
                <w:sz w:val="16"/>
                <w:szCs w:val="16"/>
                <w:color w:val="auto"/>
              </w:rPr>
            </w:pPr>
          </w:p>
        </w:tc>
        <w:tc>
          <w:tcPr>
            <w:tcW w:w="994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994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9"/>
        </w:trPr>
        <w:tc>
          <w:tcPr>
            <w:tcW w:w="118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512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ContextLogic Inc.</w:t>
      </w:r>
    </w:p>
    <w:p>
      <w:pPr>
        <w:spacing w:after="0" w:line="198" w:lineRule="exact"/>
        <w:rPr>
          <w:sz w:val="20"/>
          <w:szCs w:val="20"/>
          <w:color w:val="auto"/>
        </w:rPr>
      </w:pPr>
    </w:p>
    <w:p>
      <w:pPr>
        <w:ind w:left="20"/>
        <w:spacing w:after="0"/>
        <w:tabs>
          <w:tab w:leader="none" w:pos="5640" w:val="left"/>
          <w:tab w:leader="none" w:pos="81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line="234" w:lineRule="auto"/>
        <w:rPr>
          <w:sz w:val="20"/>
          <w:szCs w:val="20"/>
          <w:color w:val="auto"/>
        </w:rPr>
      </w:pPr>
      <w:r>
        <w:rPr>
          <w:rFonts w:ascii="Arial" w:cs="Arial" w:eastAsia="Arial" w:hAnsi="Arial"/>
          <w:sz w:val="18"/>
          <w:szCs w:val="18"/>
          <w:color w:val="auto"/>
        </w:rPr>
        <w:t>Interim 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(Principal Executive Officer)</w:t>
      </w:r>
    </w:p>
    <w:p>
      <w:pPr>
        <w:spacing w:after="0" w:line="167" w:lineRule="exact"/>
        <w:rPr>
          <w:sz w:val="20"/>
          <w:szCs w:val="20"/>
          <w:color w:val="auto"/>
        </w:rPr>
      </w:pPr>
    </w:p>
    <w:p>
      <w:pPr>
        <w:ind w:left="566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Vivian Liu</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line="234" w:lineRule="auto"/>
        <w:rPr>
          <w:sz w:val="20"/>
          <w:szCs w:val="20"/>
          <w:color w:val="auto"/>
        </w:rPr>
      </w:pPr>
      <w:r>
        <w:rPr>
          <w:rFonts w:ascii="Arial" w:cs="Arial" w:eastAsia="Arial" w:hAnsi="Arial"/>
          <w:sz w:val="18"/>
          <w:szCs w:val="18"/>
          <w:color w:val="auto"/>
        </w:rPr>
        <w:t>Chief Financial Officer and Chief Operating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79" w:name="page80"/>
    <w:bookmarkEnd w:id="79"/>
    <w:p>
      <w:pPr>
        <w:ind w:left="10300"/>
        <w:spacing w:after="0"/>
        <w:rPr>
          <w:sz w:val="20"/>
          <w:szCs w:val="20"/>
          <w:color w:val="auto"/>
        </w:rPr>
      </w:pPr>
      <w:r>
        <w:rPr>
          <w:rFonts w:ascii="Arial" w:cs="Arial" w:eastAsia="Arial" w:hAnsi="Arial"/>
          <w:sz w:val="18"/>
          <w:szCs w:val="18"/>
          <w:b w:val="1"/>
          <w:bCs w:val="1"/>
          <w:color w:val="auto"/>
        </w:rPr>
        <w:t>Exhibit 3.1</w:t>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CERTIFICATE OF RETIREMENT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CLASS B COMMON STOCK</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07" w:lineRule="exact"/>
        <w:rPr>
          <w:sz w:val="20"/>
          <w:szCs w:val="20"/>
          <w:color w:val="auto"/>
        </w:rPr>
      </w:pPr>
    </w:p>
    <w:p>
      <w:pPr>
        <w:ind w:firstLine="849"/>
        <w:spacing w:after="0" w:line="269" w:lineRule="auto"/>
        <w:rPr>
          <w:sz w:val="20"/>
          <w:szCs w:val="20"/>
          <w:color w:val="auto"/>
        </w:rPr>
      </w:pPr>
      <w:r>
        <w:rPr>
          <w:rFonts w:ascii="Times New Roman" w:cs="Times New Roman" w:eastAsia="Times New Roman" w:hAnsi="Times New Roman"/>
          <w:sz w:val="20"/>
          <w:szCs w:val="20"/>
          <w:color w:val="auto"/>
        </w:rPr>
        <w:t>Pursuant to Section 243(b) of the General Corporation Law of the State of Delaware, ContextLogic Inc., a corporation organized and existing under the laws of the State of Delaware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HEREBY CERTIFIES as follows:</w:t>
      </w:r>
    </w:p>
    <w:p>
      <w:pPr>
        <w:spacing w:after="0" w:line="146" w:lineRule="exact"/>
        <w:rPr>
          <w:sz w:val="20"/>
          <w:szCs w:val="20"/>
          <w:color w:val="auto"/>
        </w:rPr>
      </w:pPr>
    </w:p>
    <w:p>
      <w:pPr>
        <w:jc w:val="both"/>
        <w:ind w:firstLine="857"/>
        <w:spacing w:after="0" w:line="246" w:lineRule="auto"/>
        <w:tabs>
          <w:tab w:leader="none" w:pos="105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Article IV of the Restated Certificate of Incorporation of the Corporation filed with the Secretary of State of the State of Delaware on December 17, 2020 (the “</w:t>
      </w:r>
      <w:r>
        <w:rPr>
          <w:rFonts w:ascii="Times New Roman" w:cs="Times New Roman" w:eastAsia="Times New Roman" w:hAnsi="Times New Roman"/>
          <w:sz w:val="20"/>
          <w:szCs w:val="20"/>
          <w:b w:val="1"/>
          <w:bCs w:val="1"/>
          <w:i w:val="1"/>
          <w:iCs w:val="1"/>
          <w:color w:val="auto"/>
        </w:rPr>
        <w:t>Restated Certificate</w:t>
      </w:r>
      <w:r>
        <w:rPr>
          <w:rFonts w:ascii="Times New Roman" w:cs="Times New Roman" w:eastAsia="Times New Roman" w:hAnsi="Times New Roman"/>
          <w:sz w:val="20"/>
          <w:szCs w:val="20"/>
          <w:color w:val="auto"/>
        </w:rPr>
        <w:t>”) provides that the total number of shares of capital stock that the Corporation shall have authority to issue is 3,600,000,000 shares, consisting of (i) 3,000,000,000 shares of Class A Common Stock, $0.0001 par value per share (“</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(ii) 500,000,000 shares of Class B Common Stock, par value $0.0001 per share (“</w:t>
      </w:r>
      <w:r>
        <w:rPr>
          <w:rFonts w:ascii="Times New Roman" w:cs="Times New Roman" w:eastAsia="Times New Roman" w:hAnsi="Times New Roman"/>
          <w:sz w:val="20"/>
          <w:szCs w:val="20"/>
          <w:b w:val="1"/>
          <w:bCs w:val="1"/>
          <w:i w:val="1"/>
          <w:iCs w:val="1"/>
          <w:color w:val="auto"/>
        </w:rPr>
        <w:t>Class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and (iii) 100,000,000 shares of Preferred Stock, par value $0.0001 per share.</w:t>
      </w:r>
    </w:p>
    <w:p>
      <w:pPr>
        <w:spacing w:after="0" w:line="180" w:lineRule="exact"/>
        <w:rPr>
          <w:rFonts w:ascii="Times New Roman" w:cs="Times New Roman" w:eastAsia="Times New Roman" w:hAnsi="Times New Roman"/>
          <w:sz w:val="20"/>
          <w:szCs w:val="20"/>
          <w:color w:val="auto"/>
        </w:rPr>
      </w:pPr>
    </w:p>
    <w:p>
      <w:pPr>
        <w:ind w:firstLine="857"/>
        <w:spacing w:after="0" w:line="259" w:lineRule="auto"/>
        <w:tabs>
          <w:tab w:leader="none" w:pos="106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shares of Class B Common Stock have been converted (the “</w:t>
      </w:r>
      <w:r>
        <w:rPr>
          <w:rFonts w:ascii="Times New Roman" w:cs="Times New Roman" w:eastAsia="Times New Roman" w:hAnsi="Times New Roman"/>
          <w:sz w:val="20"/>
          <w:szCs w:val="20"/>
          <w:b w:val="1"/>
          <w:bCs w:val="1"/>
          <w:i w:val="1"/>
          <w:iCs w:val="1"/>
          <w:color w:val="auto"/>
        </w:rPr>
        <w:t>Conversion</w:t>
      </w:r>
      <w:r>
        <w:rPr>
          <w:rFonts w:ascii="Times New Roman" w:cs="Times New Roman" w:eastAsia="Times New Roman" w:hAnsi="Times New Roman"/>
          <w:sz w:val="20"/>
          <w:szCs w:val="20"/>
          <w:color w:val="auto"/>
        </w:rPr>
        <w:t>”) into shares of Class A Common Stock of the Corporation pursuant to the provisions of Article V of the Restated Certificate.</w:t>
      </w:r>
    </w:p>
    <w:p>
      <w:pPr>
        <w:spacing w:after="0" w:line="169" w:lineRule="exact"/>
        <w:rPr>
          <w:rFonts w:ascii="Times New Roman" w:cs="Times New Roman" w:eastAsia="Times New Roman" w:hAnsi="Times New Roman"/>
          <w:sz w:val="20"/>
          <w:szCs w:val="20"/>
          <w:color w:val="auto"/>
        </w:rPr>
      </w:pPr>
    </w:p>
    <w:p>
      <w:pPr>
        <w:jc w:val="both"/>
        <w:ind w:firstLine="857"/>
        <w:spacing w:after="0" w:line="254" w:lineRule="auto"/>
        <w:tabs>
          <w:tab w:leader="none" w:pos="105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 of Article V of the Restated Certificate provides that following the Conversion, the shares of Class B Common Stock that have been converted shall be retired and may not be reissued and Section 9 provides that following the Conversion, no additional shares of Class B Common Stock shall be issued.</w:t>
      </w:r>
    </w:p>
    <w:p>
      <w:pPr>
        <w:spacing w:after="0" w:line="174" w:lineRule="exact"/>
        <w:rPr>
          <w:sz w:val="20"/>
          <w:szCs w:val="20"/>
          <w:color w:val="auto"/>
        </w:rPr>
      </w:pPr>
    </w:p>
    <w:p>
      <w:pPr>
        <w:ind w:firstLine="857"/>
        <w:spacing w:after="0" w:line="269" w:lineRule="auto"/>
        <w:tabs>
          <w:tab w:leader="none" w:pos="105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this Certificate of Retirement, all references to the Class B Common Stock shall be removed from the Restated Certificate.</w:t>
      </w:r>
    </w:p>
    <w:p>
      <w:pPr>
        <w:spacing w:after="0" w:line="159" w:lineRule="exact"/>
        <w:rPr>
          <w:sz w:val="20"/>
          <w:szCs w:val="20"/>
          <w:color w:val="auto"/>
        </w:rPr>
      </w:pPr>
    </w:p>
    <w:p>
      <w:pPr>
        <w:ind w:firstLine="849"/>
        <w:spacing w:after="0" w:line="255" w:lineRule="auto"/>
        <w:rPr>
          <w:sz w:val="20"/>
          <w:szCs w:val="20"/>
          <w:color w:val="auto"/>
        </w:rPr>
      </w:pPr>
      <w:r>
        <w:rPr>
          <w:rFonts w:ascii="Times New Roman" w:cs="Times New Roman" w:eastAsia="Times New Roman" w:hAnsi="Times New Roman"/>
          <w:sz w:val="20"/>
          <w:szCs w:val="20"/>
          <w:color w:val="auto"/>
        </w:rPr>
        <w:t>IN WITNESS WHEREOF, ContextLogic Inc. has caused this Certificate of Retirement to be executed, acknowledged and filed by its duly authorized officer as of August 10, 2022.</w:t>
      </w:r>
    </w:p>
    <w:p>
      <w:pPr>
        <w:spacing w:after="0" w:line="200" w:lineRule="exact"/>
        <w:rPr>
          <w:sz w:val="20"/>
          <w:szCs w:val="20"/>
          <w:color w:val="auto"/>
        </w:rPr>
      </w:pPr>
    </w:p>
    <w:p>
      <w:pPr>
        <w:spacing w:after="0" w:line="37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18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Vijay Talwar</w:t>
      </w:r>
    </w:p>
    <w:p>
      <w:pPr>
        <w:ind w:left="4740"/>
        <w:spacing w:after="0" w:line="225" w:lineRule="auto"/>
        <w:rPr>
          <w:sz w:val="20"/>
          <w:szCs w:val="20"/>
          <w:color w:val="auto"/>
        </w:rPr>
      </w:pPr>
      <w:r>
        <w:rPr>
          <w:rFonts w:ascii="Times New Roman" w:cs="Times New Roman" w:eastAsia="Times New Roman" w:hAnsi="Times New Roman"/>
          <w:sz w:val="20"/>
          <w:szCs w:val="20"/>
          <w:color w:val="auto"/>
        </w:rPr>
        <w:t>Name: Vijay Talwar</w:t>
      </w:r>
    </w:p>
    <w:p>
      <w:pPr>
        <w:ind w:left="47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DOCPROPERTY"SWDocID" GDSVF&amp;H\8358225.1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0" w:name="page81"/>
    <w:bookmarkEnd w:id="80"/>
    <w:p>
      <w:pPr>
        <w:ind w:left="1014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145415</wp:posOffset>
            </wp:positionV>
            <wp:extent cx="1362710" cy="4546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627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One Sansome St. 33rd Floor</w:t>
      </w:r>
    </w:p>
    <w:p>
      <w:pPr>
        <w:spacing w:after="0" w:line="1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San Francisco, CA 94104</w:t>
      </w:r>
    </w:p>
    <w:p>
      <w:pPr>
        <w:jc w:val="right"/>
        <w:spacing w:after="0"/>
        <w:rPr>
          <w:sz w:val="20"/>
          <w:szCs w:val="20"/>
          <w:color w:val="auto"/>
        </w:rPr>
      </w:pPr>
      <w:r>
        <w:rPr>
          <w:rFonts w:ascii="Arial" w:cs="Arial" w:eastAsia="Arial" w:hAnsi="Arial"/>
          <w:sz w:val="19"/>
          <w:szCs w:val="19"/>
          <w:color w:val="06B9F2"/>
        </w:rPr>
        <w:t>hr@wish.com</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7, 2022</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VIA EMAIL</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Jun (Joe) Yan</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Dear Joe: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ContextLogic Inc. (the “Company” or “Wish”) is pleased to offer you employment in our San Francisco office, on the following</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terms:</w:t>
      </w:r>
    </w:p>
    <w:p>
      <w:pPr>
        <w:spacing w:after="0" w:line="209" w:lineRule="exact"/>
        <w:rPr>
          <w:sz w:val="20"/>
          <w:szCs w:val="20"/>
          <w:color w:val="auto"/>
        </w:rPr>
      </w:pPr>
    </w:p>
    <w:p>
      <w:pPr>
        <w:jc w:val="both"/>
        <w:ind w:left="760" w:hanging="471"/>
        <w:spacing w:after="0" w:line="242"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9"/>
          <w:szCs w:val="19"/>
          <w:b w:val="1"/>
          <w:bCs w:val="1"/>
          <w:color w:val="auto"/>
        </w:rPr>
        <w:t>Position and Start Date</w:t>
      </w:r>
      <w:r>
        <w:rPr>
          <w:rFonts w:ascii="Arial" w:cs="Arial" w:eastAsia="Arial" w:hAnsi="Arial"/>
          <w:sz w:val="19"/>
          <w:szCs w:val="19"/>
          <w:color w:val="auto"/>
        </w:rPr>
        <w:t>. Your title will be Interim Chief Executive Officer. In this role, you will report to the Company’s Board</w:t>
      </w:r>
      <w:r>
        <w:rPr>
          <w:rFonts w:ascii="Arial" w:cs="Arial" w:eastAsia="Arial" w:hAnsi="Arial"/>
          <w:sz w:val="19"/>
          <w:szCs w:val="19"/>
          <w:b w:val="1"/>
          <w:bCs w:val="1"/>
          <w:color w:val="auto"/>
        </w:rPr>
        <w:t xml:space="preserve"> </w:t>
      </w:r>
      <w:r>
        <w:rPr>
          <w:rFonts w:ascii="Arial" w:cs="Arial" w:eastAsia="Arial" w:hAnsi="Arial"/>
          <w:sz w:val="19"/>
          <w:szCs w:val="19"/>
          <w:color w:val="auto"/>
        </w:rPr>
        <w:t>of Directors and you will be expected to perform such duties and exercise such responsibilities as are assigned from time-to-time. In carrying out these duties and responsibilities, you shall comply with all policies, procedures, rules and regulations, both written and oral, as are provided by the Company from time-to-time, and carry out said duties and responsibilities in a diligent, faithful and honest manner. Your employment start date with the Company will be a date as may be mutually agreed upon by you and the Company which is subsequent to your satisfaction of the employment contingencies set forth herein (“Start Date”).</w:t>
      </w:r>
    </w:p>
    <w:p>
      <w:pPr>
        <w:spacing w:after="0" w:line="185" w:lineRule="exact"/>
        <w:rPr>
          <w:rFonts w:ascii="Arial" w:cs="Arial" w:eastAsia="Arial" w:hAnsi="Arial"/>
          <w:sz w:val="18"/>
          <w:szCs w:val="18"/>
          <w:color w:val="auto"/>
        </w:rPr>
      </w:pPr>
    </w:p>
    <w:p>
      <w:pPr>
        <w:jc w:val="both"/>
        <w:ind w:left="760" w:hanging="471"/>
        <w:spacing w:after="0" w:line="254"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9"/>
          <w:szCs w:val="19"/>
          <w:b w:val="1"/>
          <w:bCs w:val="1"/>
          <w:color w:val="auto"/>
        </w:rPr>
        <w:t>Compensation</w:t>
      </w:r>
      <w:r>
        <w:rPr>
          <w:rFonts w:ascii="Arial" w:cs="Arial" w:eastAsia="Arial" w:hAnsi="Arial"/>
          <w:sz w:val="19"/>
          <w:szCs w:val="19"/>
          <w:color w:val="auto"/>
        </w:rPr>
        <w:t>. The Company will pay you a starting base salary of</w:t>
      </w:r>
      <w:r>
        <w:rPr>
          <w:rFonts w:ascii="Arial" w:cs="Arial" w:eastAsia="Arial" w:hAnsi="Arial"/>
          <w:sz w:val="19"/>
          <w:szCs w:val="19"/>
          <w:b w:val="1"/>
          <w:bCs w:val="1"/>
          <w:color w:val="auto"/>
        </w:rPr>
        <w:t xml:space="preserve"> $550,000 </w:t>
      </w:r>
      <w:r>
        <w:rPr>
          <w:rFonts w:ascii="Arial" w:cs="Arial" w:eastAsia="Arial" w:hAnsi="Arial"/>
          <w:sz w:val="19"/>
          <w:szCs w:val="19"/>
          <w:color w:val="auto"/>
        </w:rPr>
        <w:t>per year, payable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standard payroll schedule. This salary will be subject to adjustment pursuant to the Company’s employee compensation policies and procedures in effect from time to time.</w:t>
      </w:r>
    </w:p>
    <w:p>
      <w:pPr>
        <w:spacing w:after="0" w:line="170" w:lineRule="exact"/>
        <w:rPr>
          <w:rFonts w:ascii="Arial" w:cs="Arial" w:eastAsia="Arial" w:hAnsi="Arial"/>
          <w:sz w:val="18"/>
          <w:szCs w:val="18"/>
          <w:color w:val="auto"/>
        </w:rPr>
      </w:pPr>
    </w:p>
    <w:p>
      <w:pPr>
        <w:jc w:val="both"/>
        <w:ind w:left="760" w:hanging="471"/>
        <w:spacing w:after="0" w:line="255"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8"/>
          <w:szCs w:val="18"/>
          <w:b w:val="1"/>
          <w:bCs w:val="1"/>
          <w:color w:val="auto"/>
        </w:rPr>
        <w:t xml:space="preserve">Relocation Bonus. </w:t>
      </w:r>
      <w:r>
        <w:rPr>
          <w:rFonts w:ascii="Arial" w:cs="Arial" w:eastAsia="Arial" w:hAnsi="Arial"/>
          <w:sz w:val="18"/>
          <w:szCs w:val="18"/>
          <w:color w:val="auto"/>
        </w:rPr>
        <w:t>This offer includes a relocation bonus in the amount of $200,000, which will be paid to you within ten (10)</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of your Start Date, and is intended to cover your relocation to the San Francisco Bay Area and all associated expenses. If you are terminated for cause by the Company before the one-year anniversary of your Start Date, you agree to repay the Company the full net amount of the relocation bonus within 30 days of your separation date. For purposes of the relocation bonus, “cause” shall mean (i) your willful and intentional unauthorized use or disclosure of the Company’s confidential information or trade secrets, which use or disclosure causes material harm to the Company, (ii) your material breach of any agreement with the Company, (iii) your material failure to comply with the Company’s written policies or rules,</w:t>
      </w:r>
    </w:p>
    <w:p>
      <w:pPr>
        <w:spacing w:after="0" w:line="4" w:lineRule="exact"/>
        <w:rPr>
          <w:rFonts w:ascii="Arial" w:cs="Arial" w:eastAsia="Arial" w:hAnsi="Arial"/>
          <w:sz w:val="17"/>
          <w:szCs w:val="17"/>
          <w:color w:val="auto"/>
        </w:rPr>
      </w:pPr>
    </w:p>
    <w:p>
      <w:pPr>
        <w:jc w:val="both"/>
        <w:ind w:left="760" w:hanging="3"/>
        <w:spacing w:after="0" w:line="253"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your conviction of, or plea of “guilty” or “no contest” to, a felony under the laws of the United States or any State, (v) your gross negligence or willful misconduct which results in material harm to the Company, (vi) your continuing failure to perform assigned duties after receiving written notification from the Company’s Board of Directors (other than as a result of having a disability that prevents you from performing the material duties required of a person holding the position with the Company for a period of at least 120 days) or (vii) your failure to cooperate in good faith with a governmental or internal investigation of the Company or its directors, officers or employees, if the Company has requested such cooperation. In the case of clauses (ii),</w:t>
      </w:r>
    </w:p>
    <w:p>
      <w:pPr>
        <w:jc w:val="both"/>
        <w:ind w:left="760" w:hanging="3"/>
        <w:spacing w:after="0" w:line="244" w:lineRule="auto"/>
        <w:tabs>
          <w:tab w:leader="none" w:pos="1068"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and (vii), the Company will not terminate your employment for cause without first giving you written notification of the acts or omissions constituting cause and a reasonable cure period of not less than 10 days following such notice to the extent such events are curable (as determined by the Company).</w:t>
      </w:r>
    </w:p>
    <w:p>
      <w:pPr>
        <w:spacing w:after="0" w:line="179" w:lineRule="exact"/>
        <w:rPr>
          <w:rFonts w:ascii="Arial" w:cs="Arial" w:eastAsia="Arial" w:hAnsi="Arial"/>
          <w:sz w:val="19"/>
          <w:szCs w:val="19"/>
          <w:color w:val="auto"/>
        </w:rPr>
      </w:pPr>
    </w:p>
    <w:p>
      <w:pPr>
        <w:jc w:val="both"/>
        <w:ind w:left="760" w:hanging="471"/>
        <w:spacing w:after="0" w:line="245"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As a regular employee of the Company, you will be eligible to participate in a number of Company-sponsored benefits, including our group health insurance plan, in accordance with the applicable plan documents and policies. The Company reserves the right to modify or discontinue such benefit plans in its sole discretion. In addition, you will be eligible to participate in the Company’s paid time off policy, as in effect from time to time. A copy of the current paid time off policy will be provided to you upon hire and any subsequent versions will be posted on the Company’s wiki/intranet.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left="471" w:hanging="471"/>
        <w:spacing w:after="0"/>
        <w:tabs>
          <w:tab w:leader="none" w:pos="471" w:val="left"/>
        </w:tabs>
        <w:numPr>
          <w:ilvl w:val="0"/>
          <w:numId w:val="35"/>
        </w:numPr>
        <w:rPr>
          <w:rFonts w:ascii="Arial" w:cs="Arial" w:eastAsia="Arial" w:hAnsi="Arial"/>
          <w:sz w:val="18"/>
          <w:szCs w:val="18"/>
          <w:color w:val="auto"/>
        </w:rPr>
      </w:pPr>
      <w:r>
        <w:rPr>
          <w:rFonts w:ascii="Arial" w:cs="Arial" w:eastAsia="Arial" w:hAnsi="Arial"/>
          <w:sz w:val="19"/>
          <w:szCs w:val="19"/>
          <w:b w:val="1"/>
          <w:bCs w:val="1"/>
          <w:color w:val="222222"/>
        </w:rPr>
        <w:t xml:space="preserve">Restricted Stock Units. </w:t>
      </w:r>
      <w:r>
        <w:rPr>
          <w:rFonts w:ascii="Arial" w:cs="Arial" w:eastAsia="Arial" w:hAnsi="Arial"/>
          <w:sz w:val="19"/>
          <w:szCs w:val="19"/>
          <w:color w:val="222222"/>
        </w:rPr>
        <w:t>Subject to the approval of the Company’s Board of Directors or its Compensation Committee, you</w:t>
      </w:r>
      <w:r>
        <w:rPr>
          <w:rFonts w:ascii="Arial" w:cs="Arial" w:eastAsia="Arial" w:hAnsi="Arial"/>
          <w:sz w:val="19"/>
          <w:szCs w:val="19"/>
          <w:b w:val="1"/>
          <w:bCs w:val="1"/>
          <w:color w:val="222222"/>
        </w:rPr>
        <w:t xml:space="preserve"> </w:t>
      </w:r>
      <w:r>
        <w:rPr>
          <w:rFonts w:ascii="Arial" w:cs="Arial" w:eastAsia="Arial" w:hAnsi="Arial"/>
          <w:sz w:val="19"/>
          <w:szCs w:val="19"/>
          <w:color w:val="222222"/>
        </w:rPr>
        <w:t>will be granted an award of Restricted Stock Units (“RSUs”) for that number of shares of the Company’s Common Stock equal to $3,000,000 divided by the average closing price of a share of the Company’s Common Stock as reported on Nasdaq during the full calendar month prior to your Start Date, rounded down to the nearest whole share. The RSUs will vest over time based on your continuous service with the Company, with 50% of the RSUs vesting on the first Company Vesting Date following your completion of 6 months of continuous service; provided, however, that if the Company terminates your employment, you do not remain the Company’s Interim Chief Executive Officer or become the Company’s Chief Executive Officer, in each case prior to your completion of 6 months of employment with the Company, such RSUs will accelerate and vest and settle on the first Company Vesting Date thereafter. The remaining 50% of the RSUs will vest on the Company Vesting Date following your completion of 12 months of continuous service. For the avoidance of doubt, “service” for purposes of the RSUs shall include service as an employee, consultant or director. A “Company Vesting Date” means February 15th, May 15th, August 15th, or November 15th. The Company intends to grant the RSU award as an “inducement grant” (within the meaning of Nasdaq Marketplace Rule 5635(c)(4)) pursuant to the Company’s 2022 New Employee Equity Incentive Plan (the “Plan”), and the RSU award will be subject to the terms and conditions of the Plan as well as the applicable Notice of Restricted Stock Unit Award and Restricted Stock Unit Agreement.</w:t>
      </w:r>
    </w:p>
    <w:p>
      <w:pPr>
        <w:spacing w:after="0" w:line="192" w:lineRule="exact"/>
        <w:rPr>
          <w:rFonts w:ascii="Arial" w:cs="Arial" w:eastAsia="Arial" w:hAnsi="Arial"/>
          <w:sz w:val="18"/>
          <w:szCs w:val="18"/>
          <w:color w:val="auto"/>
        </w:rPr>
      </w:pPr>
    </w:p>
    <w:p>
      <w:pPr>
        <w:jc w:val="both"/>
        <w:ind w:left="471" w:hanging="471"/>
        <w:spacing w:after="0" w:line="241" w:lineRule="auto"/>
        <w:tabs>
          <w:tab w:leader="none" w:pos="471" w:val="left"/>
        </w:tabs>
        <w:numPr>
          <w:ilvl w:val="0"/>
          <w:numId w:val="35"/>
        </w:numPr>
        <w:rPr>
          <w:rFonts w:ascii="Arial" w:cs="Arial" w:eastAsia="Arial" w:hAnsi="Arial"/>
          <w:sz w:val="18"/>
          <w:szCs w:val="18"/>
          <w:color w:val="auto"/>
        </w:rPr>
      </w:pPr>
      <w:r>
        <w:rPr>
          <w:rFonts w:ascii="Arial" w:cs="Arial" w:eastAsia="Arial" w:hAnsi="Arial"/>
          <w:sz w:val="19"/>
          <w:szCs w:val="19"/>
          <w:b w:val="1"/>
          <w:bCs w:val="1"/>
          <w:color w:val="auto"/>
        </w:rPr>
        <w:t xml:space="preserve">Stock Options. </w:t>
      </w:r>
      <w:r>
        <w:rPr>
          <w:rFonts w:ascii="Arial" w:cs="Arial" w:eastAsia="Arial" w:hAnsi="Arial"/>
          <w:sz w:val="19"/>
          <w:szCs w:val="19"/>
          <w:color w:val="222222"/>
        </w:rPr>
        <w:t>Subject to the approval of the Company’s Board of Directors or its Compensation Committee, you will be</w:t>
      </w:r>
      <w:r>
        <w:rPr>
          <w:rFonts w:ascii="Arial" w:cs="Arial" w:eastAsia="Arial" w:hAnsi="Arial"/>
          <w:sz w:val="19"/>
          <w:szCs w:val="19"/>
          <w:b w:val="1"/>
          <w:bCs w:val="1"/>
          <w:color w:val="auto"/>
        </w:rPr>
        <w:t xml:space="preserve"> </w:t>
      </w:r>
      <w:r>
        <w:rPr>
          <w:rFonts w:ascii="Arial" w:cs="Arial" w:eastAsia="Arial" w:hAnsi="Arial"/>
          <w:sz w:val="19"/>
          <w:szCs w:val="19"/>
          <w:color w:val="222222"/>
        </w:rPr>
        <w:t>granted an option to purchase that number of shares of the Company’s Class A Common Stock equal to $3,000,000 divided by the average closing price of a share of the Company’s Common Stock as reported on Nasdaq during the full calendar month prior to your Start Date, rounded down to the nearest whole share (the “Option”). The exercise price per share of the Option will be equal to the fair market value of the Company’s Class A Common Stock on the date of grant, which is your Start Date. The Option will vest and become exercisable over time based on your continuous service with the Company, with 50% of the Option shares vesting on the 6 month anniversary of your Start Date; provided, however, that if the Company terminates your employment, you do not remain the Company’s Interim Chief Executive Officer or become the Company’s Chief Executive Officer, in each case prior to your completion of 6 months of continuous employment with the Company, such Option shares will accelerate and immediately vest, and remain exercisable in accordance with their terms thereafter. The remaining 50% of the Option shares will vest on the 12 month anniversary of your Start Date, provided that you remain in continuous service through such date. For the avoidance of doubt, “service” for purposes of the Option shall include service as an employee, consultant or director. The Company intends to grant the Option as an “inducement grant” (within the meaning of Nasdaq Marketplace Rule 5635(c)(4)) pursuant to the Plan, and the Option will be subject to the terms and conditions of the Plan as well as the applicable Notice of Stock Option Grant and Stock Option Agreement.</w:t>
      </w:r>
    </w:p>
    <w:p>
      <w:pPr>
        <w:spacing w:after="0" w:line="192" w:lineRule="exact"/>
        <w:rPr>
          <w:rFonts w:ascii="Arial" w:cs="Arial" w:eastAsia="Arial" w:hAnsi="Arial"/>
          <w:sz w:val="18"/>
          <w:szCs w:val="18"/>
          <w:color w:val="auto"/>
        </w:rPr>
      </w:pPr>
    </w:p>
    <w:p>
      <w:pPr>
        <w:jc w:val="both"/>
        <w:ind w:left="571" w:hanging="384"/>
        <w:spacing w:after="0" w:line="242" w:lineRule="auto"/>
        <w:tabs>
          <w:tab w:leader="none" w:pos="571" w:val="left"/>
        </w:tabs>
        <w:numPr>
          <w:ilvl w:val="1"/>
          <w:numId w:val="35"/>
        </w:numPr>
        <w:rPr>
          <w:rFonts w:ascii="Arial" w:cs="Arial" w:eastAsia="Arial" w:hAnsi="Arial"/>
          <w:sz w:val="18"/>
          <w:szCs w:val="18"/>
          <w:color w:val="auto"/>
        </w:rPr>
      </w:pPr>
      <w:r>
        <w:rPr>
          <w:rFonts w:ascii="Arial" w:cs="Arial" w:eastAsia="Arial" w:hAnsi="Arial"/>
          <w:sz w:val="19"/>
          <w:szCs w:val="19"/>
          <w:b w:val="1"/>
          <w:bCs w:val="1"/>
          <w:color w:val="auto"/>
        </w:rPr>
        <w:t>Confidential Information and Invention Assignment Agreement</w:t>
      </w:r>
      <w:r>
        <w:rPr>
          <w:rFonts w:ascii="Arial" w:cs="Arial" w:eastAsia="Arial" w:hAnsi="Arial"/>
          <w:sz w:val="19"/>
          <w:szCs w:val="19"/>
          <w:color w:val="auto"/>
        </w:rPr>
        <w:t>. Like all Company employees, you will be required, as</w:t>
      </w:r>
      <w:r>
        <w:rPr>
          <w:rFonts w:ascii="Arial" w:cs="Arial" w:eastAsia="Arial" w:hAnsi="Arial"/>
          <w:sz w:val="19"/>
          <w:szCs w:val="19"/>
          <w:b w:val="1"/>
          <w:bCs w:val="1"/>
          <w:color w:val="auto"/>
        </w:rPr>
        <w:t xml:space="preserve"> </w:t>
      </w:r>
      <w:r>
        <w:rPr>
          <w:rFonts w:ascii="Arial" w:cs="Arial" w:eastAsia="Arial" w:hAnsi="Arial"/>
          <w:sz w:val="19"/>
          <w:szCs w:val="19"/>
          <w:color w:val="auto"/>
        </w:rPr>
        <w:t>a condition of your employment with the Company, to sign the Company’s standard Confidential Information and Invention Assignment Agreement, a copy of which is attached hereto as Exhibit A. We also want to make clear that we do not want you to, and we hereby direct you not to, bring with you any confidential or proprietary information of any former employer or other entity or to violate any other obligations you may have to any former employer or other entity. By signing this agreement, you confirm to the Company that you have no contractual commitments or other legal obligations that would prevent you from performing your duties for the Company.</w:t>
      </w:r>
    </w:p>
    <w:p>
      <w:pPr>
        <w:spacing w:after="0" w:line="186" w:lineRule="exact"/>
        <w:rPr>
          <w:sz w:val="20"/>
          <w:szCs w:val="20"/>
          <w:color w:val="auto"/>
        </w:rPr>
      </w:pPr>
    </w:p>
    <w:p>
      <w:pPr>
        <w:jc w:val="both"/>
        <w:ind w:left="471" w:hanging="471"/>
        <w:spacing w:after="0" w:line="242" w:lineRule="auto"/>
        <w:tabs>
          <w:tab w:leader="none" w:pos="471" w:val="left"/>
        </w:tabs>
        <w:numPr>
          <w:ilvl w:val="0"/>
          <w:numId w:val="36"/>
        </w:numPr>
        <w:rPr>
          <w:rFonts w:ascii="Arial" w:cs="Arial" w:eastAsia="Arial" w:hAnsi="Arial"/>
          <w:sz w:val="18"/>
          <w:szCs w:val="18"/>
          <w:color w:val="auto"/>
        </w:rPr>
      </w:pPr>
      <w:r>
        <w:rPr>
          <w:rFonts w:ascii="Arial" w:cs="Arial" w:eastAsia="Arial" w:hAnsi="Arial"/>
          <w:sz w:val="19"/>
          <w:szCs w:val="19"/>
          <w:b w:val="1"/>
          <w:bCs w:val="1"/>
          <w:color w:val="auto"/>
        </w:rPr>
        <w:t xml:space="preserve">Conflicts of Interest. </w:t>
      </w:r>
      <w:r>
        <w:rPr>
          <w:rFonts w:ascii="Arial" w:cs="Arial" w:eastAsia="Arial" w:hAnsi="Arial"/>
          <w:sz w:val="19"/>
          <w:szCs w:val="19"/>
          <w:color w:val="auto"/>
        </w:rPr>
        <w:t>During your employment, you agree not to engage in any employment, business, or activity that is in</w:t>
      </w:r>
      <w:r>
        <w:rPr>
          <w:rFonts w:ascii="Arial" w:cs="Arial" w:eastAsia="Arial" w:hAnsi="Arial"/>
          <w:sz w:val="19"/>
          <w:szCs w:val="19"/>
          <w:b w:val="1"/>
          <w:bCs w:val="1"/>
          <w:color w:val="auto"/>
        </w:rPr>
        <w:t xml:space="preserve"> </w:t>
      </w:r>
      <w:r>
        <w:rPr>
          <w:rFonts w:ascii="Arial" w:cs="Arial" w:eastAsia="Arial" w:hAnsi="Arial"/>
          <w:sz w:val="19"/>
          <w:szCs w:val="19"/>
          <w:color w:val="auto"/>
        </w:rPr>
        <w:t>any way competitive with the business or proposed business of the Company, which materially interferes with the performance of your job duties, or creates a conflict of interest (this includes any other full-time employment arrangements); provided, however, that you may continue to provide services and/or continue to engage in the current business activities that you list on Exhibit B hereto during your employment with the Company. During your employment with the Company, you may request (and submit to Wish for approval) an Outside Activity Disclosure Form from hr@wish.com to disclose any other outside employment, business, or activity in which you intend to engage during employment with Wish. Failure to make disclosures is considered a material representation that you are not engaged or associated with any such outside activities at the beginning of employment. You will be responsible for complying with Wish’s Conflict of Interest Policy, including updated disclosures of such outside activities, at all times during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114300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1"/>
          </w:cols>
          <w:pgMar w:left="609" w:top="126" w:right="339" w:bottom="1440" w:gutter="0" w:footer="0" w:header="0"/>
        </w:sectPr>
      </w:pPr>
    </w:p>
    <w:bookmarkStart w:id="82" w:name="page83"/>
    <w:bookmarkEnd w:id="82"/>
    <w:p>
      <w:pPr>
        <w:jc w:val="both"/>
        <w:ind w:left="471" w:hanging="467"/>
        <w:spacing w:after="0" w:line="241" w:lineRule="auto"/>
        <w:tabs>
          <w:tab w:leader="none" w:pos="471" w:val="left"/>
        </w:tabs>
        <w:numPr>
          <w:ilvl w:val="0"/>
          <w:numId w:val="37"/>
        </w:numPr>
        <w:rPr>
          <w:rFonts w:ascii="Arial" w:cs="Arial" w:eastAsia="Arial" w:hAnsi="Arial"/>
          <w:sz w:val="18"/>
          <w:szCs w:val="18"/>
          <w:color w:val="auto"/>
        </w:rPr>
      </w:pPr>
      <w:r>
        <w:rPr>
          <w:rFonts w:ascii="Arial" w:cs="Arial" w:eastAsia="Arial" w:hAnsi="Arial"/>
          <w:sz w:val="19"/>
          <w:szCs w:val="19"/>
          <w:b w:val="1"/>
          <w:bCs w:val="1"/>
          <w:color w:val="auto"/>
        </w:rPr>
        <w:t>Employment Relationship</w:t>
      </w:r>
      <w:r>
        <w:rPr>
          <w:rFonts w:ascii="Arial" w:cs="Arial" w:eastAsia="Arial" w:hAnsi="Arial"/>
          <w:sz w:val="19"/>
          <w:szCs w:val="19"/>
          <w:color w:val="auto"/>
        </w:rPr>
        <w:t>. Employment with the Company is at-will. This means that you have the right to resign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has the right to terminate your employment at any time, for any or no reason, with or without cause, and with or without notice. Any contrary representations that may have been made to you are superseded by this letter agreement. This, along with the Confidential Information and Invention Assignment Agreement, is the full and complete agreement between you and the Company on this term. Although your job duties, title, responsibilities, compensation and benefits, as well as the Company’s personnel policies and procedures, may change from time to time, the “at will” nature of your employment may only be changed in an express written agreement signed by you and the Board of Directors of the Company. At the sole discretion of the Company, you agree to serve, without additional compensation, as a director, officer, or member of the board of directors (collectively, “officer positions”) of any of the Company’s subsidiaries, partnerships, joint ventures or other affiliates. If your employment with the Company is terminated for any reason, whether such termination is voluntary or involuntary, you agree to take all necessary actions, as reasonably requested by the Company, to resign from all officer positions.</w:t>
      </w:r>
    </w:p>
    <w:p>
      <w:pPr>
        <w:spacing w:after="0" w:line="188" w:lineRule="exact"/>
        <w:rPr>
          <w:rFonts w:ascii="Arial" w:cs="Arial" w:eastAsia="Arial" w:hAnsi="Arial"/>
          <w:sz w:val="18"/>
          <w:szCs w:val="18"/>
          <w:color w:val="auto"/>
        </w:rPr>
      </w:pPr>
    </w:p>
    <w:p>
      <w:pPr>
        <w:ind w:left="471" w:hanging="471"/>
        <w:spacing w:after="0"/>
        <w:tabs>
          <w:tab w:leader="none" w:pos="471" w:val="left"/>
        </w:tabs>
        <w:numPr>
          <w:ilvl w:val="0"/>
          <w:numId w:val="37"/>
        </w:numPr>
        <w:rPr>
          <w:rFonts w:ascii="Arial" w:cs="Arial" w:eastAsia="Arial" w:hAnsi="Arial"/>
          <w:sz w:val="18"/>
          <w:szCs w:val="18"/>
          <w:color w:val="auto"/>
        </w:rPr>
      </w:pP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13" w:lineRule="exact"/>
        <w:rPr>
          <w:rFonts w:ascii="Arial" w:cs="Arial" w:eastAsia="Arial" w:hAnsi="Arial"/>
          <w:sz w:val="18"/>
          <w:szCs w:val="18"/>
          <w:color w:val="auto"/>
        </w:rPr>
      </w:pPr>
    </w:p>
    <w:p>
      <w:pPr>
        <w:ind w:left="851" w:hanging="383"/>
        <w:spacing w:after="0" w:line="285" w:lineRule="auto"/>
        <w:tabs>
          <w:tab w:leader="none" w:pos="851" w:val="left"/>
        </w:tabs>
        <w:numPr>
          <w:ilvl w:val="1"/>
          <w:numId w:val="37"/>
        </w:numPr>
        <w:rPr>
          <w:rFonts w:ascii="Arial" w:cs="Arial" w:eastAsia="Arial" w:hAnsi="Arial"/>
          <w:sz w:val="19"/>
          <w:szCs w:val="19"/>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All forms of compensation referred to in this letter agreement are subject to reduction to reflect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and payroll taxes and other deductions required by law.</w:t>
      </w:r>
    </w:p>
    <w:p>
      <w:pPr>
        <w:spacing w:after="0" w:line="142" w:lineRule="exact"/>
        <w:rPr>
          <w:rFonts w:ascii="Arial" w:cs="Arial" w:eastAsia="Arial" w:hAnsi="Arial"/>
          <w:sz w:val="19"/>
          <w:szCs w:val="19"/>
          <w:color w:val="auto"/>
        </w:rPr>
      </w:pPr>
    </w:p>
    <w:p>
      <w:pPr>
        <w:jc w:val="both"/>
        <w:ind w:left="851" w:hanging="383"/>
        <w:spacing w:after="0" w:line="248" w:lineRule="auto"/>
        <w:tabs>
          <w:tab w:leader="none" w:pos="851" w:val="left"/>
        </w:tabs>
        <w:numPr>
          <w:ilvl w:val="1"/>
          <w:numId w:val="37"/>
        </w:numPr>
        <w:rPr>
          <w:rFonts w:ascii="Arial" w:cs="Arial" w:eastAsia="Arial" w:hAnsi="Arial"/>
          <w:sz w:val="19"/>
          <w:szCs w:val="19"/>
          <w:color w:val="auto"/>
        </w:rPr>
      </w:pPr>
      <w:r>
        <w:rPr>
          <w:rFonts w:ascii="Arial" w:cs="Arial" w:eastAsia="Arial" w:hAnsi="Arial"/>
          <w:sz w:val="19"/>
          <w:szCs w:val="19"/>
          <w:b w:val="1"/>
          <w:bCs w:val="1"/>
          <w:color w:val="auto"/>
        </w:rPr>
        <w:t>Tax Advice</w:t>
      </w:r>
      <w:r>
        <w:rPr>
          <w:rFonts w:ascii="Arial" w:cs="Arial" w:eastAsia="Arial" w:hAnsi="Arial"/>
          <w:sz w:val="19"/>
          <w:szCs w:val="19"/>
          <w:color w:val="auto"/>
        </w:rPr>
        <w:t>. You are encouraged to obtain your own tax advice regarding your compensation from the Company. You</w:t>
      </w:r>
      <w:r>
        <w:rPr>
          <w:rFonts w:ascii="Arial" w:cs="Arial" w:eastAsia="Arial" w:hAnsi="Arial"/>
          <w:sz w:val="19"/>
          <w:szCs w:val="19"/>
          <w:b w:val="1"/>
          <w:bCs w:val="1"/>
          <w:color w:val="auto"/>
        </w:rPr>
        <w:t xml:space="preserve"> </w:t>
      </w:r>
      <w:r>
        <w:rPr>
          <w:rFonts w:ascii="Arial" w:cs="Arial" w:eastAsia="Arial" w:hAnsi="Arial"/>
          <w:sz w:val="19"/>
          <w:szCs w:val="19"/>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rFonts w:ascii="Arial" w:cs="Arial" w:eastAsia="Arial" w:hAnsi="Arial"/>
          <w:sz w:val="19"/>
          <w:szCs w:val="19"/>
          <w:color w:val="auto"/>
        </w:rPr>
      </w:pPr>
    </w:p>
    <w:p>
      <w:pPr>
        <w:jc w:val="both"/>
        <w:ind w:left="471" w:hanging="471"/>
        <w:spacing w:after="0" w:line="245" w:lineRule="auto"/>
        <w:tabs>
          <w:tab w:leader="none" w:pos="471" w:val="left"/>
        </w:tabs>
        <w:numPr>
          <w:ilvl w:val="0"/>
          <w:numId w:val="37"/>
        </w:numPr>
        <w:rPr>
          <w:rFonts w:ascii="Arial" w:cs="Arial" w:eastAsia="Arial" w:hAnsi="Arial"/>
          <w:sz w:val="18"/>
          <w:szCs w:val="18"/>
          <w:color w:val="auto"/>
        </w:rPr>
      </w:pPr>
      <w:r>
        <w:rPr>
          <w:rFonts w:ascii="Arial" w:cs="Arial" w:eastAsia="Arial" w:hAnsi="Arial"/>
          <w:sz w:val="19"/>
          <w:szCs w:val="19"/>
          <w:b w:val="1"/>
          <w:bCs w:val="1"/>
          <w:color w:val="auto"/>
        </w:rPr>
        <w:t>Interpretation, Amendment and Enforcement</w:t>
      </w:r>
      <w:r>
        <w:rPr>
          <w:rFonts w:ascii="Arial" w:cs="Arial" w:eastAsia="Arial" w:hAnsi="Arial"/>
          <w:sz w:val="19"/>
          <w:szCs w:val="19"/>
          <w:color w:val="auto"/>
        </w:rPr>
        <w:t>. This letter agreement and the accompanying exhibits,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and Invention Assignment Agreement, along with documents related to your equity grants, constitute the complete agreement between you and the Company, contain all of the terms of your employment with the Company and supersede any prior between you and the Company. This letter agreement may only be amended by an authorized officer of the Company.</w:t>
      </w:r>
    </w:p>
    <w:p>
      <w:pPr>
        <w:spacing w:after="0" w:line="180" w:lineRule="exact"/>
        <w:rPr>
          <w:rFonts w:ascii="Arial" w:cs="Arial" w:eastAsia="Arial" w:hAnsi="Arial"/>
          <w:sz w:val="18"/>
          <w:szCs w:val="18"/>
          <w:color w:val="auto"/>
        </w:rPr>
      </w:pPr>
    </w:p>
    <w:p>
      <w:pPr>
        <w:jc w:val="both"/>
        <w:ind w:left="471" w:hanging="471"/>
        <w:spacing w:after="0" w:line="256" w:lineRule="auto"/>
        <w:tabs>
          <w:tab w:leader="none" w:pos="471" w:val="left"/>
        </w:tabs>
        <w:numPr>
          <w:ilvl w:val="0"/>
          <w:numId w:val="37"/>
        </w:numPr>
        <w:rPr>
          <w:rFonts w:ascii="Arial" w:cs="Arial" w:eastAsia="Arial" w:hAnsi="Arial"/>
          <w:sz w:val="17"/>
          <w:szCs w:val="17"/>
          <w:color w:val="auto"/>
        </w:rPr>
      </w:pPr>
      <w:r>
        <w:rPr>
          <w:rFonts w:ascii="Arial" w:cs="Arial" w:eastAsia="Arial" w:hAnsi="Arial"/>
          <w:sz w:val="18"/>
          <w:szCs w:val="18"/>
          <w:b w:val="1"/>
          <w:bCs w:val="1"/>
          <w:color w:val="auto"/>
        </w:rPr>
        <w:t>Arbitration of Disputes</w:t>
      </w:r>
      <w:r>
        <w:rPr>
          <w:rFonts w:ascii="Arial" w:cs="Arial" w:eastAsia="Arial" w:hAnsi="Arial"/>
          <w:sz w:val="18"/>
          <w:szCs w:val="18"/>
          <w:color w:val="auto"/>
        </w:rPr>
        <w:t>. The Company and I mutually consent to the resolution by arbitration, under the applicable rules of</w:t>
      </w:r>
      <w:r>
        <w:rPr>
          <w:rFonts w:ascii="Arial" w:cs="Arial" w:eastAsia="Arial" w:hAnsi="Arial"/>
          <w:sz w:val="18"/>
          <w:szCs w:val="18"/>
          <w:b w:val="1"/>
          <w:bCs w:val="1"/>
          <w:color w:val="auto"/>
        </w:rPr>
        <w:t xml:space="preserve"> </w:t>
      </w:r>
      <w:r>
        <w:rPr>
          <w:rFonts w:ascii="Arial" w:cs="Arial" w:eastAsia="Arial" w:hAnsi="Arial"/>
          <w:sz w:val="18"/>
          <w:szCs w:val="18"/>
          <w:color w:val="auto"/>
        </w:rPr>
        <w:t>JAMS (which are available at jamsadr.com, or from the Company upon my request), of all claims (common law or statutory) that the Company might have against me, or that I may have against the Company, its affiliated companies, the directors, employees or agents of any such company, and all successors and assigns of any of them. The Company and I waive the right to have a court or jury trial on any arbitrable claim. The Federal Arbitration Act shall govern this arbitration agreement, or if for any reason the FAA does not apply, the arbitration law of the state in which I rendered services to the Company. Notwithstanding any provision of the JAMS Rules, arbitration shall occur on an individual basis only, and a court of competent jurisdiction (and not an arbitrator) shall resolve any dispute about the formation, validity, or enforceability of any provision of this arbitration agreement. I waive the right to initiate, participate in, or recover through, any class or collective action. To the maximum extent permitted by law, the arbitrator shall award the prevailing party its costs and reasonable attorney’s fees; provided, however, that the arbitrator at all times shall apply the law for the shifting of costs and fees that a court would apply to the claim(s) asserted. Nothing in this arbitration agreement prevents me from filing or recovering pursuant to a complaint, charge, or other communication with any federal, state or local governmental or law enforcement agency. This arbitration agreement shall remain in effect notwithstanding the termination of my association with the Company. To opt-out of this paragraph, you must complete an opt-out form prior to your Start Date. Please email hr@wish.com for the form.</w:t>
      </w:r>
    </w:p>
    <w:p>
      <w:pPr>
        <w:spacing w:after="0" w:line="171" w:lineRule="exact"/>
        <w:rPr>
          <w:rFonts w:ascii="Arial" w:cs="Arial" w:eastAsia="Arial" w:hAnsi="Arial"/>
          <w:sz w:val="17"/>
          <w:szCs w:val="17"/>
          <w:color w:val="auto"/>
        </w:rPr>
      </w:pPr>
    </w:p>
    <w:p>
      <w:pPr>
        <w:jc w:val="both"/>
        <w:ind w:left="471" w:hanging="471"/>
        <w:spacing w:after="0" w:line="243" w:lineRule="auto"/>
        <w:tabs>
          <w:tab w:leader="none" w:pos="471" w:val="left"/>
        </w:tabs>
        <w:numPr>
          <w:ilvl w:val="0"/>
          <w:numId w:val="37"/>
        </w:numPr>
        <w:rPr>
          <w:rFonts w:ascii="Arial" w:cs="Arial" w:eastAsia="Arial" w:hAnsi="Arial"/>
          <w:sz w:val="18"/>
          <w:szCs w:val="18"/>
          <w:color w:val="auto"/>
        </w:rPr>
      </w:pPr>
      <w:r>
        <w:rPr>
          <w:rFonts w:ascii="Arial" w:cs="Arial" w:eastAsia="Arial" w:hAnsi="Arial"/>
          <w:sz w:val="19"/>
          <w:szCs w:val="19"/>
          <w:b w:val="1"/>
          <w:bCs w:val="1"/>
          <w:color w:val="auto"/>
        </w:rPr>
        <w:t>Contingencies</w:t>
      </w:r>
      <w:r>
        <w:rPr>
          <w:rFonts w:ascii="Arial" w:cs="Arial" w:eastAsia="Arial" w:hAnsi="Arial"/>
          <w:sz w:val="19"/>
          <w:szCs w:val="19"/>
          <w:color w:val="auto"/>
        </w:rPr>
        <w:t>. This offer is contingent upon proof of identity and eligibility to work (including by way of an O-1 visa being</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to you) in the United States, which proof must be submitted to the Company. Your continued employment with the Company is contingent upon you remaining authorized to work in the United States for Wish. The Company reserves the right to conduct background, credit and/or reference checks on all of its potential employees. Your job offer, therefore, is contingent upon clearance of such background, credit and/or reference checks, including satisfactory responses to a D&amp;O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507365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1"/>
          </w:cols>
          <w:pgMar w:left="609" w:top="126" w:right="339" w:bottom="1440" w:gutter="0" w:footer="0" w:header="0"/>
        </w:sectPr>
      </w:pPr>
    </w:p>
    <w:bookmarkStart w:id="83" w:name="page84"/>
    <w:bookmarkEnd w:id="83"/>
    <w:p>
      <w:pPr>
        <w:jc w:val="both"/>
        <w:ind w:firstLine="749"/>
        <w:spacing w:after="0" w:line="266" w:lineRule="auto"/>
        <w:rPr>
          <w:sz w:val="20"/>
          <w:szCs w:val="20"/>
          <w:color w:val="auto"/>
        </w:rPr>
      </w:pPr>
      <w:r>
        <w:rPr>
          <w:rFonts w:ascii="Arial" w:cs="Arial" w:eastAsia="Arial" w:hAnsi="Arial"/>
          <w:sz w:val="19"/>
          <w:szCs w:val="19"/>
          <w:color w:val="auto"/>
        </w:rPr>
        <w:t xml:space="preserve">We hope that you will accept our offer to join the Company. You may indicate your agreement with these terms and accept this offer by signing and dating this letter agreement and the enclosed exhibit, and returning them to me. This offer, if not accepted, will expire at the end of day on </w:t>
      </w:r>
      <w:r>
        <w:rPr>
          <w:rFonts w:ascii="Arial" w:cs="Arial" w:eastAsia="Arial" w:hAnsi="Arial"/>
          <w:sz w:val="19"/>
          <w:szCs w:val="19"/>
          <w:b w:val="1"/>
          <w:bCs w:val="1"/>
          <w:color w:val="auto"/>
        </w:rPr>
        <w:t>September 8, 2022</w:t>
      </w:r>
      <w:r>
        <w:rPr>
          <w:rFonts w:ascii="Arial" w:cs="Arial" w:eastAsia="Arial" w:hAnsi="Arial"/>
          <w:sz w:val="19"/>
          <w:szCs w:val="19"/>
          <w:color w:val="auto"/>
        </w:rPr>
        <w:t>.</w:t>
      </w: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Very truly yours,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w:t>
      </w:r>
      <w:r>
        <w:rPr>
          <w:rFonts w:ascii="Arial" w:cs="Arial" w:eastAsia="Arial" w:hAnsi="Arial"/>
          <w:sz w:val="13"/>
          <w:szCs w:val="13"/>
          <w:color w:val="auto"/>
        </w:rPr>
        <w:t>ontext</w:t>
      </w:r>
      <w:r>
        <w:rPr>
          <w:rFonts w:ascii="Arial" w:cs="Arial" w:eastAsia="Arial" w:hAnsi="Arial"/>
          <w:sz w:val="19"/>
          <w:szCs w:val="19"/>
          <w:color w:val="auto"/>
        </w:rPr>
        <w:t>L</w:t>
      </w:r>
      <w:r>
        <w:rPr>
          <w:rFonts w:ascii="Arial" w:cs="Arial" w:eastAsia="Arial" w:hAnsi="Arial"/>
          <w:sz w:val="13"/>
          <w:szCs w:val="13"/>
          <w:color w:val="auto"/>
        </w:rPr>
        <w:t>ogic</w:t>
      </w:r>
      <w:r>
        <w:rPr>
          <w:rFonts w:ascii="Arial" w:cs="Arial" w:eastAsia="Arial" w:hAnsi="Arial"/>
          <w:sz w:val="19"/>
          <w:szCs w:val="19"/>
          <w:color w:val="auto"/>
        </w:rPr>
        <w:t xml:space="preserve"> I</w:t>
      </w:r>
      <w:r>
        <w:rPr>
          <w:rFonts w:ascii="Arial" w:cs="Arial" w:eastAsia="Arial" w:hAnsi="Arial"/>
          <w:sz w:val="13"/>
          <w:szCs w:val="13"/>
          <w:color w:val="auto"/>
        </w:rPr>
        <w:t>nc</w:t>
      </w:r>
      <w:r>
        <w:rPr>
          <w:rFonts w:ascii="Arial" w:cs="Arial" w:eastAsia="Arial" w:hAnsi="Arial"/>
          <w:sz w:val="19"/>
          <w:szCs w:val="19"/>
          <w:color w:val="auto"/>
        </w:rPr>
        <w:t>.</w:t>
      </w: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/s/ Tanzeen Syed</w:t>
      </w:r>
    </w:p>
    <w:p>
      <w:pPr>
        <w:spacing w:after="0" w:line="38"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Tanzeen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-137795</wp:posOffset>
            </wp:positionV>
            <wp:extent cx="40373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9"/>
          <w:szCs w:val="19"/>
          <w:color w:val="auto"/>
        </w:rPr>
        <w:t>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I have read and accept this employment offer: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Jun (Joe) Yan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Jun Yan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September 7, 2022</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Date (MM/DD/YYYY)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Jun Yan, certify that:</w:t>
      </w:r>
    </w:p>
    <w:p>
      <w:pPr>
        <w:spacing w:after="0" w:line="117"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8"/>
          <w:szCs w:val="18"/>
          <w:color w:val="auto"/>
        </w:rPr>
      </w:pPr>
    </w:p>
    <w:p>
      <w:pPr>
        <w:ind w:left="1020" w:right="120" w:hanging="503"/>
        <w:spacing w:after="0" w:line="287"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5500" w:val="left"/>
          <w:tab w:leader="none" w:pos="81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17780</wp:posOffset>
            </wp:positionV>
            <wp:extent cx="33432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Jun Yan</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17"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8"/>
          <w:szCs w:val="18"/>
          <w:color w:val="auto"/>
        </w:rPr>
      </w:pPr>
    </w:p>
    <w:p>
      <w:pPr>
        <w:ind w:left="1020" w:right="120" w:hanging="503"/>
        <w:spacing w:after="0" w:line="287"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5500" w:val="left"/>
          <w:tab w:leader="none" w:pos="80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17780</wp:posOffset>
            </wp:positionV>
            <wp:extent cx="33432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Vivian Liu</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72"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right="160" w:hanging="503"/>
        <w:spacing w:after="0" w:line="27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40" w:lineRule="exact"/>
        <w:rPr>
          <w:sz w:val="20"/>
          <w:szCs w:val="20"/>
          <w:color w:val="auto"/>
        </w:rPr>
      </w:pPr>
    </w:p>
    <w:p>
      <w:pPr>
        <w:ind w:left="20"/>
        <w:spacing w:after="0"/>
        <w:tabs>
          <w:tab w:leader="none" w:pos="5300" w:val="left"/>
          <w:tab w:leader="none" w:pos="80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34201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840"/>
        <w:spacing w:after="0" w:line="234" w:lineRule="auto"/>
        <w:rPr>
          <w:sz w:val="20"/>
          <w:szCs w:val="20"/>
          <w:color w:val="auto"/>
        </w:rPr>
      </w:pPr>
      <w:r>
        <w:rPr>
          <w:rFonts w:ascii="Arial" w:cs="Arial" w:eastAsia="Arial" w:hAnsi="Arial"/>
          <w:sz w:val="18"/>
          <w:szCs w:val="18"/>
          <w:color w:val="auto"/>
        </w:rPr>
        <w:t>Interim Chief Executive Officer</w:t>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72"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right="160" w:hanging="503"/>
        <w:spacing w:after="0" w:line="27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40" w:lineRule="exact"/>
        <w:rPr>
          <w:sz w:val="20"/>
          <w:szCs w:val="20"/>
          <w:color w:val="auto"/>
        </w:rPr>
      </w:pPr>
    </w:p>
    <w:p>
      <w:pPr>
        <w:ind w:left="20"/>
        <w:spacing w:after="0"/>
        <w:tabs>
          <w:tab w:leader="none" w:pos="5300" w:val="left"/>
          <w:tab w:leader="none" w:pos="80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342011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840"/>
        <w:spacing w:after="0" w:line="234" w:lineRule="auto"/>
        <w:rPr>
          <w:sz w:val="20"/>
          <w:szCs w:val="20"/>
          <w:color w:val="auto"/>
        </w:rPr>
      </w:pPr>
      <w:r>
        <w:rPr>
          <w:rFonts w:ascii="Arial" w:cs="Arial" w:eastAsia="Arial" w:hAnsi="Arial"/>
          <w:sz w:val="18"/>
          <w:szCs w:val="18"/>
          <w:color w:val="auto"/>
        </w:rPr>
        <w:t>Chief Financial Officer and Chief Operating Officer</w:t>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upperLetter"/>
      <w:start w:val="2"/>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lowerRoman"/>
      <w:start w:val="5"/>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2"/>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5"/>
    </w:lvl>
  </w:abstractNum>
  <w:abstractNum w:abstractNumId="31">
    <w:nsid w:val="3804823E"/>
    <w:multiLevelType w:val="hybridMultilevel"/>
    <w:lvl w:ilvl="0">
      <w:lvlJc w:val="left"/>
      <w:lvlText w:val="%1."/>
      <w:numFmt w:val="decimal"/>
      <w:start w:val="1"/>
    </w:lvl>
    <w:lvl w:ilvl="1">
      <w:lvlJc w:val="left"/>
      <w:lvlText w:val="(%2)"/>
      <w:numFmt w:val="lowerRoman"/>
      <w:start w:val="4"/>
    </w:lvl>
  </w:abstractNum>
  <w:abstractNum w:abstractNumId="32">
    <w:nsid w:val="77465F01"/>
    <w:multiLevelType w:val="hybridMultilevel"/>
    <w:lvl w:ilvl="0">
      <w:lvlJc w:val="left"/>
      <w:lvlText w:val="%1"/>
      <w:numFmt w:val="decimal"/>
      <w:start w:val="1"/>
    </w:lvl>
    <w:lvl w:ilvl="1">
      <w:lvlJc w:val="left"/>
      <w:lvlText w:val="(%2)"/>
      <w:numFmt w:val="lowerRoman"/>
      <w:start w:val="3"/>
    </w:lvl>
  </w:abstractNum>
  <w:abstractNum w:abstractNumId="33">
    <w:nsid w:val="7724C67E"/>
    <w:multiLevelType w:val="hybridMultilevel"/>
    <w:lvl w:ilvl="0">
      <w:lvlJc w:val="left"/>
      <w:lvlText w:val="%1."/>
      <w:numFmt w:val="decimal"/>
      <w:start w:val="4"/>
    </w:lvl>
    <w:lvl w:ilvl="1">
      <w:lvlJc w:val="left"/>
      <w:lvlText w:val="%2"/>
      <w:numFmt w:val="lowerRoman"/>
      <w:start w:val="1"/>
    </w:lvl>
  </w:abstractNum>
  <w:abstractNum w:abstractNumId="34">
    <w:nsid w:val="5C482A97"/>
    <w:multiLevelType w:val="hybridMultilevel"/>
    <w:lvl w:ilvl="0">
      <w:lvlJc w:val="left"/>
      <w:lvlText w:val="%1."/>
      <w:numFmt w:val="decimal"/>
      <w:start w:val="5"/>
    </w:lvl>
    <w:lvl w:ilvl="1">
      <w:lvlJc w:val="left"/>
      <w:lvlText w:val="%2."/>
      <w:numFmt w:val="decimal"/>
      <w:start w:val="7"/>
    </w:lvl>
  </w:abstractNum>
  <w:abstractNum w:abstractNumId="35">
    <w:nsid w:val="2463B9EA"/>
    <w:multiLevelType w:val="hybridMultilevel"/>
    <w:lvl w:ilvl="0">
      <w:lvlJc w:val="left"/>
      <w:lvlText w:val="%1."/>
      <w:numFmt w:val="decimal"/>
      <w:start w:val="8"/>
    </w:lvl>
  </w:abstractNum>
  <w:abstractNum w:abstractNumId="36">
    <w:nsid w:val="5E884ADC"/>
    <w:multiLevelType w:val="hybridMultilevel"/>
    <w:lvl w:ilvl="0">
      <w:lvlJc w:val="left"/>
      <w:lvlText w:val="%1."/>
      <w:numFmt w:val="decimal"/>
      <w:start w:val="9"/>
    </w:lvl>
    <w:lvl w:ilvl="1">
      <w:lvlJc w:val="left"/>
      <w:lvlText w:val="(%2)"/>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2022-11-10T03:28:07Z</dcterms:created>
  <dcterms:modified xsi:type="dcterms:W3CDTF">2022-11-10T03:28:07Z</dcterms:modified>
</cp:coreProperties>
</file>