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both"/>
        <w:rPr/>
      </w:pPr>
      <w:bookmarkStart w:id="0" w:name="wish-20230331.htm"/>
      <w:bookmarkStart w:id="1" w:name="kswish20230331"/>
      <w:bookmarkEnd w:id="0"/>
      <w:bookmarkEnd w:id="1"/>
      <w:r>
        <w:rPr/>
        <w:t> </w:t>
      </w:r>
    </w:p>
    <w:p>
      <w:pPr>
        <w:pStyle w:val="TextBody"/>
        <w:spacing w:before="0" w:after="0"/>
        <w:jc w:val="center"/>
        <w:rPr>
          <w:rFonts w:ascii="Arial;sans-serif" w:hAnsi="Arial;sans-serif"/>
          <w:b/>
          <w:sz w:val="36"/>
        </w:rPr>
      </w:pPr>
      <w:r>
        <w:rPr>
          <w:rFonts w:ascii="Arial;sans-serif" w:hAnsi="Arial;sans-serif"/>
          <w:b/>
          <w:sz w:val="36"/>
        </w:rPr>
        <w:t>UNITED STATES</w:t>
      </w:r>
    </w:p>
    <w:p>
      <w:pPr>
        <w:pStyle w:val="TextBody"/>
        <w:spacing w:before="0" w:after="0"/>
        <w:jc w:val="center"/>
        <w:rPr>
          <w:rFonts w:ascii="Arial;sans-serif" w:hAnsi="Arial;sans-serif"/>
          <w:b/>
          <w:sz w:val="36"/>
        </w:rPr>
      </w:pPr>
      <w:r>
        <w:rPr>
          <w:rFonts w:ascii="Arial;sans-serif" w:hAnsi="Arial;sans-serif"/>
          <w:b/>
          <w:sz w:val="36"/>
        </w:rPr>
        <w:t>SECURITIES AND EXCHANGE COMMISSION</w:t>
      </w:r>
    </w:p>
    <w:p>
      <w:pPr>
        <w:pStyle w:val="TextBody"/>
        <w:spacing w:before="0" w:after="0"/>
        <w:jc w:val="center"/>
        <w:rPr>
          <w:rFonts w:ascii="Arial;sans-serif" w:hAnsi="Arial;sans-serif"/>
          <w:b/>
          <w:sz w:val="24"/>
        </w:rPr>
      </w:pPr>
      <w:r>
        <w:rPr>
          <w:rFonts w:ascii="Arial;sans-serif" w:hAnsi="Arial;sans-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spacing w:before="0" w:after="0"/>
        <w:jc w:val="center"/>
        <w:rPr/>
      </w:pPr>
      <w:r>
        <w:rPr/>
        <w:t> </w:t>
      </w:r>
    </w:p>
    <w:p>
      <w:pPr>
        <w:pStyle w:val="TextBody"/>
        <w:spacing w:before="80" w:after="0"/>
        <w:jc w:val="both"/>
        <w:rPr>
          <w:rFonts w:ascii="Arial;sans-serif" w:hAnsi="Arial;sans-serif"/>
          <w:b/>
          <w:sz w:val="16"/>
        </w:rPr>
      </w:pPr>
      <w:r>
        <w:rPr>
          <w:rFonts w:ascii="Arial;sans-serif" w:hAnsi="Arial;sans-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QUARTERLY REPORT PURSUANT TO SECTION 13 OR 15(d) OF THE SECURITIES EXCHANGE ACT OF 1934</w:t>
            </w:r>
          </w:p>
        </w:tc>
      </w:tr>
    </w:tbl>
    <w:p>
      <w:pPr>
        <w:pStyle w:val="TextBody"/>
        <w:spacing w:before="80" w:after="0"/>
        <w:jc w:val="center"/>
        <w:rPr>
          <w:rFonts w:ascii="Arial;sans-serif" w:hAnsi="Arial;sans-serif"/>
          <w:b/>
          <w:sz w:val="20"/>
        </w:rPr>
      </w:pPr>
      <w:r>
        <w:rPr>
          <w:rFonts w:ascii="Arial;sans-serif" w:hAnsi="Arial;sans-serif"/>
          <w:b/>
          <w:sz w:val="20"/>
        </w:rPr>
        <w:t>For the quarterly period ended March 31, 2023</w:t>
      </w:r>
    </w:p>
    <w:p>
      <w:pPr>
        <w:pStyle w:val="TextBody"/>
        <w:spacing w:before="80" w:after="0"/>
        <w:jc w:val="center"/>
        <w:rPr>
          <w:rFonts w:ascii="Arial;sans-serif" w:hAnsi="Arial;sans-serif"/>
          <w:b/>
          <w:sz w:val="20"/>
        </w:rPr>
      </w:pPr>
      <w:r>
        <w:rPr>
          <w:rFonts w:ascii="Arial;sans-serif" w:hAnsi="Arial;sans-serif"/>
          <w:b/>
          <w:sz w:val="20"/>
        </w:rPr>
        <w:t>OR</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both"/>
              <w:rPr>
                <w:rFonts w:ascii="Arial;sans-serif" w:hAnsi="Arial;sans-serif"/>
                <w:b/>
                <w:sz w:val="20"/>
              </w:rPr>
            </w:pPr>
            <w:r>
              <w:rPr>
                <w:rFonts w:ascii="Arial;sans-serif" w:hAnsi="Arial;sans-serif"/>
                <w:b/>
                <w:sz w:val="20"/>
              </w:rPr>
              <w:t>TRANSITION REPORT PURSUANT TO SECTION 13 OR 15(d) OF THE SECURITIES EXCHANGE ACT OF 1934</w:t>
            </w:r>
          </w:p>
        </w:tc>
      </w:tr>
    </w:tbl>
    <w:p>
      <w:pPr>
        <w:pStyle w:val="TextBody"/>
        <w:spacing w:before="80" w:after="0"/>
        <w:jc w:val="center"/>
        <w:rPr>
          <w:rFonts w:ascii="Arial;sans-serif" w:hAnsi="Arial;sans-serif"/>
          <w:b/>
          <w:sz w:val="20"/>
        </w:rPr>
      </w:pPr>
      <w:r>
        <w:rPr>
          <w:rFonts w:ascii="Arial;sans-serif" w:hAnsi="Arial;sans-serif"/>
          <w:b/>
          <w:sz w:val="20"/>
        </w:rPr>
        <w:t>For the transition period from _ to _</w:t>
      </w:r>
    </w:p>
    <w:p>
      <w:pPr>
        <w:pStyle w:val="TextBody"/>
        <w:spacing w:before="80" w:after="0"/>
        <w:jc w:val="center"/>
        <w:rPr>
          <w:rFonts w:ascii="Times New Roman" w:hAnsi="Times New Roman"/>
          <w:sz w:val="20"/>
        </w:rPr>
      </w:pPr>
      <w:r>
        <w:rPr>
          <w:rFonts w:ascii="Arial;sans-serif" w:hAnsi="Arial;sans-serif"/>
          <w:b/>
          <w:sz w:val="20"/>
        </w:rPr>
        <w:t xml:space="preserve">Commission File Number: </w:t>
      </w:r>
      <w:r>
        <w:rPr>
          <w:rFonts w:ascii="Arial;sans-serif" w:hAnsi="Arial;sans-serif"/>
          <w:b/>
          <w:sz w:val="18"/>
        </w:rPr>
        <w:t>001-39775</w:t>
      </w:r>
    </w:p>
    <w:p>
      <w:pPr>
        <w:pStyle w:val="TextBody"/>
        <w:pBdr>
          <w:bottom w:val="single" w:sz="4" w:space="1" w:color="000000"/>
        </w:pBdr>
        <w:spacing w:before="0" w:after="0"/>
        <w:jc w:val="center"/>
        <w:rPr/>
      </w:pPr>
      <w:r>
        <w:rPr/>
        <w:t> </w:t>
      </w:r>
    </w:p>
    <w:p>
      <w:pPr>
        <w:pStyle w:val="TextBody"/>
        <w:spacing w:before="80" w:after="0"/>
        <w:jc w:val="center"/>
        <w:rPr>
          <w:rFonts w:ascii="Times New Roman" w:hAnsi="Times New Roman"/>
          <w:sz w:val="20"/>
        </w:rPr>
      </w:pPr>
      <w:r>
        <w:rPr>
          <w:rFonts w:ascii="Arial;sans-serif" w:hAnsi="Arial;sans-serif"/>
          <w:b/>
          <w:sz w:val="48"/>
        </w:rPr>
        <w:t>ContextLogic Inc.</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4802" w:type="dxa"/>
        <w:jc w:val="left"/>
        <w:tblInd w:w="0" w:type="dxa"/>
        <w:tblCellMar>
          <w:top w:w="28" w:type="dxa"/>
          <w:left w:w="28" w:type="dxa"/>
          <w:bottom w:w="28" w:type="dxa"/>
          <w:right w:w="28" w:type="dxa"/>
        </w:tblCellMar>
      </w:tblPr>
      <w:tblGrid>
        <w:gridCol w:w="3226"/>
        <w:gridCol w:w="1576"/>
      </w:tblGrid>
      <w:tr>
        <w:trPr/>
        <w:tc>
          <w:tcPr>
            <w:tcW w:w="322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Delaware</w:t>
            </w:r>
          </w:p>
        </w:tc>
        <w:tc>
          <w:tcPr>
            <w:tcW w:w="157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27-2930953</w:t>
            </w:r>
          </w:p>
        </w:tc>
      </w:tr>
      <w:tr>
        <w:trPr/>
        <w:tc>
          <w:tcPr>
            <w:tcW w:w="322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(State or other jurisdiction of</w:t>
            </w:r>
          </w:p>
          <w:p>
            <w:pPr>
              <w:pStyle w:val="TableContents"/>
              <w:spacing w:before="0" w:after="0"/>
              <w:ind w:left="0" w:right="0" w:hanging="0"/>
              <w:jc w:val="center"/>
              <w:rPr>
                <w:rFonts w:ascii="Arial;sans-serif" w:hAnsi="Arial;sans-serif"/>
                <w:b/>
                <w:sz w:val="16"/>
              </w:rPr>
            </w:pPr>
            <w:r>
              <w:rPr>
                <w:rFonts w:ascii="Arial;sans-serif" w:hAnsi="Arial;sans-serif"/>
                <w:b/>
                <w:sz w:val="16"/>
              </w:rPr>
              <w:t>incorporation or organization)</w:t>
            </w:r>
          </w:p>
        </w:tc>
        <w:tc>
          <w:tcPr>
            <w:tcW w:w="157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(I.R.S. Employer</w:t>
              <w:br/>
              <w:t>Identification No.)</w:t>
            </w:r>
          </w:p>
        </w:tc>
      </w:tr>
      <w:tr>
        <w:trPr/>
        <w:tc>
          <w:tcPr>
            <w:tcW w:w="3226" w:type="dxa"/>
            <w:tcBorders/>
            <w:shd w:fill="auto" w:val="clear"/>
            <w:vAlign w:val="center"/>
          </w:tcPr>
          <w:p>
            <w:pPr>
              <w:pStyle w:val="TableContents"/>
              <w:spacing w:before="0" w:after="0"/>
              <w:ind w:left="0" w:right="0" w:hanging="0"/>
              <w:jc w:val="center"/>
              <w:rPr/>
            </w:pPr>
            <w:r>
              <w:rPr/>
              <w:t> </w:t>
            </w:r>
          </w:p>
        </w:tc>
        <w:tc>
          <w:tcPr>
            <w:tcW w:w="1576" w:type="dxa"/>
            <w:tcBorders/>
            <w:shd w:fill="auto" w:val="cle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One Sansome Street 33rd Floor</w:t>
            </w:r>
          </w:p>
          <w:p>
            <w:pPr>
              <w:pStyle w:val="TableContents"/>
              <w:spacing w:before="0" w:after="0"/>
              <w:ind w:left="0" w:right="0" w:hanging="0"/>
              <w:jc w:val="center"/>
              <w:rPr>
                <w:rFonts w:ascii="Arial;sans-serif" w:hAnsi="Arial;sans-serif"/>
                <w:b/>
                <w:sz w:val="18"/>
              </w:rPr>
            </w:pPr>
            <w:r>
              <w:rPr>
                <w:rFonts w:ascii="Arial;sans-serif" w:hAnsi="Arial;sans-serif"/>
                <w:b/>
                <w:sz w:val="18"/>
              </w:rPr>
              <w:t>San Francisco, CA</w:t>
            </w:r>
          </w:p>
        </w:tc>
        <w:tc>
          <w:tcPr>
            <w:tcW w:w="157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94104</w:t>
            </w:r>
          </w:p>
        </w:tc>
      </w:tr>
      <w:tr>
        <w:trPr/>
        <w:tc>
          <w:tcPr>
            <w:tcW w:w="322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(Address of principal executive offices)</w:t>
            </w:r>
          </w:p>
        </w:tc>
        <w:tc>
          <w:tcPr>
            <w:tcW w:w="157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(Zip Code)</w:t>
            </w:r>
          </w:p>
        </w:tc>
      </w:tr>
    </w:tbl>
    <w:p>
      <w:pPr>
        <w:pStyle w:val="TextBody"/>
        <w:spacing w:before="80" w:after="0"/>
        <w:jc w:val="center"/>
        <w:rPr>
          <w:rFonts w:ascii="Times New Roman" w:hAnsi="Times New Roman"/>
          <w:sz w:val="20"/>
        </w:rPr>
      </w:pPr>
      <w:r>
        <w:rPr>
          <w:rFonts w:ascii="Arial;sans-serif" w:hAnsi="Arial;sans-serif"/>
          <w:b/>
          <w:sz w:val="20"/>
        </w:rPr>
        <w:t xml:space="preserve">Registrant’s telephone number, including area code: </w:t>
      </w:r>
      <w:r>
        <w:rPr>
          <w:rFonts w:ascii="Arial;sans-serif" w:hAnsi="Arial;sans-serif"/>
          <w:b/>
          <w:sz w:val="18"/>
        </w:rPr>
        <w:t>(415) 432-7323</w:t>
      </w:r>
    </w:p>
    <w:p>
      <w:pPr>
        <w:pStyle w:val="TextBody"/>
        <w:pBdr>
          <w:bottom w:val="single" w:sz="4" w:space="1" w:color="000000"/>
        </w:pBdr>
        <w:spacing w:before="0" w:after="0"/>
        <w:jc w:val="center"/>
        <w:rPr/>
      </w:pPr>
      <w:r>
        <w:rPr/>
        <w:t> </w:t>
      </w:r>
    </w:p>
    <w:p>
      <w:pPr>
        <w:pStyle w:val="TextBody"/>
        <w:spacing w:before="80" w:after="0"/>
        <w:jc w:val="both"/>
        <w:rPr>
          <w:rFonts w:ascii="Times New Roman" w:hAnsi="Times New Roman"/>
          <w:sz w:val="20"/>
        </w:rPr>
      </w:pPr>
      <w:r>
        <w:rPr>
          <w:rFonts w:ascii="Arial;sans-serif" w:hAnsi="Arial;sans-serif"/>
          <w:b w:val="false"/>
          <w:sz w:val="18"/>
        </w:rPr>
        <w:t>Securities registered pursuant to Section 12(b) of the Act:</w:t>
      </w:r>
      <w:r>
        <w:rPr>
          <w:rFonts w:ascii="Times New Roman" w:hAnsi="Times New Roman"/>
          <w:sz w:val="20"/>
        </w:rPr>
        <w:t xml:space="preserve"> </w:t>
      </w:r>
    </w:p>
    <w:p>
      <w:pPr>
        <w:pStyle w:val="TextBody"/>
        <w:spacing w:before="0" w:after="0"/>
        <w:jc w:val="both"/>
        <w:rPr/>
      </w:pPr>
      <w:r>
        <w:rPr/>
        <w:t> </w:t>
      </w:r>
    </w:p>
    <w:tbl>
      <w:tblPr>
        <w:tblW w:w="9160" w:type="dxa"/>
        <w:jc w:val="left"/>
        <w:tblInd w:w="0" w:type="dxa"/>
        <w:tblCellMar>
          <w:top w:w="28" w:type="dxa"/>
          <w:left w:w="28" w:type="dxa"/>
          <w:bottom w:w="28" w:type="dxa"/>
          <w:right w:w="28" w:type="dxa"/>
        </w:tblCellMar>
      </w:tblPr>
      <w:tblGrid>
        <w:gridCol w:w="3256"/>
        <w:gridCol w:w="146"/>
        <w:gridCol w:w="1666"/>
        <w:gridCol w:w="146"/>
        <w:gridCol w:w="3946"/>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46" w:type="dxa"/>
            <w:tcBorders/>
            <w:shd w:fill="auto" w:val="clear"/>
            <w:vAlign w:val="center"/>
          </w:tcPr>
          <w:p>
            <w:pPr>
              <w:pStyle w:val="TableContents"/>
              <w:spacing w:before="0" w:after="283"/>
              <w:rPr>
                <w:sz w:val="4"/>
                <w:szCs w:val="4"/>
              </w:rPr>
            </w:pPr>
            <w:r>
              <w:rPr>
                <w:sz w:val="4"/>
                <w:szCs w:val="4"/>
              </w:rPr>
            </w:r>
          </w:p>
        </w:tc>
      </w:tr>
      <w:tr>
        <w:trPr/>
        <w:tc>
          <w:tcPr>
            <w:tcW w:w="3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Name of each exchange on which registered</w:t>
            </w:r>
          </w:p>
        </w:tc>
      </w:tr>
      <w:tr>
        <w:trPr/>
        <w:tc>
          <w:tcPr>
            <w:tcW w:w="325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Class A Common Stock, $0.0001 par value</w:t>
            </w:r>
          </w:p>
        </w:tc>
        <w:tc>
          <w:tcPr>
            <w:tcW w:w="146" w:type="dxa"/>
            <w:tcBorders/>
            <w:shd w:fill="auto" w:val="clear"/>
            <w:vAlign w:val="center"/>
          </w:tcPr>
          <w:p>
            <w:pPr>
              <w:pStyle w:val="TableContents"/>
              <w:spacing w:before="0" w:after="0"/>
              <w:ind w:left="0" w:right="0" w:hanging="0"/>
              <w:jc w:val="center"/>
              <w:rPr/>
            </w:pPr>
            <w:r>
              <w:rPr/>
              <w:t> </w:t>
            </w:r>
          </w:p>
        </w:tc>
        <w:tc>
          <w:tcPr>
            <w:tcW w:w="166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WISH</w:t>
            </w:r>
          </w:p>
        </w:tc>
        <w:tc>
          <w:tcPr>
            <w:tcW w:w="146" w:type="dxa"/>
            <w:tcBorders/>
            <w:shd w:fill="auto" w:val="clear"/>
            <w:vAlign w:val="center"/>
          </w:tcPr>
          <w:p>
            <w:pPr>
              <w:pStyle w:val="TableContents"/>
              <w:spacing w:before="0" w:after="0"/>
              <w:ind w:left="0" w:right="0" w:hanging="0"/>
              <w:jc w:val="center"/>
              <w:rPr/>
            </w:pPr>
            <w:r>
              <w:rPr/>
              <w:t> </w:t>
            </w:r>
          </w:p>
        </w:tc>
        <w:tc>
          <w:tcPr>
            <w:tcW w:w="3946" w:type="dxa"/>
            <w:tcBorders/>
            <w:shd w:fill="auto" w:val="cle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Nasdaq Global Select Market</w:t>
            </w:r>
          </w:p>
        </w:tc>
      </w:tr>
    </w:tbl>
    <w:p>
      <w:pPr>
        <w:pStyle w:val="TextBody"/>
        <w:spacing w:before="80" w:after="0"/>
        <w:jc w:val="both"/>
        <w:rPr>
          <w:rFonts w:ascii="Times New Roman" w:hAnsi="Times New Roman"/>
          <w:sz w:val="20"/>
        </w:rPr>
      </w:pPr>
      <w:r>
        <w:rPr>
          <w:rFonts w:ascii="Arial;sans-serif" w:hAnsi="Arial;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8"/>
        </w:rPr>
        <w:t xml:space="preserve">No </w:t>
      </w:r>
      <w:r>
        <w:rPr>
          <w:rFonts w:ascii="Times New Roman" w:hAnsi="Times New Roman"/>
          <w:sz w:val="20"/>
        </w:rPr>
        <w:t>☐</w:t>
      </w:r>
    </w:p>
    <w:p>
      <w:pPr>
        <w:pStyle w:val="TextBody"/>
        <w:spacing w:before="80" w:after="0"/>
        <w:jc w:val="both"/>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 xml:space="preserve">No </w:t>
      </w:r>
      <w:r>
        <w:rPr>
          <w:rFonts w:ascii="Times New Roman" w:hAnsi="Times New Roman"/>
          <w:sz w:val="20"/>
        </w:rPr>
        <w:t>☐</w:t>
      </w:r>
    </w:p>
    <w:p>
      <w:pPr>
        <w:pStyle w:val="TextBody"/>
        <w:spacing w:before="80" w:after="0"/>
        <w:jc w:val="both"/>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737" w:type="dxa"/>
        <w:jc w:val="left"/>
        <w:tblInd w:w="0" w:type="dxa"/>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both"/>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8"/>
        </w:rPr>
        <w:t xml:space="preserve">No </w:t>
      </w:r>
      <w:r>
        <w:rPr>
          <w:rFonts w:ascii="Times New Roman" w:hAnsi="Times New Roman"/>
          <w:sz w:val="20"/>
        </w:rPr>
        <w:t>☒</w:t>
      </w:r>
    </w:p>
    <w:p>
      <w:pPr>
        <w:pStyle w:val="TextBody"/>
        <w:spacing w:before="80" w:after="0"/>
        <w:jc w:val="both"/>
        <w:rPr>
          <w:rFonts w:ascii="Times New Roman" w:hAnsi="Times New Roman"/>
          <w:sz w:val="20"/>
        </w:rPr>
      </w:pPr>
      <w:r>
        <w:rPr>
          <w:rFonts w:ascii="Arial;sans-serif" w:hAnsi="Arial;sans-serif"/>
          <w:b w:val="false"/>
          <w:sz w:val="18"/>
        </w:rPr>
        <w:t>As of April 30, 2023, the number of shares of the registrant’s Class A common stock outstanding was 23,564</w:t>
      </w:r>
      <w:r>
        <w:rPr>
          <w:rFonts w:ascii="Times New Roman" w:hAnsi="Times New Roman"/>
          <w:sz w:val="20"/>
        </w:rPr>
        <w:t xml:space="preserve"> </w:t>
      </w:r>
      <w:r>
        <w:rPr>
          <w:rFonts w:ascii="Arial;sans-serif" w:hAnsi="Arial;sans-serif"/>
          <w:b w:val="false"/>
          <w:sz w:val="18"/>
        </w:rPr>
        <w:t>thousand.</w:t>
      </w:r>
    </w:p>
    <w:p>
      <w:pPr>
        <w:pStyle w:val="TextBody"/>
        <w:pBdr>
          <w:bottom w:val="double" w:sz="6" w:space="1" w:color="000000"/>
        </w:pBdr>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HorizontalLine"/>
        <w:rPr/>
      </w:pPr>
      <w:r>
        <w:rPr/>
      </w:r>
    </w:p>
    <w:p>
      <w:pPr>
        <w:pStyle w:val="TextBody"/>
        <w:spacing w:before="0" w:after="0"/>
        <w:jc w:val="center"/>
        <w:rPr>
          <w:rFonts w:ascii="Arial;sans-serif" w:hAnsi="Arial;sans-serif"/>
          <w:b/>
          <w:sz w:val="20"/>
        </w:rPr>
      </w:pPr>
      <w:r>
        <w:rPr>
          <w:rFonts w:ascii="Arial;sans-serif" w:hAnsi="Arial;sans-serif"/>
          <w:b/>
          <w:sz w:val="20"/>
        </w:rPr>
        <w:t>Table of Contents</w:t>
      </w:r>
    </w:p>
    <w:p>
      <w:pPr>
        <w:pStyle w:val="TextBody"/>
        <w:spacing w:before="0" w:after="0"/>
        <w:jc w:val="left"/>
        <w:rPr/>
      </w:pPr>
      <w:r>
        <w:rPr/>
        <w:t> </w:t>
      </w:r>
    </w:p>
    <w:tbl>
      <w:tblPr>
        <w:tblW w:w="9273" w:type="dxa"/>
        <w:jc w:val="left"/>
        <w:tblInd w:w="0" w:type="dxa"/>
        <w:tblCellMar>
          <w:top w:w="28" w:type="dxa"/>
          <w:left w:w="28" w:type="dxa"/>
          <w:bottom w:w="28" w:type="dxa"/>
          <w:right w:w="28" w:type="dxa"/>
        </w:tblCellMar>
      </w:tblPr>
      <w:tblGrid>
        <w:gridCol w:w="886"/>
        <w:gridCol w:w="7846"/>
        <w:gridCol w:w="541"/>
      </w:tblGrid>
      <w:tr>
        <w:trPr/>
        <w:tc>
          <w:tcPr>
            <w:tcW w:w="886" w:type="dxa"/>
            <w:tcBorders/>
            <w:shd w:fill="auto" w:val="clear"/>
            <w:vAlign w:val="center"/>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541" w:type="dxa"/>
            <w:tcBorders>
              <w:bottom w:val="single" w:sz="2" w:space="0" w:color="000000"/>
            </w:tcBorders>
            <w:shd w:fill="auto" w:val="clear"/>
            <w:tcMar>
              <w:top w:w="0" w:type="dxa"/>
              <w:left w:w="0" w:type="dxa"/>
              <w:right w:w="0" w:type="dxa"/>
            </w:tcMar>
            <w:vAlign w:val="center"/>
          </w:tcPr>
          <w:p>
            <w:pPr>
              <w:pStyle w:val="TableContents"/>
              <w:spacing w:before="0" w:after="0"/>
              <w:ind w:left="137" w:right="0" w:hanging="0"/>
              <w:jc w:val="left"/>
              <w:rPr>
                <w:rFonts w:ascii="Arial;sans-serif" w:hAnsi="Arial;sans-serif"/>
                <w:b/>
                <w:sz w:val="16"/>
              </w:rPr>
            </w:pPr>
            <w:r>
              <w:rPr>
                <w:rFonts w:ascii="Arial;sans-serif" w:hAnsi="Arial;sans-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pecial_note_regarding_forward_looking">
              <w:r>
                <w:rPr>
                  <w:rStyle w:val="InternetLink"/>
                  <w:rFonts w:ascii="Arial;sans-serif" w:hAnsi="Arial;sans-serif"/>
                  <w:b/>
                  <w:sz w:val="20"/>
                  <w:u w:val="single"/>
                </w:rPr>
                <w:t>Special Note Regarding Forward-Looking Statements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ii</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financial_information">
              <w:r>
                <w:rPr>
                  <w:rStyle w:val="InternetLink"/>
                  <w:rFonts w:ascii="Arial;sans-serif" w:hAnsi="Arial;sans-serif"/>
                  <w:b w:val="false"/>
                  <w:sz w:val="20"/>
                  <w:u w:val="single"/>
                </w:rPr>
                <w:t>FINANCIAL INFORMATION</w:t>
              </w:r>
            </w:hyperlink>
          </w:p>
        </w:tc>
        <w:tc>
          <w:tcPr>
            <w:tcW w:w="5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_unaudited">
              <w:r>
                <w:rPr>
                  <w:rStyle w:val="InternetLink"/>
                  <w:rFonts w:ascii="Arial;sans-serif" w:hAnsi="Arial;sans-serif"/>
                  <w:b w:val="false"/>
                  <w:sz w:val="20"/>
                  <w:u w:val="single"/>
                </w:rPr>
                <w:t>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operat">
              <w:r>
                <w:rPr>
                  <w:rStyle w:val="InternetLink"/>
                  <w:rFonts w:ascii="Arial;sans-serif" w:hAnsi="Arial;sans-serif"/>
                  <w:b w:val="false"/>
                  <w:sz w:val="20"/>
                  <w:u w:val="single"/>
                </w:rPr>
                <w:t>Condensed Consolidated Statements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ompre">
              <w:r>
                <w:rPr>
                  <w:rStyle w:val="InternetLink"/>
                  <w:rFonts w:ascii="Arial;sans-serif" w:hAnsi="Arial;sans-serif"/>
                  <w:b w:val="false"/>
                  <w:sz w:val="20"/>
                  <w:u w:val="single"/>
                </w:rPr>
                <w:t>Condensed Consolidated Statements of Comprehensive Loss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stockholders_equ">
              <w:r>
                <w:rPr>
                  <w:rStyle w:val="InternetLink"/>
                  <w:rFonts w:ascii="Arial;sans-serif" w:hAnsi="Arial;sans-serif"/>
                  <w:b w:val="false"/>
                  <w:sz w:val="20"/>
                  <w:u w:val="single"/>
                </w:rPr>
                <w:t>Condensed Consolidated Statements of Stockholders’ Equity</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cash_flows">
              <w:r>
                <w:rPr>
                  <w:rStyle w:val="InternetLink"/>
                  <w:rFonts w:ascii="Arial;sans-serif" w:hAnsi="Arial;sans-serif"/>
                  <w:b w:val="false"/>
                  <w:sz w:val="20"/>
                  <w:u w:val="single"/>
                </w:rPr>
                <w:t>Condensed Consolidated Statements of Cash Flows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condensed_consolidate">
              <w:r>
                <w:rPr>
                  <w:rStyle w:val="InternetLink"/>
                  <w:rFonts w:ascii="Arial;sans-serif" w:hAnsi="Arial;sans-serif"/>
                  <w:b w:val="false"/>
                  <w:sz w:val="20"/>
                  <w:u w:val="single"/>
                </w:rPr>
                <w:t>Notes to Unaudited Condensed Consolidated Financial Statements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Arial;sans-serif" w:hAnsi="Arial;sans-serif"/>
                  <w:b w:val="false"/>
                  <w:sz w:val="20"/>
                  <w:u w:val="single"/>
                </w:rPr>
                <w:t>Management’s Discussion and Analysis of Financial Condition and Results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Arial;sans-serif" w:hAnsi="Arial;sans-serif"/>
                  <w:b w:val="false"/>
                  <w:sz w:val="20"/>
                  <w:u w:val="single"/>
                </w:rPr>
                <w:t>Quantitative and Qualitative Disclosures About Market Risk</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Arial;sans-serif" w:hAnsi="Arial;sans-serif"/>
                  <w:b w:val="false"/>
                  <w:sz w:val="20"/>
                  <w:u w:val="single"/>
                </w:rPr>
                <w:t>Controls and Procedures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Arial;sans-serif" w:hAnsi="Arial;sans-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equity_securities">
              <w:r>
                <w:rPr>
                  <w:rStyle w:val="InternetLink"/>
                  <w:rFonts w:ascii="Arial;sans-serif" w:hAnsi="Arial;sans-serif"/>
                  <w:b w:val="false"/>
                  <w:sz w:val="20"/>
                  <w:u w:val="single"/>
                </w:rPr>
                <w:t>Unregistered Sales of Equity Securities and Use of Proceeds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73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val="false"/>
          <w:sz w:val="20"/>
        </w:rPr>
      </w:pPr>
      <w:r>
        <w:rPr>
          <w:rFonts w:ascii="Arial;sans-serif" w:hAnsi="Arial;sans-serif"/>
          <w:b w:val="false"/>
          <w:sz w:val="20"/>
        </w:rPr>
        <w:t>i</w:t>
      </w:r>
    </w:p>
    <w:p>
      <w:pPr>
        <w:pStyle w:val="HorizontalLine"/>
        <w:rPr/>
      </w:pPr>
      <w:r>
        <w:rPr/>
      </w:r>
    </w:p>
    <w:p>
      <w:pPr>
        <w:pStyle w:val="TextBody"/>
        <w:spacing w:before="0" w:after="0"/>
        <w:jc w:val="center"/>
        <w:rPr>
          <w:rFonts w:ascii="Arial;sans-serif" w:hAnsi="Arial;sans-serif"/>
          <w:b/>
          <w:sz w:val="20"/>
        </w:rPr>
      </w:pPr>
      <w:bookmarkStart w:id="2" w:name="special_note_regarding_forward_looking"/>
      <w:bookmarkEnd w:id="2"/>
      <w:r>
        <w:rPr>
          <w:rFonts w:ascii="Arial;sans-serif" w:hAnsi="Arial;sans-serif"/>
          <w:b/>
          <w:sz w:val="20"/>
        </w:rPr>
        <w:t>SPECIAL NOTE REGARDING FORWARD-LOOKING STATEMENTS</w:t>
      </w:r>
    </w:p>
    <w:p>
      <w:pPr>
        <w:pStyle w:val="TextBody"/>
        <w:spacing w:before="40" w:after="0"/>
        <w:jc w:val="left"/>
        <w:rPr/>
      </w:pPr>
      <w:r>
        <w:rPr/>
        <w:t> </w:t>
      </w:r>
    </w:p>
    <w:p>
      <w:pPr>
        <w:pStyle w:val="TextBody"/>
        <w:spacing w:before="0" w:after="0"/>
        <w:jc w:val="both"/>
        <w:rPr>
          <w:rFonts w:ascii="Arial;sans-serif" w:hAnsi="Arial;sans-serif"/>
          <w:b w:val="false"/>
          <w:sz w:val="20"/>
        </w:rPr>
      </w:pPr>
      <w:r>
        <w:rPr>
          <w:rFonts w:ascii="Arial;sans-serif" w:hAnsi="Arial;sans-serif"/>
          <w:b w:val="false"/>
          <w:sz w:val="20"/>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pStyle w:val="TextBody"/>
        <w:spacing w:before="180" w:after="0"/>
        <w:jc w:val="both"/>
        <w:rPr>
          <w:rFonts w:ascii="Times New Roman" w:hAnsi="Times New Roman"/>
          <w:sz w:val="20"/>
        </w:rPr>
      </w:pPr>
      <w:r>
        <w:rPr>
          <w:rFonts w:ascii="Arial;sans-serif" w:hAnsi="Arial;sans-serif"/>
          <w:b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our Annual Report on Form 10-K for the year ended December 31, 2022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implementation and execution of marketing and promotional strategies, including promotional events and rebrand efforts; the extent and impact of our announced share repurchase program; our future liquidity and operating expenditures; the impact of the 1-to-30 reverse stock split; compliance with Nasdaq continued listing requirements; CEO transition;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before="180" w:after="0"/>
        <w:jc w:val="both"/>
        <w:rPr>
          <w:rFonts w:ascii="Arial;sans-serif" w:hAnsi="Arial;sans-serif"/>
          <w:b w:val="false"/>
          <w:sz w:val="20"/>
        </w:rPr>
      </w:pPr>
      <w:r>
        <w:rPr>
          <w:rFonts w:ascii="Arial;sans-serif" w:hAnsi="Arial;sans-serif"/>
          <w:b w:val="false"/>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pacing w:before="180" w:after="0"/>
        <w:jc w:val="both"/>
        <w:rPr>
          <w:rFonts w:ascii="Arial;sans-serif" w:hAnsi="Arial;sans-serif"/>
          <w:b w:val="false"/>
          <w:sz w:val="20"/>
        </w:rPr>
      </w:pPr>
      <w:r>
        <w:rPr>
          <w:rFonts w:ascii="Arial;sans-serif" w:hAnsi="Arial;sans-serif"/>
          <w:b w:val="false"/>
          <w:sz w:val="20"/>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val="false"/>
          <w:sz w:val="20"/>
        </w:rPr>
      </w:pPr>
      <w:r>
        <w:rPr>
          <w:rFonts w:ascii="Arial;sans-serif" w:hAnsi="Arial;sans-serif"/>
          <w:b w:val="false"/>
          <w:sz w:val="20"/>
        </w:rPr>
        <w:t>ii</w:t>
      </w:r>
    </w:p>
    <w:p>
      <w:pPr>
        <w:pStyle w:val="HorizontalLine"/>
        <w:rPr/>
      </w:pPr>
      <w:r>
        <w:rPr/>
      </w:r>
    </w:p>
    <w:p>
      <w:pPr>
        <w:pStyle w:val="TextBody"/>
        <w:spacing w:before="0" w:after="0"/>
        <w:jc w:val="left"/>
        <w:rPr>
          <w:rFonts w:ascii="Arial;sans-serif" w:hAnsi="Arial;sans-serif"/>
          <w:b/>
          <w:sz w:val="20"/>
        </w:rPr>
      </w:pPr>
      <w:bookmarkStart w:id="3" w:name="part_ifinancial_information"/>
      <w:bookmarkEnd w:id="3"/>
      <w:r>
        <w:rPr>
          <w:rFonts w:ascii="Arial;sans-serif" w:hAnsi="Arial;sans-serif"/>
          <w:b/>
          <w:sz w:val="20"/>
        </w:rPr>
        <w:t>PART I—FINANCIAL INFORMATION</w:t>
      </w:r>
    </w:p>
    <w:p>
      <w:pPr>
        <w:pStyle w:val="TextBody"/>
        <w:spacing w:before="120" w:after="0"/>
        <w:jc w:val="left"/>
        <w:rPr>
          <w:rFonts w:ascii="Arial;sans-serif" w:hAnsi="Arial;sans-serif"/>
          <w:b/>
          <w:sz w:val="20"/>
        </w:rPr>
      </w:pPr>
      <w:bookmarkStart w:id="4" w:name="item_1_financial_statements_unaudited"/>
      <w:bookmarkEnd w:id="4"/>
      <w:r>
        <w:rPr>
          <w:rFonts w:ascii="Arial;sans-serif" w:hAnsi="Arial;sans-serif"/>
          <w:b/>
          <w:sz w:val="20"/>
        </w:rPr>
        <w:t>Item 1. Financial Statements (Unaudited)</w:t>
      </w:r>
    </w:p>
    <w:p>
      <w:pPr>
        <w:pStyle w:val="TextBody"/>
        <w:spacing w:before="360" w:after="0"/>
        <w:jc w:val="center"/>
        <w:rPr>
          <w:rFonts w:ascii="Arial;sans-serif" w:hAnsi="Arial;sans-serif"/>
          <w:b/>
          <w:sz w:val="20"/>
        </w:rPr>
      </w:pPr>
      <w:r>
        <w:rPr>
          <w:rFonts w:ascii="Arial;sans-serif" w:hAnsi="Arial;sans-serif"/>
          <w:b/>
          <w:sz w:val="20"/>
        </w:rPr>
        <w:t>CONTEXTLOGIC INC.</w:t>
      </w:r>
    </w:p>
    <w:p>
      <w:pPr>
        <w:pStyle w:val="TextBody"/>
        <w:spacing w:before="0" w:after="0"/>
        <w:jc w:val="center"/>
        <w:rPr>
          <w:rFonts w:ascii="Times New Roman" w:hAnsi="Times New Roman"/>
          <w:sz w:val="20"/>
        </w:rPr>
      </w:pPr>
      <w:bookmarkStart w:id="5" w:name="condensed_consolidated_balance_sheets"/>
      <w:bookmarkEnd w:id="5"/>
      <w:r>
        <w:rPr>
          <w:rFonts w:ascii="Arial;sans-serif" w:hAnsi="Arial;sans-serif"/>
          <w:b/>
          <w:sz w:val="20"/>
        </w:rPr>
        <w:t>CONDENSED CONSOLIDATED BALANCE SHEETS</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 in millions, shares in thousands, except par value)</w:t>
      </w:r>
    </w:p>
    <w:p>
      <w:pPr>
        <w:pStyle w:val="TextBody"/>
        <w:spacing w:before="0" w:after="0"/>
        <w:jc w:val="center"/>
        <w:rPr>
          <w:rFonts w:ascii="Arial;sans-serif" w:hAnsi="Arial;sans-serif"/>
          <w:b/>
          <w:sz w:val="20"/>
        </w:rPr>
      </w:pPr>
      <w:r>
        <w:rPr>
          <w:rFonts w:ascii="Arial;sans-serif" w:hAnsi="Arial;sans-serif"/>
          <w:b/>
          <w:sz w:val="20"/>
        </w:rPr>
        <w:t>(Unaudited)</w:t>
      </w:r>
    </w:p>
    <w:tbl>
      <w:tblPr>
        <w:tblW w:w="10205" w:type="dxa"/>
        <w:jc w:val="left"/>
        <w:tblInd w:w="0" w:type="dxa"/>
        <w:tblCellMar>
          <w:top w:w="28" w:type="dxa"/>
          <w:left w:w="28" w:type="dxa"/>
          <w:bottom w:w="28" w:type="dxa"/>
          <w:right w:w="28" w:type="dxa"/>
        </w:tblCellMar>
      </w:tblPr>
      <w:tblGrid>
        <w:gridCol w:w="6995"/>
        <w:gridCol w:w="146"/>
        <w:gridCol w:w="249"/>
        <w:gridCol w:w="728"/>
        <w:gridCol w:w="166"/>
        <w:gridCol w:w="146"/>
        <w:gridCol w:w="301"/>
        <w:gridCol w:w="880"/>
        <w:gridCol w:w="594"/>
      </w:tblGrid>
      <w:tr>
        <w:trPr/>
        <w:tc>
          <w:tcPr>
            <w:tcW w:w="69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6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As of 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As of December 31,</w:t>
            </w:r>
          </w:p>
        </w:tc>
        <w:tc>
          <w:tcPr>
            <w:tcW w:w="594" w:type="dxa"/>
            <w:tcBorders/>
            <w:shd w:fill="auto" w:val="clear"/>
            <w:vAlign w:val="center"/>
          </w:tcPr>
          <w:p>
            <w:pPr>
              <w:pStyle w:val="TableContents"/>
              <w:spacing w:before="0" w:after="0"/>
              <w:ind w:left="0" w:right="0" w:hanging="0"/>
              <w:jc w:val="center"/>
              <w:rPr/>
            </w:pPr>
            <w:r>
              <w:rPr/>
              <w:t> </w:t>
            </w:r>
          </w:p>
        </w:tc>
      </w:tr>
      <w:tr>
        <w:trPr/>
        <w:tc>
          <w:tcPr>
            <w:tcW w:w="6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firstLine="200"/>
              <w:jc w:val="righ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506</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213</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Funds receivable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95" w:type="dxa"/>
            <w:tcBorders/>
            <w:shd w:fill="auto" w:val="clear"/>
            <w:vAlign w:val="center"/>
          </w:tcPr>
          <w:p>
            <w:pPr>
              <w:pStyle w:val="TableContents"/>
              <w:spacing w:before="0" w:after="0"/>
              <w:ind w:left="400" w:right="0" w:hanging="0"/>
              <w:jc w:val="left"/>
              <w:rPr>
                <w:rFonts w:ascii="Arial;sans-serif" w:hAnsi="Arial;sans-serif"/>
                <w:b w:val="false"/>
                <w:sz w:val="16"/>
              </w:rPr>
            </w:pPr>
            <w:r>
              <w:rPr>
                <w:rFonts w:ascii="Arial;sans-serif" w:hAnsi="Arial;sans-serif"/>
                <w:b w:val="false"/>
                <w:sz w:val="16"/>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777</w:t>
            </w:r>
          </w:p>
        </w:tc>
        <w:tc>
          <w:tcPr>
            <w:tcW w:w="594" w:type="dxa"/>
            <w:tcBorders/>
            <w:shd w:fill="auto" w:val="cle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w:t>
            </w:r>
          </w:p>
        </w:tc>
        <w:tc>
          <w:tcPr>
            <w:tcW w:w="594" w:type="dxa"/>
            <w:tcBorders/>
            <w:shd w:fill="auto" w:val="cle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w:t>
            </w:r>
          </w:p>
        </w:tc>
        <w:tc>
          <w:tcPr>
            <w:tcW w:w="594" w:type="dxa"/>
            <w:tcBorders/>
            <w:shd w:fill="auto" w:val="cle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Other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799</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firstLine="200"/>
              <w:jc w:val="righ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53</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Merchants payable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120</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Refunds liability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130</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95" w:type="dxa"/>
            <w:tcBorders/>
            <w:shd w:fill="auto" w:val="clear"/>
            <w:vAlign w:val="center"/>
          </w:tcPr>
          <w:p>
            <w:pPr>
              <w:pStyle w:val="TableContents"/>
              <w:spacing w:before="0" w:after="0"/>
              <w:ind w:left="400" w:right="0" w:hanging="0"/>
              <w:jc w:val="left"/>
              <w:rPr>
                <w:rFonts w:ascii="Arial;sans-serif" w:hAnsi="Arial;sans-serif"/>
                <w:b w:val="false"/>
                <w:sz w:val="16"/>
              </w:rPr>
            </w:pPr>
            <w:r>
              <w:rPr>
                <w:rFonts w:ascii="Arial;sans-serif" w:hAnsi="Arial;sans-serif"/>
                <w:b w:val="false"/>
                <w:sz w:val="16"/>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309</w:t>
            </w:r>
          </w:p>
        </w:tc>
        <w:tc>
          <w:tcPr>
            <w:tcW w:w="594" w:type="dxa"/>
            <w:tcBorders/>
            <w:shd w:fill="auto" w:val="cle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13</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Commitments and contingencies (Note 7)</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hanging="0"/>
              <w:jc w:val="righ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1" w:type="dxa"/>
            <w:gridSpan w:val="2"/>
            <w:tcBorders/>
            <w:shd w:fill="auto" w:val="clear"/>
            <w:vAlign w:val="center"/>
          </w:tcPr>
          <w:p>
            <w:pPr>
              <w:pStyle w:val="TableContents"/>
              <w:spacing w:before="0" w:after="0"/>
              <w:ind w:left="0" w:right="0" w:hanging="0"/>
              <w:jc w:val="right"/>
              <w:rPr/>
            </w:pPr>
            <w:r>
              <w:rPr/>
              <w:t> </w:t>
            </w:r>
          </w:p>
        </w:tc>
        <w:tc>
          <w:tcPr>
            <w:tcW w:w="594" w:type="dxa"/>
            <w:tcBorders/>
            <w:shd w:fill="auto" w:val="clear"/>
            <w:vAlign w:val="center"/>
          </w:tcPr>
          <w:p>
            <w:pPr>
              <w:pStyle w:val="TableContents"/>
              <w:spacing w:before="0" w:after="0"/>
              <w:ind w:left="0" w:right="0" w:firstLine="200"/>
              <w:jc w:val="right"/>
              <w:rPr/>
            </w:pPr>
            <w:r>
              <w:rPr/>
              <w:t> </w:t>
            </w:r>
          </w:p>
        </w:tc>
      </w:tr>
      <w:tr>
        <w:trPr/>
        <w:tc>
          <w:tcPr>
            <w:tcW w:w="6995" w:type="dxa"/>
            <w:tcBorders/>
            <w:shd w:fill="auto" w:val="clear"/>
            <w:vAlign w:val="center"/>
          </w:tcPr>
          <w:p>
            <w:pPr>
              <w:pStyle w:val="TableContents"/>
              <w:spacing w:before="0" w:after="0"/>
              <w:ind w:left="200" w:right="0" w:hanging="0"/>
              <w:jc w:val="left"/>
              <w:rPr>
                <w:rFonts w:ascii="Times New Roman" w:hAnsi="Times New Roman"/>
                <w:sz w:val="20"/>
              </w:rPr>
            </w:pPr>
            <w:r>
              <w:rPr>
                <w:rFonts w:ascii="Arial;sans-serif" w:hAnsi="Arial;sans-serif"/>
                <w:b w:val="false"/>
                <w:sz w:val="16"/>
              </w:rPr>
              <w:t>Preferred stock, $0.0001</w:t>
            </w:r>
            <w:r>
              <w:rPr>
                <w:rFonts w:ascii="Times New Roman" w:hAnsi="Times New Roman"/>
                <w:sz w:val="20"/>
              </w:rPr>
              <w:t> </w:t>
            </w:r>
            <w:r>
              <w:rPr>
                <w:rFonts w:ascii="Arial;sans-serif" w:hAnsi="Arial;sans-serif"/>
                <w:b w:val="false"/>
                <w:sz w:val="16"/>
              </w:rPr>
              <w:t>par value: 100,000</w:t>
            </w:r>
            <w:r>
              <w:rPr>
                <w:rFonts w:ascii="Times New Roman" w:hAnsi="Times New Roman"/>
                <w:sz w:val="20"/>
              </w:rPr>
              <w:t> </w:t>
            </w:r>
            <w:r>
              <w:rPr>
                <w:rFonts w:ascii="Arial;sans-serif" w:hAnsi="Arial;sans-serif"/>
                <w:b w:val="false"/>
                <w:sz w:val="16"/>
              </w:rPr>
              <w:t>shares authorized as of March 31, 2023 and December 31, 2022; No</w:t>
            </w:r>
            <w:r>
              <w:rPr>
                <w:rFonts w:ascii="Times New Roman" w:hAnsi="Times New Roman"/>
                <w:sz w:val="20"/>
              </w:rPr>
              <w:t> </w:t>
            </w:r>
            <w:r>
              <w:rPr>
                <w:rFonts w:ascii="Arial;sans-serif" w:hAnsi="Arial;sans-serif"/>
                <w:b w:val="false"/>
                <w:sz w:val="16"/>
              </w:rPr>
              <w:t>shares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pPr>
            <w:r>
              <w:rPr/>
              <w:t>—</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Times New Roman" w:hAnsi="Times New Roman"/>
                <w:sz w:val="20"/>
              </w:rPr>
            </w:pPr>
            <w:r>
              <w:rPr>
                <w:rFonts w:ascii="Arial;sans-serif" w:hAnsi="Arial;sans-serif"/>
                <w:b w:val="false"/>
                <w:sz w:val="16"/>
              </w:rPr>
              <w:t>Common stock, $0.0001</w:t>
            </w:r>
            <w:r>
              <w:rPr>
                <w:rFonts w:ascii="Times New Roman" w:hAnsi="Times New Roman"/>
                <w:sz w:val="20"/>
              </w:rPr>
              <w:t> </w:t>
            </w:r>
            <w:r>
              <w:rPr>
                <w:rFonts w:ascii="Arial;sans-serif" w:hAnsi="Arial;sans-serif"/>
                <w:b w:val="false"/>
                <w:sz w:val="16"/>
              </w:rPr>
              <w:t>par value: 3,000,000</w:t>
            </w:r>
            <w:r>
              <w:rPr>
                <w:rFonts w:ascii="Times New Roman" w:hAnsi="Times New Roman"/>
                <w:sz w:val="20"/>
              </w:rPr>
              <w:t> </w:t>
            </w:r>
            <w:r>
              <w:rPr>
                <w:rFonts w:ascii="Arial;sans-serif" w:hAnsi="Arial;sans-serif"/>
                <w:b w:val="false"/>
                <w:sz w:val="16"/>
              </w:rPr>
              <w:t>shares authorized as of March 31, 2023 and December 31, 2022; 23,341</w:t>
            </w:r>
            <w:r>
              <w:rPr>
                <w:rFonts w:ascii="Times New Roman" w:hAnsi="Times New Roman"/>
                <w:sz w:val="20"/>
              </w:rPr>
              <w:t> </w:t>
            </w:r>
            <w:r>
              <w:rPr>
                <w:rFonts w:ascii="Arial;sans-serif" w:hAnsi="Arial;sans-serif"/>
                <w:b w:val="false"/>
                <w:sz w:val="16"/>
              </w:rPr>
              <w:t>and 23,164</w:t>
            </w:r>
            <w:r>
              <w:rPr>
                <w:rFonts w:ascii="Times New Roman" w:hAnsi="Times New Roman"/>
                <w:sz w:val="20"/>
              </w:rPr>
              <w:t> </w:t>
            </w:r>
            <w:r>
              <w:rPr>
                <w:rFonts w:ascii="Arial;sans-serif" w:hAnsi="Arial;sans-serif"/>
                <w:b w:val="false"/>
                <w:sz w:val="16"/>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pPr>
            <w:r>
              <w:rPr/>
              <w:t>—</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3,411</w:t>
            </w:r>
          </w:p>
        </w:tc>
        <w:tc>
          <w:tcPr>
            <w:tcW w:w="594" w:type="dxa"/>
            <w:tcBorders/>
            <w:shd w:fill="auto" w:val="clear"/>
            <w:vAlign w:val="center"/>
          </w:tcPr>
          <w:p>
            <w:pPr>
              <w:pStyle w:val="TableContents"/>
              <w:spacing w:before="0" w:after="0"/>
              <w:ind w:left="0" w:right="0" w:firstLine="200"/>
              <w:jc w:val="left"/>
              <w:rPr/>
            </w:pPr>
            <w:r>
              <w:rPr/>
              <w:t> </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88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594" w:type="dxa"/>
            <w:tcBorders/>
            <w:shd w:fill="auto" w:val="clear"/>
            <w:vAlign w:val="center"/>
          </w:tcPr>
          <w:p>
            <w:pPr>
              <w:pStyle w:val="TableContents"/>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6995" w:type="dxa"/>
            <w:tcBorders/>
            <w:shd w:fill="auto" w:val="clear"/>
            <w:vAlign w:val="center"/>
          </w:tcPr>
          <w:p>
            <w:pPr>
              <w:pStyle w:val="TableContents"/>
              <w:spacing w:before="0" w:after="0"/>
              <w:ind w:left="200" w:right="0" w:hanging="0"/>
              <w:jc w:val="left"/>
              <w:rPr>
                <w:rFonts w:ascii="Arial;sans-serif" w:hAnsi="Arial;sans-serif"/>
                <w:b w:val="false"/>
                <w:sz w:val="16"/>
              </w:rPr>
            </w:pPr>
            <w:r>
              <w:rPr>
                <w:rFonts w:ascii="Arial;sans-serif" w:hAnsi="Arial;sans-serif"/>
                <w:b w:val="false"/>
                <w:sz w:val="16"/>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(2,929</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477</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799</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center"/>
        <w:rPr>
          <w:rFonts w:ascii="Arial;sans-serif" w:hAnsi="Arial;sans-serif"/>
          <w:b/>
          <w:caps/>
          <w:sz w:val="20"/>
        </w:rPr>
      </w:pPr>
      <w:r>
        <w:rPr>
          <w:rFonts w:ascii="Arial;sans-serif" w:hAnsi="Arial;sans-serif"/>
          <w:b/>
          <w:caps/>
          <w:sz w:val="20"/>
        </w:rPr>
        <w:t>CONTEXTLOGIC INC.</w:t>
      </w:r>
    </w:p>
    <w:p>
      <w:pPr>
        <w:pStyle w:val="TextBody"/>
        <w:spacing w:before="0" w:after="0"/>
        <w:jc w:val="center"/>
        <w:rPr>
          <w:rFonts w:ascii="Times New Roman" w:hAnsi="Times New Roman"/>
          <w:sz w:val="20"/>
        </w:rPr>
      </w:pPr>
      <w:bookmarkStart w:id="6" w:name="condensed_consolidated_statements_operat"/>
      <w:bookmarkEnd w:id="6"/>
      <w:r>
        <w:rPr>
          <w:rFonts w:ascii="Arial;sans-serif" w:hAnsi="Arial;sans-serif"/>
          <w:b/>
          <w:caps/>
          <w:sz w:val="20"/>
        </w:rPr>
        <w:t>CONDENSED CONSOLIDATED STATEMENTS OF OPERATIONS</w:t>
      </w:r>
      <w:r>
        <w:rPr>
          <w:rFonts w:ascii="Times New Roman" w:hAnsi="Times New Roman"/>
          <w:caps/>
          <w:sz w:val="20"/>
        </w:rPr>
        <w:t xml:space="preserve"> </w:t>
      </w:r>
    </w:p>
    <w:p>
      <w:pPr>
        <w:pStyle w:val="TextBody"/>
        <w:spacing w:before="0" w:after="0"/>
        <w:jc w:val="center"/>
        <w:rPr>
          <w:rFonts w:ascii="Times New Roman" w:hAnsi="Times New Roman"/>
          <w:sz w:val="20"/>
        </w:rPr>
      </w:pPr>
      <w:r>
        <w:rPr>
          <w:rFonts w:ascii="Arial;sans-serif" w:hAnsi="Arial;sans-serif"/>
          <w:b/>
          <w:sz w:val="20"/>
        </w:rPr>
        <w:t>($ in millions, shares in thousands, except per share data)</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(Unaudited)</w:t>
      </w:r>
    </w:p>
    <w:p>
      <w:pPr>
        <w:pStyle w:val="TextBody"/>
        <w:spacing w:before="0" w:after="0"/>
        <w:jc w:val="left"/>
        <w:rPr/>
      </w:pPr>
      <w:r>
        <w:rPr/>
        <w:t> </w:t>
      </w:r>
    </w:p>
    <w:tbl>
      <w:tblPr>
        <w:tblW w:w="10199" w:type="dxa"/>
        <w:jc w:val="left"/>
        <w:tblInd w:w="0" w:type="dxa"/>
        <w:tblCellMar>
          <w:top w:w="28" w:type="dxa"/>
          <w:left w:w="28" w:type="dxa"/>
          <w:bottom w:w="28" w:type="dxa"/>
          <w:right w:w="28" w:type="dxa"/>
        </w:tblCellMar>
      </w:tblPr>
      <w:tblGrid>
        <w:gridCol w:w="7186"/>
        <w:gridCol w:w="146"/>
        <w:gridCol w:w="211"/>
        <w:gridCol w:w="691"/>
        <w:gridCol w:w="166"/>
        <w:gridCol w:w="146"/>
        <w:gridCol w:w="211"/>
        <w:gridCol w:w="691"/>
        <w:gridCol w:w="751"/>
      </w:tblGrid>
      <w:tr>
        <w:trPr/>
        <w:tc>
          <w:tcPr>
            <w:tcW w:w="7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7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6"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751" w:type="dxa"/>
            <w:tcBorders/>
            <w:shd w:fill="auto" w:val="cle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w:t>
            </w:r>
          </w:p>
        </w:tc>
        <w:tc>
          <w:tcPr>
            <w:tcW w:w="75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71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w:t>
            </w:r>
          </w:p>
        </w:tc>
        <w:tc>
          <w:tcPr>
            <w:tcW w:w="751" w:type="dxa"/>
            <w:tcBorders/>
            <w:shd w:fill="auto" w:val="cle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firstLine="280"/>
              <w:jc w:val="left"/>
              <w:rPr/>
            </w:pPr>
            <w:r>
              <w:rPr/>
              <w:t> </w:t>
            </w:r>
          </w:p>
        </w:tc>
      </w:tr>
      <w:tr>
        <w:trPr/>
        <w:tc>
          <w:tcPr>
            <w:tcW w:w="71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751" w:type="dxa"/>
            <w:tcBorders/>
            <w:shd w:fill="auto" w:val="clear"/>
            <w:vAlign w:val="center"/>
          </w:tcPr>
          <w:p>
            <w:pPr>
              <w:pStyle w:val="TableContents"/>
              <w:spacing w:before="0" w:after="0"/>
              <w:ind w:left="0" w:right="0" w:firstLine="280"/>
              <w:jc w:val="left"/>
              <w:rPr/>
            </w:pPr>
            <w:r>
              <w:rPr/>
              <w:t> </w:t>
            </w:r>
          </w:p>
        </w:tc>
      </w:tr>
      <w:tr>
        <w:trPr/>
        <w:tc>
          <w:tcPr>
            <w:tcW w:w="71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751" w:type="dxa"/>
            <w:tcBorders/>
            <w:shd w:fill="auto" w:val="clear"/>
            <w:vAlign w:val="center"/>
          </w:tcPr>
          <w:p>
            <w:pPr>
              <w:pStyle w:val="TableContents"/>
              <w:spacing w:before="0" w:after="0"/>
              <w:ind w:left="0" w:right="0" w:firstLine="280"/>
              <w:jc w:val="left"/>
              <w:rPr/>
            </w:pPr>
            <w:r>
              <w:rPr/>
              <w:t> </w:t>
            </w:r>
          </w:p>
        </w:tc>
      </w:tr>
      <w:tr>
        <w:trPr/>
        <w:tc>
          <w:tcPr>
            <w:tcW w:w="71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718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firstLine="280"/>
              <w:jc w:val="left"/>
              <w:rPr/>
            </w:pPr>
            <w:r>
              <w:rPr/>
              <w:t> </w:t>
            </w:r>
          </w:p>
        </w:tc>
      </w:tr>
      <w:tr>
        <w:trPr/>
        <w:tc>
          <w:tcPr>
            <w:tcW w:w="71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(2.72</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1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Weighted-average shares used in computing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23,246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22,049</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center"/>
        <w:rPr>
          <w:rFonts w:ascii="Arial;sans-serif" w:hAnsi="Arial;sans-serif"/>
          <w:b/>
          <w:caps/>
          <w:sz w:val="20"/>
        </w:rPr>
      </w:pPr>
      <w:r>
        <w:rPr>
          <w:rFonts w:ascii="Arial;sans-serif" w:hAnsi="Arial;sans-serif"/>
          <w:b/>
          <w:caps/>
          <w:sz w:val="20"/>
        </w:rPr>
        <w:t>CONTEXTLOGIC INC.</w:t>
      </w:r>
    </w:p>
    <w:p>
      <w:pPr>
        <w:pStyle w:val="TextBody"/>
        <w:spacing w:before="0" w:after="0"/>
        <w:jc w:val="center"/>
        <w:rPr>
          <w:rFonts w:ascii="Times New Roman" w:hAnsi="Times New Roman"/>
          <w:sz w:val="20"/>
        </w:rPr>
      </w:pPr>
      <w:bookmarkStart w:id="7" w:name="condensed_consolidated_statements_compre"/>
      <w:bookmarkEnd w:id="7"/>
      <w:r>
        <w:rPr>
          <w:rFonts w:ascii="Arial;sans-serif" w:hAnsi="Arial;sans-serif"/>
          <w:b/>
          <w:caps/>
          <w:sz w:val="20"/>
        </w:rPr>
        <w:t>CONDENSED CONSOLIDATED STATEMENTS OF COMPREHENSIVE LOSS</w:t>
      </w:r>
      <w:r>
        <w:rPr>
          <w:rFonts w:ascii="Times New Roman" w:hAnsi="Times New Roman"/>
          <w:caps/>
          <w:sz w:val="20"/>
        </w:rPr>
        <w:t xml:space="preserve"> </w:t>
      </w:r>
    </w:p>
    <w:p>
      <w:pPr>
        <w:pStyle w:val="TextBody"/>
        <w:spacing w:before="0" w:after="0"/>
        <w:jc w:val="center"/>
        <w:rPr>
          <w:rFonts w:ascii="Times New Roman" w:hAnsi="Times New Roman"/>
          <w:sz w:val="20"/>
        </w:rPr>
      </w:pPr>
      <w:r>
        <w:rPr>
          <w:rFonts w:ascii="Arial;sans-serif" w:hAnsi="Arial;sans-serif"/>
          <w:b/>
          <w:sz w:val="20"/>
        </w:rPr>
        <w:t>(in millions)</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(Unaudited)</w:t>
      </w:r>
    </w:p>
    <w:p>
      <w:pPr>
        <w:pStyle w:val="TextBody"/>
        <w:spacing w:before="0" w:after="0"/>
        <w:jc w:val="center"/>
        <w:rPr/>
      </w:pPr>
      <w:r>
        <w:rPr/>
        <w:t> </w:t>
      </w:r>
    </w:p>
    <w:tbl>
      <w:tblPr>
        <w:tblW w:w="9510" w:type="dxa"/>
        <w:jc w:val="left"/>
        <w:tblInd w:w="0" w:type="dxa"/>
        <w:tblCellMar>
          <w:top w:w="28" w:type="dxa"/>
          <w:left w:w="28" w:type="dxa"/>
          <w:bottom w:w="28" w:type="dxa"/>
          <w:right w:w="28" w:type="dxa"/>
        </w:tblCellMar>
      </w:tblPr>
      <w:tblGrid>
        <w:gridCol w:w="6856"/>
        <w:gridCol w:w="146"/>
        <w:gridCol w:w="289"/>
        <w:gridCol w:w="516"/>
        <w:gridCol w:w="227"/>
        <w:gridCol w:w="200"/>
        <w:gridCol w:w="289"/>
        <w:gridCol w:w="516"/>
        <w:gridCol w:w="471"/>
      </w:tblGrid>
      <w:tr>
        <w:trPr/>
        <w:tc>
          <w:tcPr>
            <w:tcW w:w="6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6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471" w:type="dxa"/>
            <w:tcBorders/>
            <w:shd w:fill="auto" w:val="clear"/>
            <w:vAlign w:val="center"/>
          </w:tcPr>
          <w:p>
            <w:pPr>
              <w:pStyle w:val="TableContents"/>
              <w:spacing w:before="0" w:after="0"/>
              <w:ind w:left="0" w:right="0" w:hanging="0"/>
              <w:jc w:val="center"/>
              <w:rPr/>
            </w:pPr>
            <w:r>
              <w:rPr/>
              <w:t> </w:t>
            </w:r>
          </w:p>
        </w:tc>
      </w:tr>
      <w:tr>
        <w:trPr/>
        <w:tc>
          <w:tcPr>
            <w:tcW w:w="6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8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2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805" w:type="dxa"/>
            <w:gridSpan w:val="2"/>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805" w:type="dxa"/>
            <w:gridSpan w:val="2"/>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Unrealized holding losses on derivatives and marketable securities, net of tax</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righ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8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0"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20"/>
        </w:rPr>
        <w:t>CONTEXTLOGIC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consolidated_statements_stockholders_equ"/>
      <w:bookmarkEnd w:id="8"/>
      <w:r>
        <w:rPr>
          <w:rFonts w:ascii="Arial;sans-serif" w:hAnsi="Arial;sans-serif"/>
          <w:b/>
          <w:sz w:val="20"/>
        </w:rPr>
        <w:t>CONDENSED CONSOLIDATED STATEMENTS OF STOCKHOLDERS’ EQUITY</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 in millions, shares in thousands)</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681"/>
        <w:gridCol w:w="146"/>
        <w:gridCol w:w="601"/>
        <w:gridCol w:w="166"/>
        <w:gridCol w:w="146"/>
        <w:gridCol w:w="271"/>
        <w:gridCol w:w="480"/>
        <w:gridCol w:w="146"/>
        <w:gridCol w:w="146"/>
        <w:gridCol w:w="303"/>
        <w:gridCol w:w="792"/>
        <w:gridCol w:w="166"/>
        <w:gridCol w:w="146"/>
        <w:gridCol w:w="534"/>
        <w:gridCol w:w="944"/>
        <w:gridCol w:w="166"/>
        <w:gridCol w:w="146"/>
        <w:gridCol w:w="295"/>
        <w:gridCol w:w="861"/>
        <w:gridCol w:w="166"/>
        <w:gridCol w:w="146"/>
        <w:gridCol w:w="432"/>
        <w:gridCol w:w="830"/>
        <w:gridCol w:w="495"/>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8029"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 2023</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center"/>
              <w:rPr/>
            </w:pPr>
            <w:r>
              <w:rPr/>
              <w:t> </w:t>
            </w:r>
          </w:p>
        </w:tc>
        <w:tc>
          <w:tcPr>
            <w:tcW w:w="181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8"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center"/>
              <w:rPr/>
            </w:pPr>
            <w:r>
              <w:rPr/>
              <w:t> </w:t>
            </w:r>
          </w:p>
        </w:tc>
        <w:tc>
          <w:tcPr>
            <w:tcW w:w="495"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Additional 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Other Comprehensive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Stockholders'</w:t>
              <w:br/>
              <w:t>Equity</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center"/>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Balances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23,164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4"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(2,929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477</w:t>
            </w:r>
          </w:p>
        </w:tc>
        <w:tc>
          <w:tcPr>
            <w:tcW w:w="495" w:type="dxa"/>
            <w:tcBorders/>
            <w:shd w:fill="auto" w:val="clear"/>
            <w:vAlign w:val="center"/>
          </w:tcPr>
          <w:p>
            <w:pPr>
              <w:pStyle w:val="TableContents"/>
              <w:spacing w:before="0" w:after="0"/>
              <w:ind w:left="0" w:right="0" w:firstLine="280"/>
              <w:jc w:val="left"/>
              <w:rPr/>
            </w:pPr>
            <w:r>
              <w:rPr/>
              <w:t> </w:t>
            </w:r>
          </w:p>
        </w:tc>
      </w:tr>
      <w:tr>
        <w:trPr/>
        <w:tc>
          <w:tcPr>
            <w:tcW w:w="1681"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Issuance of common stock upon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pPr>
            <w:r>
              <w:rPr/>
              <w:t>—</w:t>
            </w:r>
          </w:p>
        </w:tc>
        <w:tc>
          <w:tcPr>
            <w:tcW w:w="495" w:type="dxa"/>
            <w:tcBorders/>
            <w:shd w:fill="auto" w:val="clear"/>
            <w:vAlign w:val="center"/>
          </w:tcPr>
          <w:p>
            <w:pPr>
              <w:pStyle w:val="TableContents"/>
              <w:spacing w:before="0" w:after="0"/>
              <w:ind w:left="0" w:right="0" w:firstLine="280"/>
              <w:jc w:val="left"/>
              <w:rPr/>
            </w:pPr>
            <w:r>
              <w:rPr/>
              <w:t> </w:t>
            </w:r>
          </w:p>
        </w:tc>
      </w:tr>
      <w:tr>
        <w:trPr/>
        <w:tc>
          <w:tcPr>
            <w:tcW w:w="1681"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Shares withheld related to net share settlement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495" w:type="dxa"/>
            <w:tcBorders/>
            <w:shd w:fill="auto" w:val="clear"/>
            <w:vAlign w:val="center"/>
          </w:tcPr>
          <w:p>
            <w:pPr>
              <w:pStyle w:val="TableContents"/>
              <w:spacing w:before="0" w:after="0"/>
              <w:ind w:left="0" w:right="0" w:firstLine="280"/>
              <w:jc w:val="left"/>
              <w:rPr>
                <w:rFonts w:ascii="Arial;sans-serif" w:hAnsi="Arial;sans-serif"/>
                <w:b w:val="false"/>
                <w:sz w:val="16"/>
              </w:rPr>
            </w:pPr>
            <w:r>
              <w:rPr>
                <w:rFonts w:ascii="Arial;sans-serif" w:hAnsi="Arial;sans-serif"/>
                <w:b w:val="false"/>
                <w:sz w:val="16"/>
              </w:rPr>
              <w:t>)</w:t>
            </w:r>
          </w:p>
        </w:tc>
      </w:tr>
      <w:tr>
        <w:trPr/>
        <w:tc>
          <w:tcPr>
            <w:tcW w:w="1681"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830"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w:t>
            </w:r>
          </w:p>
        </w:tc>
        <w:tc>
          <w:tcPr>
            <w:tcW w:w="495" w:type="dxa"/>
            <w:tcBorders/>
            <w:shd w:fill="auto" w:val="clear"/>
            <w:vAlign w:val="center"/>
          </w:tcPr>
          <w:p>
            <w:pPr>
              <w:pStyle w:val="TableContents"/>
              <w:spacing w:before="0" w:after="0"/>
              <w:ind w:left="0" w:right="0" w:firstLine="280"/>
              <w:jc w:val="left"/>
              <w:rPr/>
            </w:pPr>
            <w:r>
              <w:rPr/>
              <w:t> </w:t>
            </w:r>
          </w:p>
        </w:tc>
      </w:tr>
      <w:tr>
        <w:trPr/>
        <w:tc>
          <w:tcPr>
            <w:tcW w:w="1681"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(89</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68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Balances as of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23,341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411</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647"/>
        <w:gridCol w:w="146"/>
        <w:gridCol w:w="601"/>
        <w:gridCol w:w="146"/>
        <w:gridCol w:w="146"/>
        <w:gridCol w:w="271"/>
        <w:gridCol w:w="480"/>
        <w:gridCol w:w="146"/>
        <w:gridCol w:w="146"/>
        <w:gridCol w:w="293"/>
        <w:gridCol w:w="764"/>
        <w:gridCol w:w="166"/>
        <w:gridCol w:w="146"/>
        <w:gridCol w:w="530"/>
        <w:gridCol w:w="938"/>
        <w:gridCol w:w="166"/>
        <w:gridCol w:w="146"/>
        <w:gridCol w:w="309"/>
        <w:gridCol w:w="904"/>
        <w:gridCol w:w="166"/>
        <w:gridCol w:w="146"/>
        <w:gridCol w:w="447"/>
        <w:gridCol w:w="859"/>
        <w:gridCol w:w="496"/>
      </w:tblGrid>
      <w:tr>
        <w:trPr/>
        <w:tc>
          <w:tcPr>
            <w:tcW w:w="16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647" w:type="dxa"/>
            <w:tcBorders/>
            <w:shd w:fill="auto" w:val="clear"/>
            <w:vAlign w:val="center"/>
          </w:tcPr>
          <w:p>
            <w:pPr>
              <w:pStyle w:val="TableContents"/>
              <w:spacing w:before="0" w:after="0"/>
              <w:ind w:left="0" w:right="0" w:hanging="0"/>
              <w:jc w:val="left"/>
              <w:rPr/>
            </w:pPr>
            <w:r>
              <w:rPr/>
              <w:t> </w:t>
            </w:r>
          </w:p>
        </w:tc>
        <w:tc>
          <w:tcPr>
            <w:tcW w:w="806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 March 31, 2022</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47" w:type="dxa"/>
            <w:tcBorders/>
            <w:shd w:fill="auto" w:val="clear"/>
            <w:vAlign w:val="center"/>
          </w:tcPr>
          <w:p>
            <w:pPr>
              <w:pStyle w:val="TableContents"/>
              <w:spacing w:before="0" w:after="0"/>
              <w:ind w:left="0" w:right="0" w:hanging="0"/>
              <w:jc w:val="center"/>
              <w:rPr/>
            </w:pPr>
            <w:r>
              <w:rPr/>
              <w:t> </w:t>
            </w:r>
          </w:p>
        </w:tc>
        <w:tc>
          <w:tcPr>
            <w:tcW w:w="1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8"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3"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pPr>
            <w:r>
              <w:rPr/>
              <w:t> </w:t>
            </w:r>
          </w:p>
        </w:tc>
        <w:tc>
          <w:tcPr>
            <w:tcW w:w="496" w:type="dxa"/>
            <w:tcBorders/>
            <w:shd w:fill="auto" w:val="clear"/>
            <w:vAlign w:val="center"/>
          </w:tcPr>
          <w:p>
            <w:pPr>
              <w:pStyle w:val="TableContents"/>
              <w:spacing w:before="0" w:after="0"/>
              <w:ind w:left="0" w:right="0" w:hanging="0"/>
              <w:jc w:val="center"/>
              <w:rPr/>
            </w:pPr>
            <w:r>
              <w:rPr/>
              <w:t> </w:t>
            </w:r>
          </w:p>
        </w:tc>
      </w:tr>
      <w:tr>
        <w:trPr/>
        <w:tc>
          <w:tcPr>
            <w:tcW w:w="1647" w:type="dxa"/>
            <w:tcBorders/>
            <w:shd w:fill="auto" w:val="cle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Additional 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w:t>
              <w:br/>
              <w:t>Other Comprehensive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Stockholders' Equity</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47" w:type="dxa"/>
            <w:tcBorders/>
            <w:shd w:fill="auto" w:val="clear"/>
            <w:vAlign w:val="center"/>
          </w:tcPr>
          <w:p>
            <w:pPr>
              <w:pStyle w:val="TableContents"/>
              <w:spacing w:before="0" w:after="0"/>
              <w:ind w:left="0" w:right="0" w:hanging="0"/>
              <w:jc w:val="center"/>
              <w:rPr/>
            </w:pPr>
            <w:r>
              <w:rPr/>
              <w:t> </w:t>
            </w:r>
          </w:p>
        </w:tc>
        <w:tc>
          <w:tcPr>
            <w:tcW w:w="7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3"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left"/>
              <w:rPr/>
            </w:pPr>
            <w:r>
              <w:rPr/>
              <w:t> </w:t>
            </w:r>
          </w:p>
        </w:tc>
      </w:tr>
      <w:tr>
        <w:trPr/>
        <w:tc>
          <w:tcPr>
            <w:tcW w:w="1647"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Balances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21,949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4"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04"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(2,545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818</w:t>
            </w:r>
          </w:p>
        </w:tc>
        <w:tc>
          <w:tcPr>
            <w:tcW w:w="496" w:type="dxa"/>
            <w:tcBorders/>
            <w:shd w:fill="auto" w:val="clear"/>
            <w:vAlign w:val="center"/>
          </w:tcPr>
          <w:p>
            <w:pPr>
              <w:pStyle w:val="TableContents"/>
              <w:spacing w:before="0" w:after="0"/>
              <w:ind w:left="0" w:right="0" w:firstLine="280"/>
              <w:jc w:val="left"/>
              <w:rPr/>
            </w:pPr>
            <w:r>
              <w:rPr/>
              <w:t> </w:t>
            </w:r>
          </w:p>
        </w:tc>
      </w:tr>
      <w:tr>
        <w:trPr/>
        <w:tc>
          <w:tcPr>
            <w:tcW w:w="1647"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Issuance of common stock upon exercise of options for cash</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pPr>
            <w:r>
              <w:rPr/>
              <w:t>—</w:t>
            </w:r>
          </w:p>
        </w:tc>
        <w:tc>
          <w:tcPr>
            <w:tcW w:w="496" w:type="dxa"/>
            <w:tcBorders/>
            <w:shd w:fill="auto" w:val="clear"/>
            <w:vAlign w:val="center"/>
          </w:tcPr>
          <w:p>
            <w:pPr>
              <w:pStyle w:val="TableContents"/>
              <w:spacing w:before="0" w:after="0"/>
              <w:ind w:left="0" w:right="0" w:firstLine="280"/>
              <w:jc w:val="left"/>
              <w:rPr/>
            </w:pPr>
            <w:r>
              <w:rPr/>
              <w:t> </w:t>
            </w:r>
          </w:p>
        </w:tc>
      </w:tr>
      <w:tr>
        <w:trPr/>
        <w:tc>
          <w:tcPr>
            <w:tcW w:w="1647"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Issuance of common stock upon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pPr>
            <w:r>
              <w:rPr/>
              <w:t>—</w:t>
            </w:r>
          </w:p>
        </w:tc>
        <w:tc>
          <w:tcPr>
            <w:tcW w:w="496" w:type="dxa"/>
            <w:tcBorders/>
            <w:shd w:fill="auto" w:val="clear"/>
            <w:vAlign w:val="center"/>
          </w:tcPr>
          <w:p>
            <w:pPr>
              <w:pStyle w:val="TableContents"/>
              <w:spacing w:before="0" w:after="0"/>
              <w:ind w:left="0" w:right="0" w:firstLine="280"/>
              <w:jc w:val="left"/>
              <w:rPr/>
            </w:pPr>
            <w:r>
              <w:rPr/>
              <w:t> </w:t>
            </w:r>
          </w:p>
        </w:tc>
      </w:tr>
      <w:tr>
        <w:trPr/>
        <w:tc>
          <w:tcPr>
            <w:tcW w:w="1647"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496" w:type="dxa"/>
            <w:tcBorders/>
            <w:shd w:fill="auto" w:val="clear"/>
            <w:vAlign w:val="center"/>
          </w:tcPr>
          <w:p>
            <w:pPr>
              <w:pStyle w:val="TableContents"/>
              <w:spacing w:before="0" w:after="0"/>
              <w:ind w:left="0" w:right="0" w:firstLine="280"/>
              <w:jc w:val="left"/>
              <w:rPr>
                <w:rFonts w:ascii="Arial;sans-serif" w:hAnsi="Arial;sans-serif"/>
                <w:b w:val="false"/>
                <w:sz w:val="16"/>
              </w:rPr>
            </w:pPr>
            <w:r>
              <w:rPr>
                <w:rFonts w:ascii="Arial;sans-serif" w:hAnsi="Arial;sans-serif"/>
                <w:b w:val="false"/>
                <w:sz w:val="16"/>
              </w:rPr>
              <w:t>)</w:t>
            </w:r>
          </w:p>
        </w:tc>
      </w:tr>
      <w:tr>
        <w:trPr/>
        <w:tc>
          <w:tcPr>
            <w:tcW w:w="1647"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Other comprehensive loss, net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9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w:t>
            </w:r>
          </w:p>
        </w:tc>
        <w:tc>
          <w:tcPr>
            <w:tcW w:w="496" w:type="dxa"/>
            <w:tcBorders/>
            <w:shd w:fill="auto" w:val="clear"/>
            <w:vAlign w:val="center"/>
          </w:tcPr>
          <w:p>
            <w:pPr>
              <w:pStyle w:val="TableContents"/>
              <w:spacing w:before="0" w:after="0"/>
              <w:ind w:left="0" w:right="0" w:firstLine="280"/>
              <w:jc w:val="left"/>
              <w:rPr>
                <w:rFonts w:ascii="Arial;sans-serif" w:hAnsi="Arial;sans-serif"/>
                <w:b w:val="false"/>
                <w:sz w:val="16"/>
              </w:rPr>
            </w:pPr>
            <w:r>
              <w:rPr>
                <w:rFonts w:ascii="Arial;sans-serif" w:hAnsi="Arial;sans-serif"/>
                <w:b w:val="false"/>
                <w:sz w:val="16"/>
              </w:rPr>
              <w:t>)</w:t>
            </w:r>
          </w:p>
        </w:tc>
      </w:tr>
      <w:tr>
        <w:trPr/>
        <w:tc>
          <w:tcPr>
            <w:tcW w:w="1647" w:type="dxa"/>
            <w:tcBorders/>
            <w:shd w:fill="auto" w:val="clear"/>
            <w:vAlign w:val="center"/>
          </w:tcPr>
          <w:p>
            <w:pPr>
              <w:pStyle w:val="TableContents"/>
              <w:spacing w:before="0" w:after="0"/>
              <w:ind w:left="280" w:right="0" w:hanging="0"/>
              <w:jc w:val="left"/>
              <w:rPr>
                <w:rFonts w:ascii="Arial;sans-serif" w:hAnsi="Arial;sans-serif"/>
                <w:b w:val="false"/>
                <w:sz w:val="16"/>
              </w:rPr>
            </w:pPr>
            <w:r>
              <w:rPr>
                <w:rFonts w:ascii="Arial;sans-serif" w:hAnsi="Arial;sans-serif"/>
                <w:b w:val="false"/>
                <w:sz w:val="16"/>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(60</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647"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Balances as of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22,127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755</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24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center"/>
        <w:rPr>
          <w:rFonts w:ascii="Times New Roman" w:hAnsi="Times New Roman"/>
          <w:sz w:val="20"/>
        </w:rPr>
      </w:pPr>
      <w:r>
        <w:rPr>
          <w:rFonts w:ascii="Arial;sans-serif" w:hAnsi="Arial;sans-serif"/>
          <w:b/>
          <w:sz w:val="20"/>
        </w:rPr>
        <w:t>CONTEXTLOGIC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9" w:name="consolidated_statements_cash_flows"/>
      <w:bookmarkEnd w:id="9"/>
      <w:r>
        <w:rPr>
          <w:rFonts w:ascii="Arial;sans-serif" w:hAnsi="Arial;sans-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(in millions)</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65"/>
        <w:gridCol w:w="146"/>
        <w:gridCol w:w="229"/>
        <w:gridCol w:w="522"/>
        <w:gridCol w:w="180"/>
        <w:gridCol w:w="158"/>
        <w:gridCol w:w="229"/>
        <w:gridCol w:w="636"/>
        <w:gridCol w:w="166"/>
        <w:gridCol w:w="474"/>
      </w:tblGrid>
      <w:tr>
        <w:trPr/>
        <w:tc>
          <w:tcPr>
            <w:tcW w:w="74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74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4"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Adjustments to reconcile net loss to net cash used in operating</w:t>
              <w:br/>
              <w:t>   activities: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Noncash inventory write-downs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Impairment of lease assets and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Funds receivable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Prepaid expenses, other current and noncurrent assets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Merchants payable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Accrued and refund liabilities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current and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Purchases of property and equipment and development of internal-use software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Maturities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52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18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Payment of taxes related to RSU settlement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Foreign currency effects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(134</w:t>
            </w:r>
          </w:p>
        </w:tc>
        <w:tc>
          <w:tcPr>
            <w:tcW w:w="18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379</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righ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Reconciliation of cash, cash equivalents, and restricted cash to the condensed consolidated balance sheets: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760</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Restricted cash included within prepaid expenses and other current assets in the condensed consolidated balance sheets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379</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cash flow disclosures: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Cash paid for income taxes, net of refunds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shd w:fill="auto" w:val="clear"/>
            <w:vAlign w:val="center"/>
          </w:tcPr>
          <w:p>
            <w:pPr>
              <w:pStyle w:val="TableContents"/>
              <w:spacing w:before="0" w:after="0"/>
              <w:ind w:left="0" w:right="0" w:hanging="0"/>
              <w:jc w:val="righ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r>
        <w:trPr/>
        <w:tc>
          <w:tcPr>
            <w:tcW w:w="7465"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6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746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Purchase of property and equipment included in accounts payable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CONTEXTLOGIC INC.</w:t>
      </w:r>
      <w:r>
        <w:rPr>
          <w:rFonts w:ascii="Times New Roman" w:hAnsi="Times New Roman"/>
          <w:sz w:val="20"/>
        </w:rPr>
        <w:t xml:space="preserve"> </w:t>
      </w:r>
    </w:p>
    <w:p>
      <w:pPr>
        <w:pStyle w:val="TextBody"/>
        <w:spacing w:before="0" w:after="0"/>
        <w:jc w:val="center"/>
        <w:rPr>
          <w:rFonts w:ascii="Arial;sans-serif" w:hAnsi="Arial;sans-serif"/>
          <w:b/>
          <w:sz w:val="20"/>
        </w:rPr>
      </w:pPr>
      <w:bookmarkStart w:id="10" w:name="notes_to_unaudited_condensed_consolidate"/>
      <w:bookmarkEnd w:id="10"/>
      <w:r>
        <w:rPr>
          <w:rFonts w:ascii="Arial;sans-serif" w:hAnsi="Arial;sans-serif"/>
          <w:b/>
          <w:sz w:val="20"/>
        </w:rPr>
        <w:t>Notes to Unaudited Condensed Consolidated Financial Statements</w:t>
      </w:r>
    </w:p>
    <w:p>
      <w:pPr>
        <w:pStyle w:val="TextBody"/>
        <w:spacing w:before="360" w:after="0"/>
        <w:jc w:val="left"/>
        <w:rPr>
          <w:rFonts w:ascii="Times New Roman" w:hAnsi="Times New Roman"/>
          <w:sz w:val="20"/>
        </w:rPr>
      </w:pPr>
      <w:r>
        <w:rPr>
          <w:rFonts w:ascii="Arial;sans-serif" w:hAnsi="Arial;sans-serif"/>
          <w:b/>
          <w:sz w:val="20"/>
        </w:rPr>
        <w:t>NOTE 1. OVERVIEW, BASIS OF PRESENTATION AND SIGNIFICANT ACCOUNTING POLICIES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 was incorporated in the state of Delaware</w:t>
      </w:r>
      <w:r>
        <w:rPr>
          <w:rFonts w:ascii="Times New Roman" w:hAnsi="Times New Roman"/>
          <w:sz w:val="20"/>
        </w:rPr>
        <w:t xml:space="preserve"> </w:t>
      </w:r>
      <w:r>
        <w:rPr>
          <w:rFonts w:ascii="Arial;sans-serif" w:hAnsi="Arial;sans-serif"/>
          <w:b w:val="false"/>
          <w:sz w:val="20"/>
        </w:rPr>
        <w:t>in June 2010</w:t>
      </w:r>
      <w:r>
        <w:rPr>
          <w:rFonts w:ascii="Times New Roman" w:hAnsi="Times New Roman"/>
          <w:sz w:val="20"/>
        </w:rPr>
        <w:t xml:space="preserve"> </w:t>
      </w:r>
      <w:r>
        <w:rPr>
          <w:rFonts w:ascii="Arial;sans-serif" w:hAnsi="Arial;sans-serif"/>
          <w:b w:val="false"/>
          <w:sz w:val="20"/>
        </w:rPr>
        <w:t>and is headquartered in San Francisco, California, with operations domestically and internationally.</w:t>
      </w:r>
      <w:r>
        <w:rPr>
          <w:rFonts w:ascii="Times New Roman" w:hAnsi="Times New Roman"/>
          <w:sz w:val="20"/>
        </w:rPr>
        <w:t xml:space="preserve"> </w:t>
      </w:r>
    </w:p>
    <w:p>
      <w:pPr>
        <w:pStyle w:val="TextBody"/>
        <w:spacing w:before="180" w:after="0"/>
        <w:jc w:val="both"/>
        <w:rPr>
          <w:rFonts w:ascii="Arial;sans-serif" w:hAnsi="Arial;sans-serif"/>
          <w:b/>
          <w:i/>
          <w:sz w:val="20"/>
        </w:rPr>
      </w:pPr>
      <w:r>
        <w:rPr>
          <w:rFonts w:ascii="Arial;sans-serif" w:hAnsi="Arial;sans-serif"/>
          <w:b/>
          <w:i/>
          <w:sz w:val="20"/>
        </w:rPr>
        <w:t>Reverse Stock Split</w:t>
      </w:r>
    </w:p>
    <w:p>
      <w:pPr>
        <w:pStyle w:val="TextBody"/>
        <w:spacing w:before="180" w:after="0"/>
        <w:jc w:val="both"/>
        <w:rPr>
          <w:rFonts w:ascii="Times New Roman" w:hAnsi="Times New Roman"/>
          <w:sz w:val="20"/>
        </w:rPr>
      </w:pPr>
      <w:r>
        <w:rPr>
          <w:rFonts w:ascii="Arial;sans-serif" w:hAnsi="Arial;sans-serif"/>
          <w:b w:val="false"/>
          <w:sz w:val="20"/>
        </w:rPr>
        <w:t>On April 10, 2023, the Company filed a certificate of amendment (the “Reverse Stock Split Amendment”) to the Company’s Restated Certificate of Incorporation with the Secretary of State of Delaware to effect a 1-for-30</w:t>
      </w:r>
      <w:r>
        <w:rPr>
          <w:rFonts w:ascii="Times New Roman" w:hAnsi="Times New Roman"/>
          <w:sz w:val="20"/>
        </w:rPr>
        <w:t xml:space="preserve"> </w:t>
      </w:r>
      <w:r>
        <w:rPr>
          <w:rFonts w:ascii="Arial;sans-serif" w:hAnsi="Arial;sans-serif"/>
          <w:b w:val="false"/>
          <w:sz w:val="20"/>
        </w:rPr>
        <w:t>Reverse Stock Split of the Company's Class A common stock ("common stock"), which became effective on April 11, 2023. The Reverse Stock Split Amendment will not reduce the number of authorized shares of common stock, which will remain at 3</w:t>
      </w:r>
      <w:r>
        <w:rPr>
          <w:rFonts w:ascii="Times New Roman" w:hAnsi="Times New Roman"/>
          <w:sz w:val="20"/>
        </w:rPr>
        <w:t xml:space="preserve"> </w:t>
      </w:r>
      <w:r>
        <w:rPr>
          <w:rFonts w:ascii="Arial;sans-serif" w:hAnsi="Arial;sans-serif"/>
          <w:b w:val="false"/>
          <w:sz w:val="20"/>
        </w:rPr>
        <w:t>billion, and will not change the par value of the common stock, which will remain at $0.0001</w:t>
      </w:r>
      <w:r>
        <w:rPr>
          <w:rFonts w:ascii="Times New Roman" w:hAnsi="Times New Roman"/>
          <w:sz w:val="20"/>
        </w:rPr>
        <w:t xml:space="preserve"> </w:t>
      </w:r>
      <w:r>
        <w:rPr>
          <w:rFonts w:ascii="Arial;sans-serif" w:hAnsi="Arial;sans-serif"/>
          <w:b w:val="false"/>
          <w:sz w:val="20"/>
        </w:rPr>
        <w:t>per share.</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All share and per share information has been retroactively adjusted to reflect the reverse stock split for all periods presented.</w:t>
      </w:r>
    </w:p>
    <w:p>
      <w:pPr>
        <w:pStyle w:val="TextBody"/>
        <w:spacing w:before="180" w:after="0"/>
        <w:jc w:val="both"/>
        <w:rPr>
          <w:rFonts w:ascii="Arial;sans-serif" w:hAnsi="Arial;sans-serif"/>
          <w:b/>
          <w:i/>
          <w:sz w:val="20"/>
        </w:rPr>
      </w:pPr>
      <w:r>
        <w:rPr>
          <w:rFonts w:ascii="Arial;sans-serif" w:hAnsi="Arial;sans-serif"/>
          <w:b/>
          <w:i/>
          <w:sz w:val="20"/>
        </w:rPr>
        <w:t>Basis of Presentation and Consolidation</w:t>
      </w:r>
    </w:p>
    <w:p>
      <w:pPr>
        <w:pStyle w:val="TextBody"/>
        <w:spacing w:before="180" w:after="0"/>
        <w:jc w:val="both"/>
        <w:rPr>
          <w:rFonts w:ascii="Arial;sans-serif" w:hAnsi="Arial;sans-serif"/>
          <w:b w:val="false"/>
          <w:sz w:val="20"/>
        </w:rPr>
      </w:pPr>
      <w:r>
        <w:rPr>
          <w:rFonts w:ascii="Arial;sans-serif" w:hAnsi="Arial;sans-serif"/>
          <w:b w:val="false"/>
          <w:sz w:val="20"/>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data as of March 31, 2023 and for the three months ended March 31, 2023 and 2022 is unaudited. In the opinion of management, the interim financial data includes all adjustments, consisting only of normal recurring adjustments, necessary to a fair statement of the results for the interim periods. The consolidated balance sheet as of December 31, 2022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2022, which was filed with the SEC on February 27, 2023 (the “2022 Form 10-K”).</w:t>
      </w:r>
    </w:p>
    <w:p>
      <w:pPr>
        <w:pStyle w:val="TextBody"/>
        <w:spacing w:before="180" w:after="0"/>
        <w:jc w:val="both"/>
        <w:rPr>
          <w:rFonts w:ascii="Arial;sans-serif" w:hAnsi="Arial;sans-serif"/>
          <w:b/>
          <w:i/>
          <w:sz w:val="20"/>
        </w:rPr>
      </w:pPr>
      <w:r>
        <w:rPr>
          <w:rFonts w:ascii="Arial;sans-serif" w:hAnsi="Arial;sans-serif"/>
          <w:b/>
          <w:i/>
          <w:sz w:val="20"/>
        </w:rPr>
        <w:t>Use of Estimates</w:t>
      </w:r>
    </w:p>
    <w:p>
      <w:pPr>
        <w:pStyle w:val="TextBody"/>
        <w:spacing w:before="180" w:after="0"/>
        <w:jc w:val="both"/>
        <w:rPr>
          <w:rFonts w:ascii="Times New Roman" w:hAnsi="Times New Roman"/>
          <w:sz w:val="20"/>
        </w:rPr>
      </w:pPr>
      <w:r>
        <w:rPr>
          <w:rFonts w:ascii="Arial;sans-serif" w:hAnsi="Arial;sans-serif"/>
          <w:b w:val="false"/>
          <w:sz w:val="20"/>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Segments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 manages its operations and allocates resources as a single</w:t>
      </w:r>
      <w:r>
        <w:rPr>
          <w:rFonts w:ascii="Times New Roman" w:hAnsi="Times New Roman"/>
          <w:sz w:val="20"/>
        </w:rPr>
        <w:t xml:space="preserve"> </w:t>
      </w:r>
      <w:r>
        <w:rPr>
          <w:rFonts w:ascii="Arial;sans-serif" w:hAnsi="Arial;sans-serif"/>
          <w:b w:val="false"/>
          <w:sz w:val="20"/>
        </w:rPr>
        <w:t>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w:t>
      </w:r>
      <w:r>
        <w:rPr>
          <w:rFonts w:ascii="Times New Roman" w:hAnsi="Times New Roman"/>
          <w:sz w:val="20"/>
        </w:rPr>
        <w:t xml:space="preserve"> </w:t>
      </w:r>
      <w:r>
        <w:rPr>
          <w:rFonts w:ascii="Arial;sans-serif" w:hAnsi="Arial;sans-serif"/>
          <w:b w:val="false"/>
          <w:sz w:val="20"/>
        </w:rPr>
        <w:t>reportable segment.</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70" w:after="0"/>
        <w:jc w:val="both"/>
        <w:rPr>
          <w:rFonts w:ascii="Times New Roman" w:hAnsi="Times New Roman"/>
          <w:sz w:val="20"/>
        </w:rPr>
      </w:pPr>
      <w:r>
        <w:rPr>
          <w:rFonts w:ascii="Arial;sans-serif" w:hAnsi="Arial;sans-serif"/>
          <w:b/>
          <w:i/>
          <w:sz w:val="20"/>
        </w:rPr>
        <w:t>Concentrations of Risk</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i/>
          <w:sz w:val="20"/>
        </w:rPr>
        <w:t xml:space="preserve">Credit Risk </w:t>
      </w:r>
      <w:r>
        <w:rPr>
          <w:rFonts w:ascii="Times New Roman" w:hAnsi="Times New Roman"/>
          <w:sz w:val="20"/>
        </w:rPr>
        <w:t xml:space="preserve">— </w:t>
      </w:r>
      <w:r>
        <w:rPr>
          <w:rFonts w:ascii="Arial;sans-serif" w:hAnsi="Arial;sans-serif"/>
          <w:b w:val="false"/>
          <w:sz w:val="20"/>
        </w:rPr>
        <w:t>Financial instruments that potentially subject the Company to concentrations of credit risk consist primarily of cash 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pStyle w:val="TextBody"/>
        <w:spacing w:before="180" w:after="0"/>
        <w:jc w:val="both"/>
        <w:rPr>
          <w:rFonts w:ascii="Times New Roman" w:hAnsi="Times New Roman"/>
          <w:sz w:val="20"/>
        </w:rPr>
      </w:pPr>
      <w:r>
        <w:rPr>
          <w:rFonts w:ascii="Arial;sans-serif" w:hAnsi="Arial;sans-serif"/>
          <w:b w:val="false"/>
          <w:sz w:val="20"/>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33% and 24% of the Company’s total cash and cash equivalents as of March 31, 2023 and December 31, 2022, respectively.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following PSPs each represented 10% or more of the Company’s funds receivable balance:</w:t>
      </w:r>
      <w:r>
        <w:rPr>
          <w:rFonts w:ascii="Times New Roman" w:hAnsi="Times New Roman"/>
          <w:sz w:val="20"/>
        </w:rPr>
        <w:t xml:space="preserve"> </w:t>
      </w:r>
    </w:p>
    <w:p>
      <w:pPr>
        <w:pStyle w:val="TextBody"/>
        <w:spacing w:before="180" w:after="0"/>
        <w:jc w:val="both"/>
        <w:rPr/>
      </w:pPr>
      <w:r>
        <w:rPr/>
        <w:t> </w:t>
      </w:r>
    </w:p>
    <w:tbl>
      <w:tblPr>
        <w:tblW w:w="3970" w:type="dxa"/>
        <w:jc w:val="left"/>
        <w:tblInd w:w="0" w:type="dxa"/>
        <w:tblCellMar>
          <w:top w:w="28" w:type="dxa"/>
          <w:left w:w="28" w:type="dxa"/>
          <w:bottom w:w="28" w:type="dxa"/>
          <w:right w:w="28" w:type="dxa"/>
        </w:tblCellMar>
      </w:tblPr>
      <w:tblGrid>
        <w:gridCol w:w="691"/>
        <w:gridCol w:w="146"/>
        <w:gridCol w:w="316"/>
        <w:gridCol w:w="689"/>
        <w:gridCol w:w="286"/>
        <w:gridCol w:w="146"/>
        <w:gridCol w:w="431"/>
        <w:gridCol w:w="934"/>
        <w:gridCol w:w="331"/>
      </w:tblGrid>
      <w:tr>
        <w:trPr/>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December 31,</w:t>
            </w:r>
          </w:p>
        </w:tc>
        <w:tc>
          <w:tcPr>
            <w:tcW w:w="331" w:type="dxa"/>
            <w:tcBorders/>
            <w:shd w:fill="auto" w:val="clear"/>
            <w:vAlign w:val="center"/>
          </w:tcPr>
          <w:p>
            <w:pPr>
              <w:pStyle w:val="TableContents"/>
              <w:spacing w:before="0" w:after="0"/>
              <w:ind w:left="0" w:right="0" w:hanging="0"/>
              <w:jc w:val="right"/>
              <w:rPr/>
            </w:pPr>
            <w:r>
              <w:rPr/>
              <w:t> </w:t>
            </w:r>
          </w:p>
        </w:tc>
      </w:tr>
      <w:tr>
        <w:trPr/>
        <w:tc>
          <w:tcPr>
            <w:tcW w:w="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PSP 1</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PSP 2</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Times New Roman" w:hAnsi="Times New Roman"/>
          <w:sz w:val="20"/>
        </w:rPr>
      </w:pPr>
      <w:r>
        <w:rPr>
          <w:rFonts w:ascii="Arial;sans-serif" w:hAnsi="Arial;sans-serif"/>
          <w:b w:val="false"/>
          <w:i/>
          <w:sz w:val="20"/>
        </w:rPr>
        <w:t xml:space="preserve">Services Risk </w:t>
      </w:r>
      <w:r>
        <w:rPr>
          <w:rFonts w:ascii="Times New Roman" w:hAnsi="Times New Roman"/>
          <w:sz w:val="20"/>
        </w:rPr>
        <w:t xml:space="preserve">— </w:t>
      </w:r>
      <w:r>
        <w:rPr>
          <w:rFonts w:ascii="Arial;sans-serif" w:hAnsi="Arial;sans-serif"/>
          <w:b w:val="false"/>
          <w:sz w:val="20"/>
        </w:rPr>
        <w:t>The Company serves all of its users using third-party data center and hosting providers. The Company has disaster 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months ended March 31, 2023 and 2022.</w:t>
      </w:r>
      <w:r>
        <w:rPr>
          <w:rFonts w:ascii="Times New Roman" w:hAnsi="Times New Roman"/>
          <w:sz w:val="20"/>
        </w:rPr>
        <w:t xml:space="preserve"> </w:t>
      </w:r>
    </w:p>
    <w:p>
      <w:pPr>
        <w:pStyle w:val="TextBody"/>
        <w:spacing w:before="180" w:after="0"/>
        <w:jc w:val="both"/>
        <w:rPr>
          <w:rFonts w:ascii="Arial;sans-serif" w:hAnsi="Arial;sans-serif"/>
          <w:b/>
          <w:i/>
          <w:sz w:val="20"/>
        </w:rPr>
      </w:pPr>
      <w:r>
        <w:rPr>
          <w:rFonts w:ascii="Arial;sans-serif" w:hAnsi="Arial;sans-serif"/>
          <w:b/>
          <w:i/>
          <w:sz w:val="20"/>
        </w:rPr>
        <w:t>Summary of Significant Accounting Policies</w:t>
      </w:r>
    </w:p>
    <w:p>
      <w:pPr>
        <w:pStyle w:val="TextBody"/>
        <w:spacing w:before="180" w:after="0"/>
        <w:jc w:val="both"/>
        <w:rPr>
          <w:rFonts w:ascii="Arial;sans-serif" w:hAnsi="Arial;sans-serif"/>
          <w:b w:val="false"/>
          <w:sz w:val="20"/>
        </w:rPr>
      </w:pPr>
      <w:r>
        <w:rPr>
          <w:rFonts w:ascii="Arial;sans-serif" w:hAnsi="Arial;sans-serif"/>
          <w:b w:val="false"/>
          <w:sz w:val="20"/>
        </w:rPr>
        <w:t>There have been no changes to the Company’s significant accounting policies described in its 2022 Form 10-K, filed with the SEC on February 27, 2023, that have had a material impact on its condensed consolidated financial statements.</w:t>
      </w:r>
    </w:p>
    <w:p>
      <w:pPr>
        <w:pStyle w:val="TextBody"/>
        <w:spacing w:before="180" w:after="0"/>
        <w:jc w:val="both"/>
        <w:rPr>
          <w:rFonts w:ascii="Arial;sans-serif" w:hAnsi="Arial;sans-serif"/>
          <w:b/>
          <w:i/>
          <w:sz w:val="20"/>
        </w:rPr>
      </w:pPr>
      <w:r>
        <w:rPr>
          <w:rFonts w:ascii="Arial;sans-serif" w:hAnsi="Arial;sans-serif"/>
          <w:b/>
          <w:i/>
          <w:sz w:val="20"/>
        </w:rPr>
        <w:t>Accounting Pronouncements</w:t>
      </w:r>
    </w:p>
    <w:p>
      <w:pPr>
        <w:pStyle w:val="TextBody"/>
        <w:spacing w:before="180" w:after="0"/>
        <w:jc w:val="both"/>
        <w:rPr>
          <w:rFonts w:ascii="Times New Roman" w:hAnsi="Times New Roman"/>
          <w:sz w:val="20"/>
        </w:rPr>
      </w:pPr>
      <w:r>
        <w:rPr>
          <w:rFonts w:ascii="Arial;sans-serif" w:hAnsi="Arial;sans-serif"/>
          <w:b w:val="false"/>
          <w:sz w:val="20"/>
        </w:rPr>
        <w:t>The Company has reviewed recent accounting pronouncements and concluded they are either not applicable to the business or no material impact is expected on the condensed consolidated financial statements as a result of future adoption.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Arial;sans-serif" w:hAnsi="Arial;sans-serif"/>
          <w:b/>
          <w:sz w:val="20"/>
        </w:rPr>
      </w:pPr>
      <w:r>
        <w:rPr>
          <w:rFonts w:ascii="Arial;sans-serif" w:hAnsi="Arial;sans-serif"/>
          <w:b/>
          <w:sz w:val="20"/>
        </w:rPr>
        <w:t>NOTE 2. DISAGGREGATION OF REVENUE</w:t>
      </w:r>
    </w:p>
    <w:p>
      <w:pPr>
        <w:pStyle w:val="TextBody"/>
        <w:spacing w:before="180" w:after="0"/>
        <w:jc w:val="both"/>
        <w:rPr>
          <w:rFonts w:ascii="Arial;sans-serif" w:hAnsi="Arial;sans-serif"/>
          <w:b w:val="false"/>
          <w:sz w:val="20"/>
        </w:rPr>
      </w:pPr>
      <w:r>
        <w:rPr>
          <w:rFonts w:ascii="Arial;sans-serif" w:hAnsi="Arial;sans-serif"/>
          <w:b w:val="false"/>
          <w:sz w:val="20"/>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pStyle w:val="TextBody"/>
        <w:spacing w:before="180" w:after="0"/>
        <w:jc w:val="both"/>
        <w:rPr>
          <w:rFonts w:ascii="Arial;sans-serif" w:hAnsi="Arial;sans-serif"/>
          <w:b w:val="false"/>
          <w:i/>
          <w:sz w:val="20"/>
        </w:rPr>
      </w:pPr>
      <w:r>
        <w:rPr>
          <w:rFonts w:ascii="Arial;sans-serif" w:hAnsi="Arial;sans-serif"/>
          <w:b w:val="false"/>
          <w:i/>
          <w:sz w:val="20"/>
        </w:rPr>
        <w:t>Marketplace Revenue</w:t>
      </w:r>
    </w:p>
    <w:p>
      <w:pPr>
        <w:pStyle w:val="TextBody"/>
        <w:spacing w:before="180" w:after="0"/>
        <w:jc w:val="both"/>
        <w:rPr>
          <w:rFonts w:ascii="Arial;sans-serif" w:hAnsi="Arial;sans-serif"/>
          <w:b w:val="false"/>
          <w:sz w:val="20"/>
        </w:rPr>
      </w:pPr>
      <w:r>
        <w:rPr>
          <w:rFonts w:ascii="Arial;sans-serif" w:hAnsi="Arial;sans-serif"/>
          <w:b w:val="false"/>
          <w:sz w:val="20"/>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pStyle w:val="TextBody"/>
        <w:spacing w:before="180" w:after="0"/>
        <w:jc w:val="both"/>
        <w:rPr>
          <w:rFonts w:ascii="Times New Roman" w:hAnsi="Times New Roman"/>
          <w:sz w:val="20"/>
        </w:rPr>
      </w:pPr>
      <w:r>
        <w:rPr>
          <w:rFonts w:ascii="Arial;sans-serif" w:hAnsi="Arial;sans-serif"/>
          <w:b w:val="false"/>
          <w:sz w:val="20"/>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r>
        <w:rPr>
          <w:rFonts w:ascii="Times New Roman" w:hAnsi="Times New Roman"/>
          <w:sz w:val="20"/>
        </w:rPr>
        <w:t xml:space="preserve"> </w:t>
      </w:r>
    </w:p>
    <w:p>
      <w:pPr>
        <w:pStyle w:val="TextBody"/>
        <w:spacing w:before="180" w:after="0"/>
        <w:jc w:val="both"/>
        <w:rPr>
          <w:rFonts w:ascii="Arial;sans-serif" w:hAnsi="Arial;sans-serif"/>
          <w:b w:val="false"/>
          <w:i/>
          <w:sz w:val="20"/>
        </w:rPr>
      </w:pPr>
      <w:r>
        <w:rPr>
          <w:rFonts w:ascii="Arial;sans-serif" w:hAnsi="Arial;sans-serif"/>
          <w:b w:val="false"/>
          <w:i/>
          <w:sz w:val="20"/>
        </w:rPr>
        <w:t>Logistics Revenue</w:t>
      </w:r>
    </w:p>
    <w:p>
      <w:pPr>
        <w:pStyle w:val="TextBody"/>
        <w:spacing w:before="180" w:after="0"/>
        <w:jc w:val="both"/>
        <w:rPr>
          <w:rFonts w:ascii="Times New Roman" w:hAnsi="Times New Roman"/>
          <w:sz w:val="20"/>
        </w:rPr>
      </w:pPr>
      <w:r>
        <w:rPr>
          <w:rFonts w:ascii="Arial;sans-serif" w:hAnsi="Arial;sans-serif"/>
          <w:b w:val="false"/>
          <w:sz w:val="20"/>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pStyle w:val="TextBody"/>
        <w:spacing w:before="180" w:after="0"/>
        <w:jc w:val="both"/>
        <w:rPr>
          <w:rFonts w:ascii="Arial;sans-serif" w:hAnsi="Arial;sans-serif"/>
          <w:b w:val="false"/>
          <w:sz w:val="20"/>
        </w:rPr>
      </w:pPr>
      <w:r>
        <w:rPr>
          <w:rFonts w:ascii="Arial;sans-serif" w:hAnsi="Arial;sans-serif"/>
          <w:b w:val="false"/>
          <w:sz w:val="20"/>
        </w:rPr>
        <w:t>The following table shows the disaggregated revenue for the applicable periods:</w:t>
      </w:r>
    </w:p>
    <w:p>
      <w:pPr>
        <w:pStyle w:val="TextBody"/>
        <w:spacing w:before="0" w:after="0"/>
        <w:jc w:val="both"/>
        <w:rPr/>
      </w:pPr>
      <w:r>
        <w:rPr/>
        <w:t> </w:t>
      </w:r>
    </w:p>
    <w:tbl>
      <w:tblPr>
        <w:tblW w:w="5762" w:type="dxa"/>
        <w:jc w:val="left"/>
        <w:tblInd w:w="0" w:type="dxa"/>
        <w:tblCellMar>
          <w:top w:w="28" w:type="dxa"/>
          <w:left w:w="28" w:type="dxa"/>
          <w:bottom w:w="28" w:type="dxa"/>
          <w:right w:w="28" w:type="dxa"/>
        </w:tblCellMar>
      </w:tblPr>
      <w:tblGrid>
        <w:gridCol w:w="2681"/>
        <w:gridCol w:w="146"/>
        <w:gridCol w:w="248"/>
        <w:gridCol w:w="372"/>
        <w:gridCol w:w="502"/>
        <w:gridCol w:w="172"/>
        <w:gridCol w:w="248"/>
        <w:gridCol w:w="496"/>
        <w:gridCol w:w="426"/>
        <w:gridCol w:w="471"/>
      </w:tblGrid>
      <w:tr>
        <w:trPr/>
        <w:tc>
          <w:tcPr>
            <w:tcW w:w="2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426" w:type="dxa"/>
            <w:tcBorders/>
            <w:shd w:fill="auto" w:val="cle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hanging="0"/>
              <w:jc w:val="left"/>
              <w:rPr/>
            </w:pPr>
            <w:r>
              <w:rPr/>
              <w:t> </w:t>
            </w:r>
          </w:p>
        </w:tc>
      </w:tr>
      <w:tr>
        <w:trPr/>
        <w:tc>
          <w:tcPr>
            <w:tcW w:w="2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hanging="0"/>
              <w:jc w:val="left"/>
              <w:rPr/>
            </w:pPr>
            <w:r>
              <w:rPr/>
              <w:t> </w:t>
            </w:r>
          </w:p>
        </w:tc>
      </w:tr>
      <w:tr>
        <w:trPr/>
        <w:tc>
          <w:tcPr>
            <w:tcW w:w="2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5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hanging="0"/>
              <w:jc w:val="left"/>
              <w:rPr/>
            </w:pPr>
            <w:r>
              <w:rPr/>
              <w:t> </w:t>
            </w:r>
          </w:p>
        </w:tc>
      </w:tr>
      <w:tr>
        <w:trPr/>
        <w:tc>
          <w:tcPr>
            <w:tcW w:w="2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26" w:type="dxa"/>
            <w:tcBorders/>
            <w:shd w:fill="auto" w:val="cle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26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Core marketplace revenue</w:t>
            </w:r>
          </w:p>
        </w:tc>
        <w:tc>
          <w:tcPr>
            <w:tcW w:w="146" w:type="dxa"/>
            <w:tcBorders/>
            <w:shd w:fill="auto" w:val="clear"/>
            <w:vAlign w:val="center"/>
          </w:tcPr>
          <w:p>
            <w:pPr>
              <w:pStyle w:val="TableContents"/>
              <w:spacing w:before="0" w:after="0"/>
              <w:ind w:left="28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502" w:type="dxa"/>
            <w:tcBorders/>
            <w:shd w:fill="auto" w:val="clear"/>
            <w:vAlign w:val="center"/>
          </w:tcPr>
          <w:p>
            <w:pPr>
              <w:pStyle w:val="TableContents"/>
              <w:spacing w:before="0" w:after="0"/>
              <w:ind w:left="0" w:right="0" w:firstLine="280"/>
              <w:jc w:val="left"/>
              <w:rPr/>
            </w:pPr>
            <w:r>
              <w:rPr/>
              <w:t> </w:t>
            </w:r>
          </w:p>
        </w:tc>
        <w:tc>
          <w:tcPr>
            <w:tcW w:w="172" w:type="dxa"/>
            <w:tcBorders/>
            <w:shd w:fill="auto" w:val="clear"/>
            <w:vAlign w:val="center"/>
          </w:tcPr>
          <w:p>
            <w:pPr>
              <w:pStyle w:val="TableContents"/>
              <w:spacing w:before="0" w:after="0"/>
              <w:ind w:left="28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426" w:type="dxa"/>
            <w:tcBorders/>
            <w:shd w:fill="auto" w:val="clear"/>
            <w:vAlign w:val="center"/>
          </w:tcPr>
          <w:p>
            <w:pPr>
              <w:pStyle w:val="TableContents"/>
              <w:spacing w:before="0" w:after="0"/>
              <w:ind w:left="0" w:right="0" w:firstLine="28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26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ProductBoost revenue</w:t>
            </w:r>
          </w:p>
        </w:tc>
        <w:tc>
          <w:tcPr>
            <w:tcW w:w="146" w:type="dxa"/>
            <w:tcBorders/>
            <w:shd w:fill="auto" w:val="clear"/>
            <w:vAlign w:val="center"/>
          </w:tcPr>
          <w:p>
            <w:pPr>
              <w:pStyle w:val="TableContents"/>
              <w:spacing w:before="0" w:after="0"/>
              <w:ind w:left="28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5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72" w:type="dxa"/>
            <w:tcBorders/>
            <w:shd w:fill="auto" w:val="clear"/>
            <w:vAlign w:val="center"/>
          </w:tcPr>
          <w:p>
            <w:pPr>
              <w:pStyle w:val="TableContents"/>
              <w:spacing w:before="0" w:after="0"/>
              <w:ind w:left="28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471" w:type="dxa"/>
            <w:tcBorders/>
            <w:shd w:fill="auto" w:val="clear"/>
            <w:vAlign w:val="center"/>
          </w:tcPr>
          <w:p>
            <w:pPr>
              <w:pStyle w:val="TableContents"/>
              <w:spacing w:before="0" w:after="0"/>
              <w:ind w:left="280" w:right="0" w:hanging="0"/>
              <w:jc w:val="left"/>
              <w:rPr/>
            </w:pPr>
            <w:r>
              <w:rPr/>
              <w:t> </w:t>
            </w:r>
          </w:p>
        </w:tc>
      </w:tr>
      <w:tr>
        <w:trPr/>
        <w:tc>
          <w:tcPr>
            <w:tcW w:w="2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Marketplace revenue</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502"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w:t>
            </w:r>
          </w:p>
        </w:tc>
        <w:tc>
          <w:tcPr>
            <w:tcW w:w="426" w:type="dxa"/>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hanging="0"/>
              <w:jc w:val="left"/>
              <w:rPr/>
            </w:pPr>
            <w:r>
              <w:rPr/>
              <w:t> </w:t>
            </w:r>
          </w:p>
        </w:tc>
      </w:tr>
      <w:tr>
        <w:trPr/>
        <w:tc>
          <w:tcPr>
            <w:tcW w:w="26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Logistics revenue</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5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26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28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5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72" w:type="dxa"/>
            <w:tcBorders/>
            <w:shd w:fill="auto" w:val="clear"/>
            <w:vAlign w:val="center"/>
          </w:tcPr>
          <w:p>
            <w:pPr>
              <w:pStyle w:val="TableContents"/>
              <w:spacing w:before="0" w:after="0"/>
              <w:ind w:left="28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471" w:type="dxa"/>
            <w:tcBorders/>
            <w:shd w:fill="auto" w:val="clear"/>
            <w:vAlign w:val="center"/>
          </w:tcPr>
          <w:p>
            <w:pPr>
              <w:pStyle w:val="TableContents"/>
              <w:spacing w:before="0" w:after="0"/>
              <w:ind w:left="280" w:right="0" w:hanging="0"/>
              <w:jc w:val="left"/>
              <w:rPr/>
            </w:pPr>
            <w:r>
              <w:rPr/>
              <w:t> </w:t>
            </w:r>
          </w:p>
        </w:tc>
      </w:tr>
    </w:tbl>
    <w:p>
      <w:pPr>
        <w:pStyle w:val="TextBody"/>
        <w:spacing w:before="180" w:after="0"/>
        <w:jc w:val="both"/>
        <w:rPr>
          <w:rFonts w:ascii="Times New Roman" w:hAnsi="Times New Roman"/>
          <w:sz w:val="20"/>
        </w:rPr>
      </w:pPr>
      <w:r>
        <w:rPr>
          <w:rFonts w:ascii="Arial;sans-serif" w:hAnsi="Arial;sans-serif"/>
          <w:b w:val="false"/>
          <w:sz w:val="20"/>
        </w:rPr>
        <w:t>Refer to Note 11 – Geographical Information for the disaggregated revenue by geographical location.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sz w:val="20"/>
        </w:rPr>
        <w:t xml:space="preserve">NOTE 3. </w:t>
      </w:r>
      <w:r>
        <w:rPr>
          <w:rFonts w:ascii="Arial;sans-serif" w:hAnsi="Arial;sans-serif"/>
          <w:b/>
          <w:caps/>
          <w:sz w:val="20"/>
        </w:rPr>
        <w:t>FINANCIAL INSTRUMENTS AND FAIR VALUE MEASUREMENT</w:t>
      </w:r>
    </w:p>
    <w:p>
      <w:pPr>
        <w:pStyle w:val="TextBody"/>
        <w:spacing w:before="180" w:after="0"/>
        <w:jc w:val="both"/>
        <w:rPr>
          <w:rFonts w:ascii="Times New Roman" w:hAnsi="Times New Roman"/>
          <w:sz w:val="20"/>
        </w:rPr>
      </w:pPr>
      <w:r>
        <w:rPr>
          <w:rFonts w:ascii="Arial;sans-serif" w:hAnsi="Arial;sans-serif"/>
          <w:b w:val="false"/>
          <w:sz w:val="20"/>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Financial assets and liabilities subject to fair value measurements on a recurring basis and the level of inputs used in such measurements are as follows:</w:t>
      </w:r>
      <w:r>
        <w:rPr>
          <w:rFonts w:ascii="Times New Roman" w:hAnsi="Times New Roman"/>
          <w:sz w:val="20"/>
        </w:rPr>
        <w:t xml:space="preserve"> </w:t>
      </w:r>
    </w:p>
    <w:p>
      <w:pPr>
        <w:pStyle w:val="TextBody"/>
        <w:spacing w:before="180" w:after="0"/>
        <w:jc w:val="both"/>
        <w:rPr/>
      </w:pPr>
      <w:r>
        <w:rPr/>
        <w:t> </w:t>
      </w:r>
    </w:p>
    <w:tbl>
      <w:tblPr>
        <w:tblW w:w="7716" w:type="dxa"/>
        <w:jc w:val="left"/>
        <w:tblInd w:w="0" w:type="dxa"/>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 2023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3"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75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U.S. government agency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01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01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r>
        <w:rPr/>
        <w:t> </w:t>
      </w:r>
    </w:p>
    <w:p>
      <w:pPr>
        <w:pStyle w:val="TextBody"/>
        <w:spacing w:before="0" w:after="0"/>
        <w:jc w:val="both"/>
        <w:rPr/>
      </w:pPr>
      <w:r>
        <w:rPr/>
        <w:t> </w:t>
      </w:r>
    </w:p>
    <w:tbl>
      <w:tblPr>
        <w:tblW w:w="7716" w:type="dxa"/>
        <w:jc w:val="left"/>
        <w:tblInd w:w="0" w:type="dxa"/>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 2022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Level 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3"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75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47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Non-U.S. government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Prepaid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Derivative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30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01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01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following table summarizes the contractual maturities of the Company’s marketable securities:</w:t>
      </w:r>
      <w:r>
        <w:rPr>
          <w:rFonts w:ascii="Times New Roman" w:hAnsi="Times New Roman"/>
          <w:sz w:val="20"/>
        </w:rPr>
        <w:t xml:space="preserve"> </w:t>
      </w:r>
    </w:p>
    <w:p>
      <w:pPr>
        <w:pStyle w:val="TextBody"/>
        <w:spacing w:before="0" w:after="0"/>
        <w:jc w:val="both"/>
        <w:rPr/>
      </w:pPr>
      <w:r>
        <w:rPr/>
        <w:t> </w:t>
      </w:r>
    </w:p>
    <w:tbl>
      <w:tblPr>
        <w:tblW w:w="8201" w:type="dxa"/>
        <w:jc w:val="left"/>
        <w:tblInd w:w="0" w:type="dxa"/>
        <w:tblCellMar>
          <w:top w:w="28" w:type="dxa"/>
          <w:left w:w="28" w:type="dxa"/>
          <w:bottom w:w="28" w:type="dxa"/>
          <w:right w:w="28" w:type="dxa"/>
        </w:tblCellMar>
      </w:tblPr>
      <w:tblGrid>
        <w:gridCol w:w="2476"/>
        <w:gridCol w:w="146"/>
        <w:gridCol w:w="355"/>
        <w:gridCol w:w="711"/>
        <w:gridCol w:w="146"/>
        <w:gridCol w:w="146"/>
        <w:gridCol w:w="349"/>
        <w:gridCol w:w="701"/>
        <w:gridCol w:w="146"/>
        <w:gridCol w:w="146"/>
        <w:gridCol w:w="355"/>
        <w:gridCol w:w="711"/>
        <w:gridCol w:w="146"/>
        <w:gridCol w:w="146"/>
        <w:gridCol w:w="349"/>
        <w:gridCol w:w="701"/>
        <w:gridCol w:w="47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8"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8"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w:t>
            </w:r>
          </w:p>
        </w:tc>
        <w:tc>
          <w:tcPr>
            <w:tcW w:w="47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Estimated</w:t>
              <w:br/>
              <w:t>Fair Value</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08"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Due within one year</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471" w:type="dxa"/>
            <w:tcBorders/>
            <w:shd w:fill="auto" w:val="clear"/>
            <w:vAlign w:val="center"/>
          </w:tcPr>
          <w:p>
            <w:pPr>
              <w:pStyle w:val="TableContents"/>
              <w:spacing w:before="0" w:after="0"/>
              <w:ind w:left="0" w:right="0" w:firstLine="280"/>
              <w:jc w:val="left"/>
              <w:rPr/>
            </w:pPr>
            <w:r>
              <w:rPr/>
              <w:t> </w:t>
            </w:r>
          </w:p>
        </w:tc>
      </w:tr>
      <w:tr>
        <w:trPr/>
        <w:tc>
          <w:tcPr>
            <w:tcW w:w="247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4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0"/>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March 31, 2023 and December 31, 2022 were immaterial.</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r>
        <w:rPr/>
        <w:t> </w:t>
      </w:r>
    </w:p>
    <w:p>
      <w:pPr>
        <w:pStyle w:val="TextBody"/>
        <w:spacing w:before="180" w:after="0"/>
        <w:jc w:val="left"/>
        <w:rPr>
          <w:rFonts w:ascii="Arial;sans-serif" w:hAnsi="Arial;sans-serif"/>
          <w:b/>
          <w:sz w:val="20"/>
        </w:rPr>
      </w:pPr>
      <w:r>
        <w:rPr>
          <w:rFonts w:ascii="Arial;sans-serif" w:hAnsi="Arial;sans-serif"/>
          <w:b/>
          <w:sz w:val="20"/>
        </w:rPr>
        <w:t>NOTE 4. BALANCE SHEET COMPONENTS</w:t>
      </w:r>
    </w:p>
    <w:p>
      <w:pPr>
        <w:pStyle w:val="TextBody"/>
        <w:spacing w:before="180" w:after="0"/>
        <w:jc w:val="both"/>
        <w:rPr>
          <w:rFonts w:ascii="Times New Roman" w:hAnsi="Times New Roman"/>
          <w:sz w:val="20"/>
        </w:rPr>
      </w:pPr>
      <w:r>
        <w:rPr>
          <w:rFonts w:ascii="Arial;sans-serif" w:hAnsi="Arial;sans-serif"/>
          <w:b w:val="false"/>
          <w:i/>
          <w:sz w:val="20"/>
        </w:rPr>
        <w:t>Accrued Liabilities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Accrued liabilities consist of the following:</w:t>
      </w:r>
    </w:p>
    <w:tbl>
      <w:tblPr>
        <w:tblW w:w="7090" w:type="dxa"/>
        <w:jc w:val="left"/>
        <w:tblInd w:w="0" w:type="dxa"/>
        <w:tblCellMar>
          <w:top w:w="28" w:type="dxa"/>
          <w:left w:w="28" w:type="dxa"/>
          <w:bottom w:w="28" w:type="dxa"/>
          <w:right w:w="28" w:type="dxa"/>
        </w:tblCellMar>
      </w:tblPr>
      <w:tblGrid>
        <w:gridCol w:w="3811"/>
        <w:gridCol w:w="146"/>
        <w:gridCol w:w="334"/>
        <w:gridCol w:w="671"/>
        <w:gridCol w:w="146"/>
        <w:gridCol w:w="146"/>
        <w:gridCol w:w="454"/>
        <w:gridCol w:w="911"/>
        <w:gridCol w:w="471"/>
      </w:tblGrid>
      <w:tr>
        <w:trPr/>
        <w:tc>
          <w:tcPr>
            <w:tcW w:w="3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8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w:t>
            </w:r>
          </w:p>
        </w:tc>
        <w:tc>
          <w:tcPr>
            <w:tcW w:w="471" w:type="dxa"/>
            <w:tcBorders/>
            <w:shd w:fill="auto" w:val="clear"/>
            <w:vAlign w:val="center"/>
          </w:tcPr>
          <w:p>
            <w:pPr>
              <w:pStyle w:val="TableContents"/>
              <w:spacing w:before="0" w:after="0"/>
              <w:ind w:left="0" w:right="0" w:hanging="0"/>
              <w:jc w:val="center"/>
              <w:rPr/>
            </w:pPr>
            <w:r>
              <w:rPr/>
              <w:t> </w:t>
            </w:r>
          </w:p>
        </w:tc>
      </w:tr>
      <w:tr>
        <w:trPr/>
        <w:tc>
          <w:tcPr>
            <w:tcW w:w="38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2"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381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Logistics costs</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471" w:type="dxa"/>
            <w:tcBorders/>
            <w:shd w:fill="auto" w:val="clear"/>
            <w:vAlign w:val="center"/>
          </w:tcPr>
          <w:p>
            <w:pPr>
              <w:pStyle w:val="TableContents"/>
              <w:spacing w:before="0" w:after="0"/>
              <w:ind w:left="0" w:right="0" w:hanging="0"/>
              <w:jc w:val="left"/>
              <w:rPr/>
            </w:pPr>
            <w:r>
              <w:rPr/>
              <w:t> </w:t>
            </w:r>
          </w:p>
        </w:tc>
      </w:tr>
      <w:tr>
        <w:trPr/>
        <w:tc>
          <w:tcPr>
            <w:tcW w:w="381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Deferred revenue and customer deposits</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471" w:type="dxa"/>
            <w:tcBorders/>
            <w:shd w:fill="auto" w:val="clear"/>
            <w:vAlign w:val="center"/>
          </w:tcPr>
          <w:p>
            <w:pPr>
              <w:pStyle w:val="TableContents"/>
              <w:spacing w:before="0" w:after="0"/>
              <w:ind w:left="0" w:right="0" w:hanging="0"/>
              <w:jc w:val="left"/>
              <w:rPr/>
            </w:pPr>
            <w:r>
              <w:rPr/>
              <w:t> </w:t>
            </w:r>
          </w:p>
        </w:tc>
      </w:tr>
      <w:tr>
        <w:trPr/>
        <w:tc>
          <w:tcPr>
            <w:tcW w:w="381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Wish Cash liability</w:t>
            </w:r>
            <w:r>
              <w:rPr>
                <w:rFonts w:ascii="Arial;sans-serif" w:hAnsi="Arial;sans-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471" w:type="dxa"/>
            <w:tcBorders/>
            <w:shd w:fill="auto" w:val="clear"/>
            <w:vAlign w:val="center"/>
          </w:tcPr>
          <w:p>
            <w:pPr>
              <w:pStyle w:val="TableContents"/>
              <w:spacing w:before="0" w:after="0"/>
              <w:ind w:left="0" w:right="0" w:hanging="0"/>
              <w:jc w:val="left"/>
              <w:rPr/>
            </w:pPr>
            <w:r>
              <w:rPr/>
              <w:t> </w:t>
            </w:r>
          </w:p>
        </w:tc>
      </w:tr>
      <w:tr>
        <w:trPr/>
        <w:tc>
          <w:tcPr>
            <w:tcW w:w="38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indirect taxes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471" w:type="dxa"/>
            <w:tcBorders/>
            <w:shd w:fill="auto" w:val="clear"/>
            <w:vAlign w:val="center"/>
          </w:tcPr>
          <w:p>
            <w:pPr>
              <w:pStyle w:val="TableContents"/>
              <w:spacing w:before="0" w:after="0"/>
              <w:ind w:left="0" w:right="0" w:hanging="0"/>
              <w:jc w:val="left"/>
              <w:rPr/>
            </w:pPr>
            <w:r>
              <w:rPr/>
              <w:t> </w:t>
            </w:r>
          </w:p>
        </w:tc>
      </w:tr>
      <w:tr>
        <w:trPr/>
        <w:tc>
          <w:tcPr>
            <w:tcW w:w="38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8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accrued liabilities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Arial" w:hAnsi="Arial"/>
          <w:b w:val="false"/>
          <w:sz w:val="16"/>
        </w:rPr>
      </w:pPr>
      <w:r>
        <w:rPr>
          <w:rFonts w:ascii="Arial" w:hAnsi="Arial"/>
          <w:b w:val="false"/>
          <w:sz w:val="16"/>
        </w:rPr>
        <w:t>(1)</w:t>
      </w:r>
    </w:p>
    <w:p>
      <w:pPr>
        <w:pStyle w:val="TextBody"/>
        <w:spacing w:before="120" w:after="0"/>
        <w:jc w:val="both"/>
        <w:rPr>
          <w:rFonts w:ascii="Arial;sans-serif" w:hAnsi="Arial;sans-serif"/>
          <w:sz w:val="20"/>
        </w:rPr>
      </w:pPr>
      <w:r>
        <w:rPr>
          <w:rFonts w:ascii="Arial;sans-serif" w:hAnsi="Arial;sans-serif"/>
          <w:b w:val="false"/>
          <w:sz w:val="16"/>
        </w:rPr>
        <w:t>Logistics costs decreased by $8</w:t>
      </w:r>
      <w:r>
        <w:rPr>
          <w:rFonts w:ascii="Arial;sans-serif" w:hAnsi="Arial;sans-serif"/>
          <w:sz w:val="20"/>
        </w:rPr>
        <w:t xml:space="preserve"> </w:t>
      </w:r>
      <w:r>
        <w:rPr>
          <w:rFonts w:ascii="Arial;sans-serif" w:hAnsi="Arial;sans-serif"/>
          <w:b w:val="false"/>
          <w:sz w:val="16"/>
        </w:rPr>
        <w:t xml:space="preserve">million or 18% primarily due to lower shipping volumes during the first quarter of 2023 compared to the fourth quarter of 2022. </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rFonts w:ascii="Arial;sans-serif" w:hAnsi="Arial;sans-serif"/>
          <w:sz w:val="20"/>
        </w:rPr>
      </w:pPr>
      <w:r>
        <w:rPr>
          <w:rFonts w:ascii="Arial;sans-serif" w:hAnsi="Arial;sans-serif"/>
          <w:b w:val="false"/>
          <w:sz w:val="16"/>
        </w:rPr>
        <w:t>Deferred revenue and customer deposits decreased by $2</w:t>
      </w:r>
      <w:r>
        <w:rPr>
          <w:rFonts w:ascii="Arial;sans-serif" w:hAnsi="Arial;sans-serif"/>
          <w:sz w:val="20"/>
        </w:rPr>
        <w:t xml:space="preserve"> </w:t>
      </w:r>
      <w:r>
        <w:rPr>
          <w:rFonts w:ascii="Arial;sans-serif" w:hAnsi="Arial;sans-serif"/>
          <w:b w:val="false"/>
          <w:sz w:val="16"/>
        </w:rPr>
        <w:t>million or 11% primarily due to lower logistics volumes during the first quarter of 2023 compared to the fourth quarter of 2022.</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283"/>
        <w:jc w:val="both"/>
        <w:rPr>
          <w:rFonts w:ascii="Arial;sans-serif" w:hAnsi="Arial;sans-serif"/>
          <w:sz w:val="20"/>
        </w:rPr>
      </w:pPr>
      <w:r>
        <w:rPr>
          <w:rFonts w:ascii="Arial;sans-serif" w:hAnsi="Arial;sans-serif"/>
          <w:b w:val="false"/>
          <w:sz w:val="16"/>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The Company recognized approximately $1</w:t>
      </w:r>
      <w:r>
        <w:rPr>
          <w:rFonts w:ascii="Arial;sans-serif" w:hAnsi="Arial;sans-serif"/>
          <w:sz w:val="20"/>
        </w:rPr>
        <w:t xml:space="preserve"> </w:t>
      </w:r>
      <w:r>
        <w:rPr>
          <w:rFonts w:ascii="Arial;sans-serif" w:hAnsi="Arial;sans-serif"/>
          <w:b w:val="false"/>
          <w:sz w:val="16"/>
        </w:rPr>
        <w:t>and $2</w:t>
      </w:r>
      <w:r>
        <w:rPr>
          <w:rFonts w:ascii="Arial;sans-serif" w:hAnsi="Arial;sans-serif"/>
          <w:sz w:val="20"/>
        </w:rPr>
        <w:t xml:space="preserve"> </w:t>
      </w:r>
      <w:r>
        <w:rPr>
          <w:rFonts w:ascii="Arial;sans-serif" w:hAnsi="Arial;sans-serif"/>
          <w:b w:val="false"/>
          <w:sz w:val="16"/>
        </w:rPr>
        <w:t>million of Wish Cash liability breakage in core marketplace revenue during the first quarter of 2023 and the fourth quarter of 2022, respectively.</w:t>
      </w:r>
    </w:p>
    <w:p>
      <w:pPr>
        <w:pStyle w:val="TextBody"/>
        <w:spacing w:before="0" w:after="0"/>
        <w:jc w:val="both"/>
        <w:rPr/>
      </w:pPr>
      <w:r>
        <w:rPr/>
        <w:t> </w:t>
      </w:r>
    </w:p>
    <w:p>
      <w:pPr>
        <w:pStyle w:val="TextBody"/>
        <w:spacing w:before="70" w:after="0"/>
        <w:jc w:val="both"/>
        <w:rPr>
          <w:rFonts w:ascii="Arial;sans-serif" w:hAnsi="Arial;sans-serif"/>
          <w:b/>
          <w:sz w:val="20"/>
        </w:rPr>
      </w:pPr>
      <w:r>
        <w:rPr>
          <w:rFonts w:ascii="Arial;sans-serif" w:hAnsi="Arial;sans-serif"/>
          <w:b/>
          <w:sz w:val="20"/>
        </w:rPr>
        <w:t>NOTE 5. DERIVATIVE FINANCIAL INSTRUMENTS</w:t>
      </w:r>
    </w:p>
    <w:p>
      <w:pPr>
        <w:pStyle w:val="TextBody"/>
        <w:spacing w:before="180" w:after="0"/>
        <w:jc w:val="both"/>
        <w:rPr>
          <w:rFonts w:ascii="Times New Roman" w:hAnsi="Times New Roman"/>
          <w:sz w:val="20"/>
        </w:rPr>
      </w:pPr>
      <w:r>
        <w:rPr>
          <w:rFonts w:ascii="Arial;sans-serif" w:hAnsi="Arial;sans-serif"/>
          <w:b w:val="false"/>
          <w:sz w:val="20"/>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Company’s derivatives transactions are not collateralized and do not include collateralization agreements with counterparties. The Company does not use derivative financial instruments for speculative or trading purposes.</w:t>
      </w:r>
    </w:p>
    <w:p>
      <w:pPr>
        <w:pStyle w:val="TextBody"/>
        <w:spacing w:before="180" w:after="0"/>
        <w:jc w:val="both"/>
        <w:rPr>
          <w:rFonts w:ascii="Arial;sans-serif" w:hAnsi="Arial;sans-serif"/>
          <w:b w:val="false"/>
          <w:i/>
          <w:sz w:val="20"/>
        </w:rPr>
      </w:pPr>
      <w:r>
        <w:rPr>
          <w:rFonts w:ascii="Arial;sans-serif" w:hAnsi="Arial;sans-serif"/>
          <w:b w:val="false"/>
          <w:i/>
          <w:sz w:val="20"/>
        </w:rPr>
        <w:t>Volume of Derivative Activity</w:t>
      </w:r>
    </w:p>
    <w:p>
      <w:pPr>
        <w:pStyle w:val="TextBody"/>
        <w:spacing w:before="180" w:after="0"/>
        <w:jc w:val="both"/>
        <w:rPr>
          <w:rFonts w:ascii="Times New Roman" w:hAnsi="Times New Roman"/>
          <w:sz w:val="20"/>
        </w:rPr>
      </w:pPr>
      <w:r>
        <w:rPr>
          <w:rFonts w:ascii="Arial;sans-serif" w:hAnsi="Arial;sans-serif"/>
          <w:b w:val="false"/>
          <w:sz w:val="20"/>
        </w:rPr>
        <w:t>Total gross notional amounts for outstanding derivatives (recognized at fair value) as of the end of period consist of the following:</w:t>
      </w:r>
      <w:r>
        <w:rPr>
          <w:rFonts w:ascii="Times New Roman" w:hAnsi="Times New Roman"/>
          <w:sz w:val="20"/>
        </w:rPr>
        <w:t xml:space="preserve"> </w:t>
      </w:r>
    </w:p>
    <w:p>
      <w:pPr>
        <w:pStyle w:val="TextBody"/>
        <w:spacing w:before="0" w:after="0"/>
        <w:jc w:val="both"/>
        <w:rPr/>
      </w:pPr>
      <w:r>
        <w:rPr/>
        <w:t> </w:t>
      </w:r>
    </w:p>
    <w:tbl>
      <w:tblPr>
        <w:tblW w:w="5920" w:type="dxa"/>
        <w:jc w:val="left"/>
        <w:tblInd w:w="0" w:type="dxa"/>
        <w:tblCellMar>
          <w:top w:w="28" w:type="dxa"/>
          <w:left w:w="28" w:type="dxa"/>
          <w:bottom w:w="28" w:type="dxa"/>
          <w:right w:w="28" w:type="dxa"/>
        </w:tblCellMar>
      </w:tblPr>
      <w:tblGrid>
        <w:gridCol w:w="2161"/>
        <w:gridCol w:w="146"/>
        <w:gridCol w:w="334"/>
        <w:gridCol w:w="671"/>
        <w:gridCol w:w="146"/>
        <w:gridCol w:w="146"/>
        <w:gridCol w:w="614"/>
        <w:gridCol w:w="1231"/>
        <w:gridCol w:w="47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 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2"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flow hedges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168</w:t>
            </w:r>
          </w:p>
        </w:tc>
        <w:tc>
          <w:tcPr>
            <w:tcW w:w="47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Non-designated hedges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16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179</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val="false"/>
          <w:i/>
          <w:sz w:val="20"/>
        </w:rPr>
      </w:pPr>
      <w:r>
        <w:rPr>
          <w:rFonts w:ascii="Arial;sans-serif" w:hAnsi="Arial;sans-serif"/>
          <w:b w:val="false"/>
          <w:i/>
          <w:sz w:val="20"/>
        </w:rPr>
        <w:t>Fair Value of Derivative Financial Instruments</w:t>
      </w:r>
    </w:p>
    <w:p>
      <w:pPr>
        <w:pStyle w:val="TextBody"/>
        <w:spacing w:before="0" w:after="0"/>
        <w:jc w:val="both"/>
        <w:rPr/>
      </w:pPr>
      <w:r>
        <w:rPr/>
        <w:t> </w:t>
      </w:r>
    </w:p>
    <w:tbl>
      <w:tblPr>
        <w:tblW w:w="10193" w:type="dxa"/>
        <w:jc w:val="left"/>
        <w:tblInd w:w="0" w:type="dxa"/>
        <w:tblCellMar>
          <w:top w:w="28" w:type="dxa"/>
          <w:left w:w="28" w:type="dxa"/>
          <w:bottom w:w="28" w:type="dxa"/>
          <w:right w:w="28" w:type="dxa"/>
        </w:tblCellMar>
      </w:tblPr>
      <w:tblGrid>
        <w:gridCol w:w="4411"/>
        <w:gridCol w:w="146"/>
        <w:gridCol w:w="335"/>
        <w:gridCol w:w="550"/>
        <w:gridCol w:w="154"/>
        <w:gridCol w:w="154"/>
        <w:gridCol w:w="448"/>
        <w:gridCol w:w="737"/>
        <w:gridCol w:w="146"/>
        <w:gridCol w:w="146"/>
        <w:gridCol w:w="443"/>
        <w:gridCol w:w="443"/>
        <w:gridCol w:w="212"/>
        <w:gridCol w:w="212"/>
        <w:gridCol w:w="448"/>
        <w:gridCol w:w="737"/>
        <w:gridCol w:w="47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 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sz w:val="20"/>
              </w:rPr>
              <w:t>Assets</w:t>
            </w:r>
            <w:r>
              <w:rPr>
                <w:rFonts w:ascii="Arial;sans-serif" w:hAnsi="Arial;sans-serif"/>
                <w:b/>
                <w:sz w:val="13"/>
              </w:rPr>
              <w:t>(1)</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sz w:val="20"/>
              </w:rPr>
              <w:t>Liabilities</w:t>
            </w:r>
            <w:r>
              <w:rPr>
                <w:rFonts w:ascii="Arial;sans-serif" w:hAnsi="Arial;sans-serif"/>
                <w:b/>
                <w:sz w:val="13"/>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sz w:val="20"/>
              </w:rPr>
              <w:t>Assets</w:t>
            </w:r>
            <w:r>
              <w:rPr>
                <w:rFonts w:ascii="Arial;sans-serif" w:hAnsi="Arial;sans-serif"/>
                <w:b/>
                <w:sz w:val="13"/>
              </w:rPr>
              <w:t>(1)</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Arial;sans-serif" w:hAnsi="Arial;sans-serif"/>
                <w:b/>
                <w:sz w:val="20"/>
              </w:rPr>
              <w:t>Liabilities</w:t>
            </w:r>
            <w:r>
              <w:rPr>
                <w:rFonts w:ascii="Arial;sans-serif" w:hAnsi="Arial;sans-serif"/>
                <w:b/>
                <w:sz w:val="13"/>
              </w:rPr>
              <w:t>(2)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65"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44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Cash flow hedges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Derivative not 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44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Foreign currency forward contracts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4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derivatives</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4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4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6"/>
        </w:rPr>
        <w:t>(1) Derivative assets are included in prepaid and other current assets</w:t>
      </w:r>
      <w:r>
        <w:rPr>
          <w:rFonts w:ascii="Times New Roman" w:hAnsi="Times New Roman"/>
          <w:sz w:val="20"/>
        </w:rPr>
        <w:t xml:space="preserve"> </w:t>
      </w:r>
      <w:r>
        <w:rPr>
          <w:rFonts w:ascii="Arial;sans-serif" w:hAnsi="Arial;sans-serif"/>
          <w:b w:val="false"/>
          <w:sz w:val="16"/>
        </w:rPr>
        <w:t>in the condensed consolidated balance sheets.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Arial;sans-serif" w:hAnsi="Arial;sans-serif"/>
          <w:b w:val="false"/>
          <w:sz w:val="16"/>
        </w:rPr>
        <w:t>(2) Derivative liabilities are included in accrued liabilities</w:t>
      </w:r>
      <w:r>
        <w:rPr>
          <w:rFonts w:ascii="Times New Roman" w:hAnsi="Times New Roman"/>
          <w:sz w:val="20"/>
        </w:rPr>
        <w:t xml:space="preserve"> </w:t>
      </w:r>
      <w:r>
        <w:rPr>
          <w:rFonts w:ascii="Arial;sans-serif" w:hAnsi="Arial;sans-serif"/>
          <w:b w:val="false"/>
          <w:sz w:val="16"/>
        </w:rPr>
        <w:t>in the condensed consolidated balance sheets.</w:t>
      </w:r>
    </w:p>
    <w:p>
      <w:pPr>
        <w:pStyle w:val="TextBody"/>
        <w:spacing w:before="180" w:after="0"/>
        <w:jc w:val="both"/>
        <w:rPr>
          <w:rFonts w:ascii="Arial;sans-serif" w:hAnsi="Arial;sans-serif"/>
          <w:b w:val="false"/>
          <w:i/>
          <w:sz w:val="20"/>
        </w:rPr>
      </w:pPr>
      <w:r>
        <w:rPr>
          <w:rFonts w:ascii="Arial;sans-serif" w:hAnsi="Arial;sans-serif"/>
          <w:b w:val="false"/>
          <w:i/>
          <w:sz w:val="20"/>
        </w:rPr>
        <w:t>Derivatives in Cash Flow Hedging Relationships</w:t>
      </w:r>
    </w:p>
    <w:p>
      <w:pPr>
        <w:pStyle w:val="TextBody"/>
        <w:spacing w:before="180" w:after="180"/>
        <w:jc w:val="both"/>
        <w:rPr>
          <w:rFonts w:ascii="Arial;sans-serif" w:hAnsi="Arial;sans-serif"/>
          <w:b w:val="false"/>
          <w:sz w:val="20"/>
        </w:rPr>
      </w:pPr>
      <w:r>
        <w:rPr>
          <w:rFonts w:ascii="Arial;sans-serif" w:hAnsi="Arial;sans-serif"/>
          <w:b w:val="false"/>
          <w:sz w:val="20"/>
        </w:rPr>
        <w:t>The changes in accumulated other comprehensive loss resulting from cash flow hedging were as follows:</w:t>
      </w:r>
    </w:p>
    <w:tbl>
      <w:tblPr>
        <w:tblW w:w="10205" w:type="dxa"/>
        <w:jc w:val="left"/>
        <w:tblInd w:w="0" w:type="dxa"/>
        <w:tblCellMar>
          <w:top w:w="28" w:type="dxa"/>
          <w:left w:w="28" w:type="dxa"/>
          <w:bottom w:w="28" w:type="dxa"/>
          <w:right w:w="28" w:type="dxa"/>
        </w:tblCellMar>
      </w:tblPr>
      <w:tblGrid>
        <w:gridCol w:w="6801"/>
        <w:gridCol w:w="146"/>
        <w:gridCol w:w="449"/>
        <w:gridCol w:w="737"/>
        <w:gridCol w:w="166"/>
        <w:gridCol w:w="146"/>
        <w:gridCol w:w="676"/>
        <w:gridCol w:w="870"/>
        <w:gridCol w:w="214"/>
      </w:tblGrid>
      <w:tr>
        <w:trPr/>
        <w:tc>
          <w:tcPr>
            <w:tcW w:w="6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6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 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4"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214" w:type="dxa"/>
            <w:tcBorders/>
            <w:shd w:fill="auto" w:val="clear"/>
            <w:vAlign w:val="center"/>
          </w:tcPr>
          <w:p>
            <w:pPr>
              <w:pStyle w:val="TableContents"/>
              <w:spacing w:before="0" w:after="0"/>
              <w:ind w:left="0" w:right="0" w:hanging="0"/>
              <w:jc w:val="center"/>
              <w:rPr/>
            </w:pPr>
            <w:r>
              <w:rPr/>
              <w:t> </w:t>
            </w:r>
          </w:p>
        </w:tc>
      </w:tr>
      <w:tr>
        <w:trPr/>
        <w:tc>
          <w:tcPr>
            <w:tcW w:w="6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14" w:type="dxa"/>
            <w:tcBorders/>
            <w:shd w:fill="auto" w:val="clear"/>
            <w:vAlign w:val="center"/>
          </w:tcPr>
          <w:p>
            <w:pPr>
              <w:pStyle w:val="TableContents"/>
              <w:spacing w:before="0" w:after="0"/>
              <w:ind w:left="0" w:right="0" w:hanging="0"/>
              <w:jc w:val="left"/>
              <w:rPr/>
            </w:pPr>
            <w:r>
              <w:rPr/>
              <w:t> </w:t>
            </w:r>
          </w:p>
        </w:tc>
      </w:tr>
      <w:tr>
        <w:trPr/>
        <w:tc>
          <w:tcPr>
            <w:tcW w:w="6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comprehensive income before reclassifications</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73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left"/>
              <w:rPr/>
            </w:pPr>
            <w:r>
              <w:rPr/>
              <w:t> </w:t>
            </w:r>
          </w:p>
        </w:tc>
        <w:tc>
          <w:tcPr>
            <w:tcW w:w="8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Amounts recognized in core marketplace revenue and reclassified out of 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4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Arial;sans-serif" w:hAnsi="Arial;sans-serif"/>
          <w:b w:val="false"/>
          <w:sz w:val="20"/>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loss at period end are expected to be reclassified to earnings within 12</w:t>
      </w:r>
      <w:r>
        <w:rPr>
          <w:rFonts w:ascii="Times New Roman" w:hAnsi="Times New Roman"/>
          <w:sz w:val="20"/>
        </w:rPr>
        <w:t xml:space="preserve"> </w:t>
      </w:r>
      <w:r>
        <w:rPr>
          <w:rFonts w:ascii="Arial;sans-serif" w:hAnsi="Arial;sans-serif"/>
          <w:b w:val="false"/>
          <w:sz w:val="20"/>
        </w:rPr>
        <w:t>months. In the event the underlying forecasted transaction does not occur, or it becomes probable that it will not occur, the Company reclassifies the gain or loss on the related cash flow hedge from accumulated other comprehensive loss to core marketplace revenue. For the three months ended March 31, 2023 and 2022, there were no</w:t>
      </w:r>
      <w:r>
        <w:rPr>
          <w:rFonts w:ascii="Times New Roman" w:hAnsi="Times New Roman"/>
          <w:sz w:val="20"/>
        </w:rPr>
        <w:t xml:space="preserve"> </w:t>
      </w:r>
      <w:r>
        <w:rPr>
          <w:rFonts w:ascii="Arial;sans-serif" w:hAnsi="Arial;sans-serif"/>
          <w:b w:val="false"/>
          <w:sz w:val="20"/>
        </w:rPr>
        <w:t>net gains or losses recognized in core marketplace revenue relating to hedges of forecasted transactions that did not occur.</w:t>
      </w:r>
    </w:p>
    <w:p>
      <w:pPr>
        <w:pStyle w:val="TextBody"/>
        <w:spacing w:before="180" w:after="0"/>
        <w:jc w:val="both"/>
        <w:rPr>
          <w:rFonts w:ascii="Arial;sans-serif" w:hAnsi="Arial;sans-serif"/>
          <w:b w:val="false"/>
          <w:sz w:val="20"/>
        </w:rPr>
      </w:pPr>
      <w:r>
        <w:rPr>
          <w:rFonts w:ascii="Arial;sans-serif" w:hAnsi="Arial;sans-serif"/>
          <w:b w:val="false"/>
          <w:sz w:val="20"/>
        </w:rPr>
        <w:t>The Company classifies cash flows related to its cash flow hedges as operating activities in its condensed consolidated statements of cash flows.</w:t>
      </w:r>
    </w:p>
    <w:p>
      <w:pPr>
        <w:pStyle w:val="TextBody"/>
        <w:spacing w:before="180" w:after="0"/>
        <w:jc w:val="both"/>
        <w:rPr>
          <w:rFonts w:ascii="Arial;sans-serif" w:hAnsi="Arial;sans-serif"/>
          <w:b w:val="false"/>
          <w:i/>
          <w:sz w:val="20"/>
        </w:rPr>
      </w:pPr>
      <w:r>
        <w:rPr>
          <w:rFonts w:ascii="Arial;sans-serif" w:hAnsi="Arial;sans-serif"/>
          <w:b w:val="false"/>
          <w:i/>
          <w:sz w:val="20"/>
        </w:rPr>
        <w:t>Derivatives Not Designated as Hedging Instruments</w:t>
      </w:r>
    </w:p>
    <w:p>
      <w:pPr>
        <w:pStyle w:val="TextBody"/>
        <w:spacing w:before="180" w:after="0"/>
        <w:jc w:val="both"/>
        <w:rPr>
          <w:rFonts w:ascii="Times New Roman" w:hAnsi="Times New Roman"/>
          <w:sz w:val="20"/>
        </w:rPr>
      </w:pPr>
      <w:r>
        <w:rPr>
          <w:rFonts w:ascii="Arial;sans-serif" w:hAnsi="Arial;sans-serif"/>
          <w:b w:val="false"/>
          <w:sz w:val="20"/>
        </w:rPr>
        <w:t>The net gains on the change in fair value of the Company’s foreign exchange forward contracts not designated as hedging instruments were insignificant for the three months ended March 31, 2023 and $1</w:t>
      </w:r>
      <w:r>
        <w:rPr>
          <w:rFonts w:ascii="Times New Roman" w:hAnsi="Times New Roman"/>
          <w:sz w:val="20"/>
        </w:rPr>
        <w:t xml:space="preserve"> </w:t>
      </w:r>
      <w:r>
        <w:rPr>
          <w:rFonts w:ascii="Arial;sans-serif" w:hAnsi="Arial;sans-serif"/>
          <w:b w:val="false"/>
          <w:sz w:val="20"/>
        </w:rPr>
        <w:t>million for the three months ended March 31, 2022, and were recognized in other income, net in the condensed consolidated statements of operations.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 classifies cash flows related to its non-designated hedging instruments as operating activities in its condensed consolidated statements of cash flows.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r>
        <w:rPr/>
        <w:t> </w:t>
      </w:r>
    </w:p>
    <w:p>
      <w:pPr>
        <w:pStyle w:val="TextBody"/>
        <w:spacing w:before="180" w:after="0"/>
        <w:jc w:val="left"/>
        <w:rPr>
          <w:rFonts w:ascii="Arial;sans-serif" w:hAnsi="Arial;sans-serif"/>
          <w:b/>
          <w:sz w:val="20"/>
        </w:rPr>
      </w:pPr>
      <w:r>
        <w:rPr>
          <w:rFonts w:ascii="Arial;sans-serif" w:hAnsi="Arial;sans-serif"/>
          <w:b/>
          <w:sz w:val="20"/>
        </w:rPr>
        <w:t>NOTE 6. OPERATING LEASES</w:t>
      </w:r>
    </w:p>
    <w:p>
      <w:pPr>
        <w:pStyle w:val="TextBody"/>
        <w:spacing w:before="180" w:after="0"/>
        <w:jc w:val="both"/>
        <w:rPr>
          <w:rFonts w:ascii="Times New Roman" w:hAnsi="Times New Roman"/>
          <w:sz w:val="20"/>
        </w:rPr>
      </w:pPr>
      <w:r>
        <w:rPr>
          <w:rFonts w:ascii="Arial;sans-serif" w:hAnsi="Arial;sans-serif"/>
          <w:b w:val="false"/>
          <w:sz w:val="20"/>
        </w:rPr>
        <w:t>The Company leases its facilities and data center colocations under operating leases with various expiration dates through 2027.</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Total operating lease cost was $1</w:t>
      </w:r>
      <w:r>
        <w:rPr>
          <w:rFonts w:ascii="Times New Roman" w:hAnsi="Times New Roman"/>
          <w:sz w:val="20"/>
        </w:rPr>
        <w:t xml:space="preserve"> </w:t>
      </w:r>
      <w:r>
        <w:rPr>
          <w:rFonts w:ascii="Arial;sans-serif" w:hAnsi="Arial;sans-serif"/>
          <w:b w:val="false"/>
          <w:sz w:val="20"/>
        </w:rPr>
        <w:t>million and $2</w:t>
      </w:r>
      <w:r>
        <w:rPr>
          <w:rFonts w:ascii="Times New Roman" w:hAnsi="Times New Roman"/>
          <w:sz w:val="20"/>
        </w:rPr>
        <w:t xml:space="preserve"> </w:t>
      </w:r>
      <w:r>
        <w:rPr>
          <w:rFonts w:ascii="Arial;sans-serif" w:hAnsi="Arial;sans-serif"/>
          <w:b w:val="false"/>
          <w:sz w:val="20"/>
        </w:rPr>
        <w:t>million for the three months ended March 31, 2023 and 2022, respectively. Short-term lease costs and variable lease costs and sublease income were not material.</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 of March 31, 2023 and December 31, 2022, the Company’s condensed consolidated balance sheets included right-of-use assets in the amount of $8</w:t>
      </w:r>
      <w:r>
        <w:rPr>
          <w:rFonts w:ascii="Times New Roman" w:hAnsi="Times New Roman"/>
          <w:sz w:val="20"/>
        </w:rPr>
        <w:t xml:space="preserve"> </w:t>
      </w:r>
      <w:r>
        <w:rPr>
          <w:rFonts w:ascii="Arial;sans-serif" w:hAnsi="Arial;sans-serif"/>
          <w:b w:val="false"/>
          <w:sz w:val="20"/>
        </w:rPr>
        <w:t>million and $9</w:t>
      </w:r>
      <w:r>
        <w:rPr>
          <w:rFonts w:ascii="Times New Roman" w:hAnsi="Times New Roman"/>
          <w:sz w:val="20"/>
        </w:rPr>
        <w:t xml:space="preserve"> </w:t>
      </w:r>
      <w:r>
        <w:rPr>
          <w:rFonts w:ascii="Arial;sans-serif" w:hAnsi="Arial;sans-serif"/>
          <w:b w:val="false"/>
          <w:sz w:val="20"/>
        </w:rPr>
        <w:t>million, respectively, and current lease liabilities in the amount of $7</w:t>
      </w:r>
      <w:r>
        <w:rPr>
          <w:rFonts w:ascii="Times New Roman" w:hAnsi="Times New Roman"/>
          <w:sz w:val="20"/>
        </w:rPr>
        <w:t xml:space="preserve"> </w:t>
      </w:r>
      <w:r>
        <w:rPr>
          <w:rFonts w:ascii="Arial;sans-serif" w:hAnsi="Arial;sans-serif"/>
          <w:b w:val="false"/>
          <w:sz w:val="20"/>
        </w:rPr>
        <w:t>million and $7</w:t>
      </w:r>
      <w:r>
        <w:rPr>
          <w:rFonts w:ascii="Times New Roman" w:hAnsi="Times New Roman"/>
          <w:sz w:val="20"/>
        </w:rPr>
        <w:t xml:space="preserve"> </w:t>
      </w:r>
      <w:r>
        <w:rPr>
          <w:rFonts w:ascii="Arial;sans-serif" w:hAnsi="Arial;sans-serif"/>
          <w:b w:val="false"/>
          <w:sz w:val="20"/>
        </w:rPr>
        <w:t>million in accrued</w:t>
      </w:r>
      <w:r>
        <w:rPr>
          <w:rFonts w:ascii="Times New Roman" w:hAnsi="Times New Roman"/>
          <w:sz w:val="20"/>
        </w:rPr>
        <w:t xml:space="preserve"> </w:t>
      </w:r>
      <w:r>
        <w:rPr>
          <w:rFonts w:ascii="Arial;sans-serif" w:hAnsi="Arial;sans-serif"/>
          <w:b w:val="false"/>
          <w:sz w:val="20"/>
        </w:rPr>
        <w:t>liabilities, respectively, and $11</w:t>
      </w:r>
      <w:r>
        <w:rPr>
          <w:rFonts w:ascii="Times New Roman" w:hAnsi="Times New Roman"/>
          <w:sz w:val="20"/>
        </w:rPr>
        <w:t xml:space="preserve"> </w:t>
      </w:r>
      <w:r>
        <w:rPr>
          <w:rFonts w:ascii="Arial;sans-serif" w:hAnsi="Arial;sans-serif"/>
          <w:b w:val="false"/>
          <w:sz w:val="20"/>
        </w:rPr>
        <w:t>million and $13</w:t>
      </w:r>
      <w:r>
        <w:rPr>
          <w:rFonts w:ascii="Times New Roman" w:hAnsi="Times New Roman"/>
          <w:sz w:val="20"/>
        </w:rPr>
        <w:t xml:space="preserve"> </w:t>
      </w:r>
      <w:r>
        <w:rPr>
          <w:rFonts w:ascii="Arial;sans-serif" w:hAnsi="Arial;sans-serif"/>
          <w:b w:val="false"/>
          <w:sz w:val="20"/>
        </w:rPr>
        <w:t>million in lease liabilities, non-current, respectively.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 of March 31, 2023 and December 31, 2022, the weighted-average remaining lease term was 3</w:t>
      </w:r>
      <w:r>
        <w:rPr>
          <w:rFonts w:ascii="Times New Roman" w:hAnsi="Times New Roman"/>
          <w:sz w:val="20"/>
        </w:rPr>
        <w:t xml:space="preserve"> </w:t>
      </w:r>
      <w:r>
        <w:rPr>
          <w:rFonts w:ascii="Arial;sans-serif" w:hAnsi="Arial;sans-serif"/>
          <w:b w:val="false"/>
          <w:sz w:val="20"/>
        </w:rPr>
        <w:t>years, and the weighted-average discount rate used to determine the net present value of the lease liabilities was 6% for both periods.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Supplemental cash flow information for the Company’s operating leases was as follows:</w:t>
      </w:r>
    </w:p>
    <w:tbl>
      <w:tblPr>
        <w:tblW w:w="8912" w:type="dxa"/>
        <w:jc w:val="left"/>
        <w:tblInd w:w="0" w:type="dxa"/>
        <w:tblCellMar>
          <w:top w:w="28" w:type="dxa"/>
          <w:left w:w="28" w:type="dxa"/>
          <w:bottom w:w="28" w:type="dxa"/>
          <w:right w:w="28" w:type="dxa"/>
        </w:tblCellMar>
      </w:tblPr>
      <w:tblGrid>
        <w:gridCol w:w="6271"/>
        <w:gridCol w:w="146"/>
        <w:gridCol w:w="376"/>
        <w:gridCol w:w="376"/>
        <w:gridCol w:w="260"/>
        <w:gridCol w:w="260"/>
        <w:gridCol w:w="376"/>
        <w:gridCol w:w="376"/>
        <w:gridCol w:w="471"/>
      </w:tblGrid>
      <w:tr>
        <w:trPr/>
        <w:tc>
          <w:tcPr>
            <w:tcW w:w="6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6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4"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62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627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Operating cash flows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6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47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Arial;sans-serif" w:hAnsi="Arial;sans-serif"/>
          <w:b w:val="false"/>
          <w:sz w:val="20"/>
        </w:rPr>
      </w:pPr>
      <w:r>
        <w:rPr>
          <w:rFonts w:ascii="Arial;sans-serif" w:hAnsi="Arial;sans-serif"/>
          <w:b w:val="false"/>
          <w:sz w:val="20"/>
        </w:rPr>
        <w:t>The maturities of the Company’s operating lease liabilities are as follows:</w:t>
      </w:r>
    </w:p>
    <w:p>
      <w:pPr>
        <w:pStyle w:val="TextBody"/>
        <w:spacing w:before="0" w:after="0"/>
        <w:jc w:val="both"/>
        <w:rPr/>
      </w:pPr>
      <w:r>
        <w:rPr/>
        <w:t> </w:t>
      </w:r>
    </w:p>
    <w:tbl>
      <w:tblPr>
        <w:tblW w:w="4848" w:type="dxa"/>
        <w:jc w:val="left"/>
        <w:tblInd w:w="0" w:type="dxa"/>
        <w:tblCellMar>
          <w:top w:w="28" w:type="dxa"/>
          <w:left w:w="28" w:type="dxa"/>
          <w:bottom w:w="28" w:type="dxa"/>
          <w:right w:w="28" w:type="dxa"/>
        </w:tblCellMar>
      </w:tblPr>
      <w:tblGrid>
        <w:gridCol w:w="2881"/>
        <w:gridCol w:w="146"/>
        <w:gridCol w:w="419"/>
        <w:gridCol w:w="631"/>
        <w:gridCol w:w="771"/>
      </w:tblGrid>
      <w:tr>
        <w:trPr/>
        <w:tc>
          <w:tcPr>
            <w:tcW w:w="2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771" w:type="dxa"/>
            <w:tcBorders/>
            <w:shd w:fill="auto" w:val="cle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sz w:val="20"/>
                <w:u w:val="single"/>
              </w:rPr>
            </w:pPr>
            <w:r>
              <w:rPr>
                <w:rFonts w:ascii="Arial;sans-serif" w:hAnsi="Arial;sans-serif"/>
                <w:b/>
                <w:sz w:val="20"/>
                <w:u w:val="single"/>
              </w:rPr>
              <w:t>Year ending December 31,</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771" w:type="dxa"/>
            <w:tcBorders/>
            <w:shd w:fill="auto" w:val="clear"/>
            <w:vAlign w:val="center"/>
          </w:tcPr>
          <w:p>
            <w:pPr>
              <w:pStyle w:val="TableContents"/>
              <w:spacing w:before="0" w:after="0"/>
              <w:ind w:left="0" w:right="0" w:firstLine="280"/>
              <w:jc w:val="center"/>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2023 (remaining nine months)</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771" w:type="dxa"/>
            <w:tcBorders/>
            <w:shd w:fill="auto" w:val="cle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771" w:type="dxa"/>
            <w:tcBorders/>
            <w:shd w:fill="auto" w:val="cle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771" w:type="dxa"/>
            <w:tcBorders/>
            <w:shd w:fill="auto" w:val="cle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771" w:type="dxa"/>
            <w:tcBorders/>
            <w:shd w:fill="auto" w:val="cle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288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771" w:type="dxa"/>
            <w:tcBorders/>
            <w:shd w:fill="auto" w:val="clear"/>
            <w:vAlign w:val="center"/>
          </w:tcPr>
          <w:p>
            <w:pPr>
              <w:pStyle w:val="TableContents"/>
              <w:spacing w:before="0" w:after="0"/>
              <w:ind w:left="0" w:right="0" w:firstLine="280"/>
              <w:jc w:val="left"/>
              <w:rPr/>
            </w:pPr>
            <w:r>
              <w:rPr/>
              <w:t> </w:t>
            </w:r>
          </w:p>
        </w:tc>
      </w:tr>
      <w:tr>
        <w:trPr/>
        <w:tc>
          <w:tcPr>
            <w:tcW w:w="288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288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sz w:val="20"/>
        </w:rPr>
        <w:t xml:space="preserve">NOTE 7. </w:t>
      </w:r>
      <w:r>
        <w:rPr>
          <w:rFonts w:ascii="Arial;sans-serif" w:hAnsi="Arial;sans-serif"/>
          <w:b/>
          <w:caps/>
          <w:sz w:val="20"/>
        </w:rPr>
        <w:t>COMMITMENTS AND CONTINGENCIES</w:t>
      </w:r>
    </w:p>
    <w:p>
      <w:pPr>
        <w:pStyle w:val="TextBody"/>
        <w:spacing w:before="180" w:after="0"/>
        <w:jc w:val="left"/>
        <w:rPr>
          <w:rFonts w:ascii="Arial;sans-serif" w:hAnsi="Arial;sans-serif"/>
          <w:b/>
          <w:i/>
          <w:sz w:val="20"/>
        </w:rPr>
      </w:pPr>
      <w:r>
        <w:rPr>
          <w:rFonts w:ascii="Arial;sans-serif" w:hAnsi="Arial;sans-serif"/>
          <w:b/>
          <w:i/>
          <w:sz w:val="20"/>
        </w:rPr>
        <w:t>Revolving Credit Facility</w:t>
      </w:r>
    </w:p>
    <w:p>
      <w:pPr>
        <w:pStyle w:val="TextBody"/>
        <w:spacing w:before="180" w:after="0"/>
        <w:jc w:val="both"/>
        <w:rPr>
          <w:rFonts w:ascii="Times New Roman" w:hAnsi="Times New Roman"/>
          <w:sz w:val="20"/>
        </w:rPr>
      </w:pPr>
      <w:r>
        <w:rPr>
          <w:rFonts w:ascii="Arial;sans-serif" w:hAnsi="Arial;sans-serif"/>
          <w:b w:val="false"/>
          <w:sz w:val="20"/>
        </w:rPr>
        <w:t>In November 2020, the Company entered into a five-year</w:t>
      </w:r>
      <w:r>
        <w:rPr>
          <w:rFonts w:ascii="Times New Roman" w:hAnsi="Times New Roman"/>
          <w:sz w:val="20"/>
        </w:rPr>
        <w:t xml:space="preserve"> </w:t>
      </w:r>
      <w:r>
        <w:rPr>
          <w:rFonts w:ascii="Arial;sans-serif" w:hAnsi="Arial;sans-serif"/>
          <w:b w:val="false"/>
          <w:sz w:val="20"/>
        </w:rPr>
        <w:t>$280</w:t>
      </w:r>
      <w:r>
        <w:rPr>
          <w:rFonts w:ascii="Times New Roman" w:hAnsi="Times New Roman"/>
          <w:sz w:val="20"/>
        </w:rPr>
        <w:t xml:space="preserve"> </w:t>
      </w:r>
      <w:r>
        <w:rPr>
          <w:rFonts w:ascii="Arial;sans-serif" w:hAnsi="Arial;sans-serif"/>
          <w:b w:val="false"/>
          <w:sz w:val="20"/>
        </w:rPr>
        <w:t>million senior secured revolving credit facility (the “Revolving Credit Facility”). If the Company is able to secure additional lender commitments and satisfy certain other conditions, the aggregate facility commitments can be increased by up to $100</w:t>
      </w:r>
      <w:r>
        <w:rPr>
          <w:rFonts w:ascii="Times New Roman" w:hAnsi="Times New Roman"/>
          <w:sz w:val="20"/>
        </w:rPr>
        <w:t xml:space="preserve"> </w:t>
      </w:r>
      <w:r>
        <w:rPr>
          <w:rFonts w:ascii="Arial;sans-serif" w:hAnsi="Arial;sans-serif"/>
          <w:b w:val="false"/>
          <w:sz w:val="20"/>
        </w:rPr>
        <w:t>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pStyle w:val="TextBody"/>
        <w:spacing w:before="24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w:t>
      </w:r>
      <w:r>
        <w:rPr>
          <w:rFonts w:ascii="Times New Roman" w:hAnsi="Times New Roman"/>
          <w:sz w:val="20"/>
        </w:rPr>
        <w:t xml:space="preserve"> </w:t>
      </w:r>
      <w:r>
        <w:rPr>
          <w:rFonts w:ascii="Arial;sans-serif" w:hAnsi="Arial;sans-serif"/>
          <w:b w:val="false"/>
          <w:sz w:val="20"/>
        </w:rPr>
        <w:t>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w:t>
      </w:r>
      <w:r>
        <w:rPr>
          <w:rFonts w:ascii="Times New Roman" w:hAnsi="Times New Roman"/>
          <w:sz w:val="20"/>
        </w:rPr>
        <w:t xml:space="preserve"> </w:t>
      </w:r>
      <w:r>
        <w:rPr>
          <w:rFonts w:ascii="Arial;sans-serif" w:hAnsi="Arial;sans-serif"/>
          <w:b w:val="false"/>
          <w:sz w:val="20"/>
        </w:rPr>
        <w:t>million has been issued under the Revolving Credit Facility in conjunction with the lease of the Company’s headquarters in San Francisco, California. As of March 31, 2023, the Company had not made any borrowings under the Revolving Credit Facility and it was in compliance with the related financial covenants. Fees incurred under the Revolving Credit Facility were insignificant for the three months ended March 31, 2023 and 2022.</w:t>
      </w:r>
    </w:p>
    <w:p>
      <w:pPr>
        <w:pStyle w:val="TextBody"/>
        <w:spacing w:before="180" w:after="0"/>
        <w:jc w:val="left"/>
        <w:rPr>
          <w:rFonts w:ascii="Arial;sans-serif" w:hAnsi="Arial;sans-serif"/>
          <w:b/>
          <w:i/>
          <w:sz w:val="20"/>
        </w:rPr>
      </w:pPr>
      <w:r>
        <w:rPr>
          <w:rFonts w:ascii="Arial;sans-serif" w:hAnsi="Arial;sans-serif"/>
          <w:b/>
          <w:i/>
          <w:sz w:val="20"/>
        </w:rPr>
        <w:t>Purchase Obligations</w:t>
      </w:r>
    </w:p>
    <w:p>
      <w:pPr>
        <w:pStyle w:val="TextBody"/>
        <w:spacing w:before="180" w:after="0"/>
        <w:jc w:val="both"/>
        <w:rPr>
          <w:rFonts w:ascii="Times New Roman" w:hAnsi="Times New Roman"/>
          <w:sz w:val="20"/>
        </w:rPr>
      </w:pPr>
      <w:r>
        <w:rPr>
          <w:rFonts w:ascii="Arial;sans-serif" w:hAnsi="Arial;sans-serif"/>
          <w:b w:val="false"/>
          <w:sz w:val="20"/>
        </w:rPr>
        <w:t>Effective September 1, 2022, the Company entered into an amendment to a colocation and cloud services arrangement committing the Company to make payments of $85</w:t>
      </w:r>
      <w:r>
        <w:rPr>
          <w:rFonts w:ascii="Times New Roman" w:hAnsi="Times New Roman"/>
          <w:sz w:val="20"/>
        </w:rPr>
        <w:t xml:space="preserve"> </w:t>
      </w:r>
      <w:r>
        <w:rPr>
          <w:rFonts w:ascii="Arial;sans-serif" w:hAnsi="Arial;sans-serif"/>
          <w:b w:val="false"/>
          <w:sz w:val="20"/>
        </w:rPr>
        <w:t>million for services over 3</w:t>
      </w:r>
      <w:r>
        <w:rPr>
          <w:rFonts w:ascii="Times New Roman" w:hAnsi="Times New Roman"/>
          <w:sz w:val="20"/>
        </w:rPr>
        <w:t xml:space="preserve"> </w:t>
      </w:r>
      <w:r>
        <w:rPr>
          <w:rFonts w:ascii="Arial;sans-serif" w:hAnsi="Arial;sans-serif"/>
          <w:b w:val="false"/>
          <w:sz w:val="20"/>
        </w:rPr>
        <w:t>years. As of March 31, 2023, the remaining commitment under this amended agreement was approximately $64</w:t>
      </w:r>
      <w:r>
        <w:rPr>
          <w:rFonts w:ascii="Times New Roman" w:hAnsi="Times New Roman"/>
          <w:sz w:val="20"/>
        </w:rPr>
        <w:t xml:space="preserve"> </w:t>
      </w:r>
      <w:r>
        <w:rPr>
          <w:rFonts w:ascii="Arial;sans-serif" w:hAnsi="Arial;sans-serif"/>
          <w:b w:val="false"/>
          <w:sz w:val="20"/>
        </w:rPr>
        <w:t>million and is payable within the next three years.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Legal Contingencies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Beginning in May 2021, four</w:t>
      </w:r>
      <w:r>
        <w:rPr>
          <w:rFonts w:ascii="Times New Roman" w:hAnsi="Times New Roman"/>
          <w:sz w:val="20"/>
        </w:rPr>
        <w:t xml:space="preserve"> </w:t>
      </w:r>
      <w:r>
        <w:rPr>
          <w:rFonts w:ascii="Arial;sans-serif" w:hAnsi="Arial;sans-serif"/>
          <w:b w:val="false"/>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sz w:val="20"/>
        </w:rPr>
        <w:t xml:space="preserve"> </w:t>
      </w:r>
      <w:r>
        <w:rPr>
          <w:rFonts w:ascii="Arial;sans-serif" w:hAnsi="Arial;sans-serif"/>
          <w:b w:val="false"/>
          <w:sz w:val="20"/>
        </w:rPr>
        <w:t>of these cases has since been dismissed by the plaintiff and the remaining three</w:t>
      </w:r>
      <w:r>
        <w:rPr>
          <w:rFonts w:ascii="Times New Roman" w:hAnsi="Times New Roman"/>
          <w:sz w:val="20"/>
        </w:rPr>
        <w:t xml:space="preserve"> </w:t>
      </w:r>
      <w:r>
        <w:rPr>
          <w:rFonts w:ascii="Arial;sans-serif" w:hAnsi="Arial;sans-serif"/>
          <w:b w:val="false"/>
          <w:sz w:val="20"/>
        </w:rPr>
        <w:t>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 only claims made under Sections 11 and 15 of the Securities Act. The Company believes these lawsuits are without merit and intends to vigorously defend them. Based on the preliminary nature of the proceedings in these cases, the Company cannot estimate a range of potential losses at this point in time.</w:t>
      </w:r>
    </w:p>
    <w:p>
      <w:pPr>
        <w:pStyle w:val="TextBody"/>
        <w:spacing w:before="180" w:after="0"/>
        <w:jc w:val="both"/>
        <w:rPr>
          <w:rFonts w:ascii="Arial;sans-serif" w:hAnsi="Arial;sans-serif"/>
          <w:b w:val="false"/>
          <w:sz w:val="20"/>
        </w:rPr>
      </w:pPr>
      <w:r>
        <w:rPr>
          <w:rFonts w:ascii="Arial;sans-serif" w:hAnsi="Arial;sans-serif"/>
          <w:b w:val="false"/>
          <w:sz w:val="20"/>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time.</w:t>
      </w:r>
    </w:p>
    <w:p>
      <w:pPr>
        <w:pStyle w:val="TextBody"/>
        <w:spacing w:before="180" w:after="0"/>
        <w:jc w:val="both"/>
        <w:rPr>
          <w:rFonts w:ascii="Times New Roman" w:hAnsi="Times New Roman"/>
          <w:sz w:val="20"/>
        </w:rPr>
      </w:pPr>
      <w:r>
        <w:rPr>
          <w:rFonts w:ascii="Arial;sans-serif" w:hAnsi="Arial;sans-serif"/>
          <w:b w:val="false"/>
          <w:sz w:val="20"/>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On March 10, 2023, the DGCCRF determined that the Company is in compliance with the injunction and applicable regulatory requirements, and lifted the injunction. As a result, the Company has been relisted and has returned to the application stores, such as Google Play and the Apple App Store, and search engines, such as Google, Bing and Qwant, in France. Although the underlying case reviewing the legal question of whether the agency has the power to delist any company remains pending, the Company no longer believes there is a reasonable possibility of a material loss.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In December 2021, the Company became aware that authorities in France charged Wish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reached a monetary settlement with DGCCRF on this matter and on March 10, 2023, the Court approved an immaterial settlement assessed to the Company and the Company's former Chief Executive Officer, Piotr Szulczewski and dismissed the case against both the Company and Mr. Szulczewski.</w:t>
      </w:r>
    </w:p>
    <w:p>
      <w:pPr>
        <w:pStyle w:val="TextBody"/>
        <w:spacing w:before="180" w:after="0"/>
        <w:jc w:val="both"/>
        <w:rPr>
          <w:rFonts w:ascii="Arial;sans-serif" w:hAnsi="Arial;sans-serif"/>
          <w:b w:val="false"/>
          <w:sz w:val="20"/>
        </w:rPr>
      </w:pPr>
      <w:r>
        <w:rPr>
          <w:rFonts w:ascii="Arial;sans-serif" w:hAnsi="Arial;sans-serif"/>
          <w:b w:val="false"/>
          <w:sz w:val="20"/>
        </w:rPr>
        <w:t>As of March 31, 2023,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spacing w:before="180" w:after="0"/>
        <w:jc w:val="both"/>
        <w:rPr>
          <w:rFonts w:ascii="Times New Roman" w:hAnsi="Times New Roman"/>
          <w:sz w:val="20"/>
        </w:rPr>
      </w:pPr>
      <w:r>
        <w:rPr>
          <w:rFonts w:ascii="Arial;sans-serif" w:hAnsi="Arial;sans-serif"/>
          <w:b/>
          <w:sz w:val="20"/>
        </w:rPr>
        <w:t xml:space="preserve">NOTE 8. </w:t>
      </w:r>
      <w:r>
        <w:rPr>
          <w:rFonts w:ascii="Arial;sans-serif" w:hAnsi="Arial;sans-serif"/>
          <w:b/>
          <w:caps/>
          <w:sz w:val="20"/>
        </w:rPr>
        <w:t>EQUITY Award activity and STOCK-based compensation</w:t>
      </w:r>
    </w:p>
    <w:p>
      <w:pPr>
        <w:pStyle w:val="TextBody"/>
        <w:spacing w:before="180" w:after="0"/>
        <w:jc w:val="both"/>
        <w:rPr>
          <w:rFonts w:ascii="Times New Roman" w:hAnsi="Times New Roman"/>
          <w:sz w:val="20"/>
        </w:rPr>
      </w:pPr>
      <w:r>
        <w:rPr>
          <w:rFonts w:ascii="Arial;sans-serif" w:hAnsi="Arial;sans-serif"/>
          <w:b/>
          <w:i/>
          <w:sz w:val="20"/>
        </w:rPr>
        <w:t>Equity Award Activity</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A summary of activity under the equity plans and related information is as follows:</w:t>
      </w:r>
    </w:p>
    <w:tbl>
      <w:tblPr>
        <w:tblW w:w="9006" w:type="dxa"/>
        <w:jc w:val="left"/>
        <w:tblInd w:w="0" w:type="dxa"/>
        <w:tblCellMar>
          <w:top w:w="28" w:type="dxa"/>
          <w:left w:w="28" w:type="dxa"/>
          <w:bottom w:w="28" w:type="dxa"/>
          <w:right w:w="28" w:type="dxa"/>
        </w:tblCellMar>
      </w:tblPr>
      <w:tblGrid>
        <w:gridCol w:w="2746"/>
        <w:gridCol w:w="146"/>
        <w:gridCol w:w="326"/>
        <w:gridCol w:w="949"/>
        <w:gridCol w:w="146"/>
        <w:gridCol w:w="146"/>
        <w:gridCol w:w="259"/>
        <w:gridCol w:w="702"/>
        <w:gridCol w:w="146"/>
        <w:gridCol w:w="146"/>
        <w:gridCol w:w="319"/>
        <w:gridCol w:w="792"/>
        <w:gridCol w:w="146"/>
        <w:gridCol w:w="146"/>
        <w:gridCol w:w="341"/>
        <w:gridCol w:w="1339"/>
        <w:gridCol w:w="211"/>
      </w:tblGrid>
      <w:tr>
        <w:trPr/>
        <w:tc>
          <w:tcPr>
            <w:tcW w:w="2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Options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RSUs Outstanding</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Number of</w:t>
              <w:b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Weighted-</w:t>
              <w:br/>
              <w:t>Average</w:t>
              <w:br/>
              <w:t>Remaining</w:t>
              <w:br/>
              <w:t>Contractual</w:t>
              <w:br/>
              <w:t>Term (In</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Number of</w:t>
              <w:br/>
              <w:t>RSUs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3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2,399</w:t>
            </w:r>
          </w:p>
        </w:tc>
        <w:tc>
          <w:tcPr>
            <w:tcW w:w="211"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Granted</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9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3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914</w:t>
            </w:r>
          </w:p>
        </w:tc>
        <w:tc>
          <w:tcPr>
            <w:tcW w:w="211"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Vested</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33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Forfeited or cancelled</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Balances at March 31, 2023</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79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Arial;sans-serif" w:hAnsi="Arial;sans-serif"/>
          <w:b w:val="false"/>
          <w:sz w:val="20"/>
        </w:rPr>
        <w:t>The weighted-average grant date fair value of RSUs granted during the three months ended March 31, 2023 and 2022 was $25.92</w:t>
      </w:r>
      <w:r>
        <w:rPr>
          <w:rFonts w:ascii="Times New Roman" w:hAnsi="Times New Roman"/>
          <w:sz w:val="20"/>
        </w:rPr>
        <w:t xml:space="preserve"> </w:t>
      </w:r>
      <w:r>
        <w:rPr>
          <w:rFonts w:ascii="Arial;sans-serif" w:hAnsi="Arial;sans-serif"/>
          <w:b w:val="false"/>
          <w:sz w:val="20"/>
        </w:rPr>
        <w:t>and $55.80</w:t>
      </w:r>
      <w:r>
        <w:rPr>
          <w:rFonts w:ascii="Times New Roman" w:hAnsi="Times New Roman"/>
          <w:sz w:val="20"/>
        </w:rPr>
        <w:t xml:space="preserve"> </w:t>
      </w:r>
      <w:r>
        <w:rPr>
          <w:rFonts w:ascii="Arial;sans-serif" w:hAnsi="Arial;sans-serif"/>
          <w:b w:val="false"/>
          <w:sz w:val="20"/>
        </w:rPr>
        <w:t>per share, respectively. As of March 31, 2023, 2,149</w:t>
      </w:r>
      <w:r>
        <w:rPr>
          <w:rFonts w:ascii="Times New Roman" w:hAnsi="Times New Roman"/>
          <w:sz w:val="20"/>
        </w:rPr>
        <w:t xml:space="preserve"> </w:t>
      </w:r>
      <w:r>
        <w:rPr>
          <w:rFonts w:ascii="Arial;sans-serif" w:hAnsi="Arial;sans-serif"/>
          <w:b w:val="false"/>
          <w:sz w:val="20"/>
        </w:rPr>
        <w:t>thousand shares remained available for grant under the Company’s equity incentive plans.</w:t>
      </w:r>
    </w:p>
    <w:p>
      <w:pPr>
        <w:pStyle w:val="TextBody"/>
        <w:spacing w:before="180" w:after="0"/>
        <w:jc w:val="both"/>
        <w:rPr>
          <w:rFonts w:ascii="Arial;sans-serif" w:hAnsi="Arial;sans-serif"/>
          <w:b/>
          <w:i/>
          <w:sz w:val="20"/>
        </w:rPr>
      </w:pPr>
      <w:r>
        <w:rPr>
          <w:rFonts w:ascii="Arial;sans-serif" w:hAnsi="Arial;sans-serif"/>
          <w:b/>
          <w:i/>
          <w:sz w:val="20"/>
        </w:rPr>
        <w:t>CEO Transition</w:t>
      </w:r>
    </w:p>
    <w:p>
      <w:pPr>
        <w:pStyle w:val="TextBody"/>
        <w:spacing w:before="180" w:after="0"/>
        <w:jc w:val="both"/>
        <w:rPr>
          <w:rFonts w:ascii="Times New Roman" w:hAnsi="Times New Roman"/>
          <w:sz w:val="20"/>
        </w:rPr>
      </w:pPr>
      <w:r>
        <w:rPr>
          <w:rFonts w:ascii="Arial;sans-serif" w:hAnsi="Arial;sans-serif"/>
          <w:b w:val="false"/>
          <w:sz w:val="20"/>
        </w:rPr>
        <w:t>In February 2023, the Board appointed Jun Yan as the Company's CEO, who was then serving as the Company's interim CEO. According to the terms of his new employment agreement, Mr. Yan was granted (i) 167</w:t>
      </w:r>
      <w:r>
        <w:rPr>
          <w:rFonts w:ascii="Times New Roman" w:hAnsi="Times New Roman"/>
          <w:sz w:val="20"/>
        </w:rPr>
        <w:t xml:space="preserve"> </w:t>
      </w:r>
      <w:r>
        <w:rPr>
          <w:rFonts w:ascii="Arial;sans-serif" w:hAnsi="Arial;sans-serif"/>
          <w:b w:val="false"/>
          <w:sz w:val="20"/>
        </w:rPr>
        <w:t>thousand RSUs with an aggregate grant date fair value of $3</w:t>
      </w:r>
      <w:r>
        <w:rPr>
          <w:rFonts w:ascii="Times New Roman" w:hAnsi="Times New Roman"/>
          <w:sz w:val="20"/>
        </w:rPr>
        <w:t xml:space="preserve"> </w:t>
      </w:r>
      <w:r>
        <w:rPr>
          <w:rFonts w:ascii="Arial;sans-serif" w:hAnsi="Arial;sans-serif"/>
          <w:b w:val="false"/>
          <w:sz w:val="20"/>
        </w:rPr>
        <w:t>million and (ii) options to purchase 299</w:t>
      </w:r>
      <w:r>
        <w:rPr>
          <w:rFonts w:ascii="Times New Roman" w:hAnsi="Times New Roman"/>
          <w:sz w:val="20"/>
        </w:rPr>
        <w:t xml:space="preserve"> </w:t>
      </w:r>
      <w:r>
        <w:rPr>
          <w:rFonts w:ascii="Arial;sans-serif" w:hAnsi="Arial;sans-serif"/>
          <w:b w:val="false"/>
          <w:sz w:val="20"/>
        </w:rPr>
        <w:t>thousand shares of the Company's common stock at an exercise price $15.03</w:t>
      </w:r>
      <w:r>
        <w:rPr>
          <w:rFonts w:ascii="Times New Roman" w:hAnsi="Times New Roman"/>
          <w:sz w:val="20"/>
        </w:rPr>
        <w:t xml:space="preserve"> </w:t>
      </w:r>
      <w:r>
        <w:rPr>
          <w:rFonts w:ascii="Arial;sans-serif" w:hAnsi="Arial;sans-serif"/>
          <w:b w:val="false"/>
          <w:sz w:val="20"/>
        </w:rPr>
        <w:t>per share with an aggregate grant date fair value of $3</w:t>
      </w:r>
      <w:r>
        <w:rPr>
          <w:rFonts w:ascii="Times New Roman" w:hAnsi="Times New Roman"/>
          <w:sz w:val="20"/>
        </w:rPr>
        <w:t xml:space="preserve"> </w:t>
      </w:r>
      <w:r>
        <w:rPr>
          <w:rFonts w:ascii="Arial;sans-serif" w:hAnsi="Arial;sans-serif"/>
          <w:b w:val="false"/>
          <w:sz w:val="20"/>
        </w:rPr>
        <w:t>million. These RSUs and options will become vested and exercisable, respectively, in periodic installments over a 2-year term, subject to the CEO's continued service with the Company. The option award has a term of 10</w:t>
      </w:r>
      <w:r>
        <w:rPr>
          <w:rFonts w:ascii="Times New Roman" w:hAnsi="Times New Roman"/>
          <w:sz w:val="20"/>
        </w:rPr>
        <w:t xml:space="preserve"> </w:t>
      </w:r>
      <w:r>
        <w:rPr>
          <w:rFonts w:ascii="Arial;sans-serif" w:hAnsi="Arial;sans-serif"/>
          <w:b w:val="false"/>
          <w:sz w:val="20"/>
        </w:rPr>
        <w:t>years. Mr. Yan's equity awards granted under his previous employment agreement as interim CEO will continue to vest according to the terms of that agreement.</w:t>
      </w:r>
    </w:p>
    <w:p>
      <w:pPr>
        <w:pStyle w:val="TextBody"/>
        <w:spacing w:before="180" w:after="0"/>
        <w:jc w:val="both"/>
        <w:rPr>
          <w:rFonts w:ascii="Arial;sans-serif" w:hAnsi="Arial;sans-serif"/>
          <w:b/>
          <w:i/>
          <w:sz w:val="20"/>
        </w:rPr>
      </w:pPr>
      <w:r>
        <w:rPr>
          <w:rFonts w:ascii="Arial;sans-serif" w:hAnsi="Arial;sans-serif"/>
          <w:b/>
          <w:i/>
          <w:sz w:val="20"/>
        </w:rPr>
        <w:t>Stock Option Valuation</w:t>
      </w:r>
    </w:p>
    <w:p>
      <w:pPr>
        <w:pStyle w:val="TextBody"/>
        <w:spacing w:before="180" w:after="0"/>
        <w:jc w:val="both"/>
        <w:rPr>
          <w:rFonts w:ascii="Arial;sans-serif" w:hAnsi="Arial;sans-serif"/>
          <w:b w:val="false"/>
          <w:sz w:val="20"/>
        </w:rPr>
      </w:pPr>
      <w:r>
        <w:rPr>
          <w:rFonts w:ascii="Arial;sans-serif" w:hAnsi="Arial;sans-serif"/>
          <w:b w:val="false"/>
          <w:sz w:val="20"/>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The risk-free interest rate was based on the interest rate payable on the U.S. Treasury securities in effect at the time of grant for a period that is commensurate with the assumed expected term.</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The expected volatility was based on the historical volatility of the publicly traded common stock of peer group companies blended with the limited historical volatility of the Company’s own common stock weighted to reflect the trading period of the Company’s stock since its IPO in December 2020.</w:t>
      </w:r>
    </w:p>
    <w:p>
      <w:pPr>
        <w:pStyle w:val="TextBody"/>
        <w:spacing w:before="24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The expected dividend yield was zero because the Company has not historically paid and does not expect to pay a dividend on its ordinary shares in the foreseeable future.</w:t>
      </w:r>
    </w:p>
    <w:p>
      <w:pPr>
        <w:pStyle w:val="TextBody"/>
        <w:spacing w:before="180" w:after="180"/>
        <w:jc w:val="both"/>
        <w:rPr>
          <w:rFonts w:ascii="Arial;sans-serif" w:hAnsi="Arial;sans-serif"/>
          <w:b w:val="false"/>
          <w:sz w:val="20"/>
        </w:rPr>
      </w:pPr>
      <w:r>
        <w:rPr>
          <w:rFonts w:ascii="Arial;sans-serif" w:hAnsi="Arial;sans-serif"/>
          <w:b w:val="false"/>
          <w:sz w:val="20"/>
        </w:rPr>
        <w:t>A summary of the assumptions used in the Black-Scholes option pricing model to determine the fair value of the options is as follows:</w:t>
      </w:r>
    </w:p>
    <w:tbl>
      <w:tblPr>
        <w:tblW w:w="5292" w:type="dxa"/>
        <w:jc w:val="left"/>
        <w:tblInd w:w="0" w:type="dxa"/>
        <w:tblCellMar>
          <w:top w:w="28" w:type="dxa"/>
          <w:left w:w="28" w:type="dxa"/>
          <w:bottom w:w="28" w:type="dxa"/>
          <w:right w:w="28" w:type="dxa"/>
        </w:tblCellMar>
      </w:tblPr>
      <w:tblGrid>
        <w:gridCol w:w="2731"/>
        <w:gridCol w:w="146"/>
        <w:gridCol w:w="217"/>
        <w:gridCol w:w="603"/>
        <w:gridCol w:w="294"/>
        <w:gridCol w:w="150"/>
        <w:gridCol w:w="217"/>
        <w:gridCol w:w="603"/>
        <w:gridCol w:w="33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8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5.55</w:t>
            </w:r>
          </w:p>
        </w:tc>
        <w:tc>
          <w:tcPr>
            <w:tcW w:w="294"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6.10</w:t>
            </w:r>
          </w:p>
        </w:tc>
        <w:tc>
          <w:tcPr>
            <w:tcW w:w="33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Risk free interest rate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4.15</w:t>
            </w:r>
          </w:p>
        </w:tc>
        <w:tc>
          <w:tcPr>
            <w:tcW w:w="2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1.70</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91.51</w:t>
            </w:r>
          </w:p>
        </w:tc>
        <w:tc>
          <w:tcPr>
            <w:tcW w:w="2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73.20</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pPr>
            <w:r>
              <w:rPr/>
              <w:t>—</w:t>
            </w:r>
          </w:p>
        </w:tc>
        <w:tc>
          <w:tcPr>
            <w:tcW w:w="294"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Estimated fair value per share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11.27</w:t>
            </w:r>
          </w:p>
        </w:tc>
        <w:tc>
          <w:tcPr>
            <w:tcW w:w="294"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56.10</w:t>
            </w:r>
          </w:p>
        </w:tc>
        <w:tc>
          <w:tcPr>
            <w:tcW w:w="33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Arial;sans-serif" w:hAnsi="Arial;sans-serif"/>
          <w:b/>
          <w:i/>
          <w:sz w:val="20"/>
        </w:rPr>
        <w:t>Stock-Based Compensation Expense</w:t>
      </w:r>
      <w:r>
        <w:rPr>
          <w:rFonts w:ascii="Times New Roman" w:hAnsi="Times New Roman"/>
          <w:sz w:val="20"/>
        </w:rPr>
        <w:t xml:space="preserve"> </w:t>
      </w:r>
    </w:p>
    <w:p>
      <w:pPr>
        <w:pStyle w:val="TextBody"/>
        <w:spacing w:before="180" w:after="180"/>
        <w:jc w:val="both"/>
        <w:rPr>
          <w:rFonts w:ascii="Times New Roman" w:hAnsi="Times New Roman"/>
          <w:sz w:val="20"/>
        </w:rPr>
      </w:pPr>
      <w:r>
        <w:rPr>
          <w:rFonts w:ascii="Arial;sans-serif" w:hAnsi="Arial;sans-serif"/>
          <w:b w:val="false"/>
          <w:sz w:val="20"/>
        </w:rPr>
        <w:t>Total stock-based compensation expense included in the condensed consolidated statements of operations is as follows:</w:t>
      </w:r>
      <w:r>
        <w:rPr>
          <w:rFonts w:ascii="Times New Roman" w:hAnsi="Times New Roman"/>
          <w:sz w:val="20"/>
        </w:rPr>
        <w:t xml:space="preserve"> </w:t>
      </w:r>
    </w:p>
    <w:tbl>
      <w:tblPr>
        <w:tblW w:w="5795" w:type="dxa"/>
        <w:jc w:val="left"/>
        <w:tblInd w:w="0" w:type="dxa"/>
        <w:tblCellMar>
          <w:top w:w="28" w:type="dxa"/>
          <w:left w:w="28" w:type="dxa"/>
          <w:bottom w:w="28" w:type="dxa"/>
          <w:right w:w="28" w:type="dxa"/>
        </w:tblCellMar>
      </w:tblPr>
      <w:tblGrid>
        <w:gridCol w:w="3121"/>
        <w:gridCol w:w="146"/>
        <w:gridCol w:w="306"/>
        <w:gridCol w:w="458"/>
        <w:gridCol w:w="211"/>
        <w:gridCol w:w="211"/>
        <w:gridCol w:w="306"/>
        <w:gridCol w:w="545"/>
        <w:gridCol w:w="4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4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4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12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Total stock-based compensation</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Arial" w:hAnsi="Arial"/>
          <w:b w:val="false"/>
          <w:sz w:val="16"/>
        </w:rPr>
      </w:pPr>
      <w:r>
        <w:rPr>
          <w:rFonts w:ascii="Arial" w:hAnsi="Arial"/>
          <w:b w:val="false"/>
          <w:sz w:val="16"/>
        </w:rPr>
        <w:t>(1)</w:t>
      </w:r>
    </w:p>
    <w:p>
      <w:pPr>
        <w:pStyle w:val="TextBody"/>
        <w:spacing w:before="180" w:after="283"/>
        <w:jc w:val="both"/>
        <w:rPr>
          <w:rFonts w:ascii="Arial;sans-serif" w:hAnsi="Arial;sans-serif"/>
          <w:sz w:val="20"/>
        </w:rPr>
      </w:pPr>
      <w:r>
        <w:rPr>
          <w:rFonts w:ascii="Arial;sans-serif" w:hAnsi="Arial;sans-serif"/>
          <w:b w:val="false"/>
          <w:sz w:val="16"/>
        </w:rPr>
        <w:t>Total stock-based compensation for the three months ended March 31, 2023 increased by $28</w:t>
      </w:r>
      <w:r>
        <w:rPr>
          <w:rFonts w:ascii="Arial;sans-serif" w:hAnsi="Arial;sans-serif"/>
          <w:sz w:val="20"/>
        </w:rPr>
        <w:t xml:space="preserve"> </w:t>
      </w:r>
      <w:r>
        <w:rPr>
          <w:rFonts w:ascii="Arial;sans-serif" w:hAnsi="Arial;sans-serif"/>
          <w:b w:val="false"/>
          <w:sz w:val="16"/>
        </w:rPr>
        <w:t>million compared to the three months ended March 31, 2022 primarily due to (i) accelerated vesting of the Company's former Chief Product Officer and Chief Administrative Officer's RSUs upon their departures in accordance to their separation agreements during the first quarter of 2023, and (ii) forfeitures originating from the resignation of the Company’s former CEO, and modifications to the Company’s former Executive Chair’s equity awards during the first quarter of 2022.</w:t>
      </w:r>
    </w:p>
    <w:p>
      <w:pPr>
        <w:pStyle w:val="TextBody"/>
        <w:spacing w:before="180" w:after="0"/>
        <w:jc w:val="both"/>
        <w:rPr>
          <w:rFonts w:ascii="Times New Roman" w:hAnsi="Times New Roman"/>
          <w:sz w:val="20"/>
        </w:rPr>
      </w:pPr>
      <w:r>
        <w:rPr>
          <w:rFonts w:ascii="Arial;sans-serif" w:hAnsi="Arial;sans-serif"/>
          <w:b w:val="false"/>
          <w:sz w:val="20"/>
        </w:rPr>
        <w:t>The Company will recognize the remaining $4</w:t>
      </w:r>
      <w:r>
        <w:rPr>
          <w:rFonts w:ascii="Times New Roman" w:hAnsi="Times New Roman"/>
          <w:sz w:val="20"/>
        </w:rPr>
        <w:t xml:space="preserve"> </w:t>
      </w:r>
      <w:r>
        <w:rPr>
          <w:rFonts w:ascii="Arial;sans-serif" w:hAnsi="Arial;sans-serif"/>
          <w:b w:val="false"/>
          <w:sz w:val="20"/>
        </w:rPr>
        <w:t>million and $140</w:t>
      </w:r>
      <w:r>
        <w:rPr>
          <w:rFonts w:ascii="Times New Roman" w:hAnsi="Times New Roman"/>
          <w:sz w:val="20"/>
        </w:rPr>
        <w:t xml:space="preserve"> </w:t>
      </w:r>
      <w:r>
        <w:rPr>
          <w:rFonts w:ascii="Arial;sans-serif" w:hAnsi="Arial;sans-serif"/>
          <w:b w:val="false"/>
          <w:sz w:val="20"/>
        </w:rPr>
        <w:t>million of unrecognized stock-based compensation expense over a weighted-average period of approximately 1.7</w:t>
      </w:r>
      <w:r>
        <w:rPr>
          <w:rFonts w:ascii="Times New Roman" w:hAnsi="Times New Roman"/>
          <w:sz w:val="20"/>
        </w:rPr>
        <w:t xml:space="preserve"> </w:t>
      </w:r>
      <w:r>
        <w:rPr>
          <w:rFonts w:ascii="Arial;sans-serif" w:hAnsi="Arial;sans-serif"/>
          <w:b w:val="false"/>
          <w:sz w:val="20"/>
        </w:rPr>
        <w:t>years and 2.5</w:t>
      </w:r>
      <w:r>
        <w:rPr>
          <w:rFonts w:ascii="Times New Roman" w:hAnsi="Times New Roman"/>
          <w:sz w:val="20"/>
        </w:rPr>
        <w:t xml:space="preserve"> </w:t>
      </w:r>
      <w:r>
        <w:rPr>
          <w:rFonts w:ascii="Arial;sans-serif" w:hAnsi="Arial;sans-serif"/>
          <w:b w:val="false"/>
          <w:sz w:val="20"/>
        </w:rPr>
        <w:t>years related to options and RSUs, respectively.</w:t>
      </w:r>
    </w:p>
    <w:p>
      <w:pPr>
        <w:pStyle w:val="TextBody"/>
        <w:spacing w:before="0" w:after="0"/>
        <w:jc w:val="left"/>
        <w:rPr/>
      </w:pPr>
      <w:r>
        <w:rPr/>
        <w:t> </w:t>
      </w:r>
    </w:p>
    <w:p>
      <w:pPr>
        <w:pStyle w:val="TextBody"/>
        <w:spacing w:before="180" w:after="0"/>
        <w:jc w:val="both"/>
        <w:rPr>
          <w:rFonts w:ascii="Arial;sans-serif" w:hAnsi="Arial;sans-serif"/>
          <w:b/>
          <w:sz w:val="20"/>
        </w:rPr>
      </w:pPr>
      <w:r>
        <w:rPr>
          <w:rFonts w:ascii="Arial;sans-serif" w:hAnsi="Arial;sans-serif"/>
          <w:b/>
          <w:sz w:val="20"/>
        </w:rPr>
        <w:t>NOTE 9. INCOME TAXES</w:t>
      </w:r>
    </w:p>
    <w:p>
      <w:pPr>
        <w:pStyle w:val="TextBody"/>
        <w:spacing w:before="180" w:after="0"/>
        <w:jc w:val="both"/>
        <w:rPr>
          <w:rFonts w:ascii="Arial;sans-serif" w:hAnsi="Arial;sans-serif"/>
          <w:b w:val="false"/>
          <w:sz w:val="20"/>
        </w:rPr>
      </w:pPr>
      <w:r>
        <w:rPr>
          <w:rFonts w:ascii="Arial;sans-serif" w:hAnsi="Arial;sans-serif"/>
          <w:b w:val="false"/>
          <w:sz w:val="20"/>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spacing w:before="180" w:after="0"/>
        <w:jc w:val="both"/>
        <w:rPr>
          <w:rFonts w:ascii="Arial;sans-serif" w:hAnsi="Arial;sans-serif"/>
          <w:b w:val="false"/>
          <w:sz w:val="20"/>
        </w:rPr>
      </w:pPr>
      <w:r>
        <w:rPr>
          <w:rFonts w:ascii="Arial;sans-serif" w:hAnsi="Arial;sans-serif"/>
          <w:b w:val="false"/>
          <w:sz w:val="20"/>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spacing w:before="180" w:after="0"/>
        <w:jc w:val="both"/>
        <w:rPr>
          <w:rFonts w:ascii="Times New Roman" w:hAnsi="Times New Roman"/>
          <w:sz w:val="20"/>
        </w:rPr>
      </w:pPr>
      <w:r>
        <w:rPr>
          <w:rFonts w:ascii="Arial;sans-serif" w:hAnsi="Arial;sans-serif"/>
          <w:b w:val="false"/>
          <w:sz w:val="20"/>
        </w:rPr>
        <w:t>The provision for income taxes was insignificant for the three months ended March 31, 2023 and 2022, respectively. The year-over-year decrease in provision for income taxes was primarily related to a decrease in pre-tax earnings of the Company’s international operations. The Company continues to maintain a valuation allowance on its domestic net deferred tax assets which is excluded from the annual effective tax rate estimate.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Company had $11</w:t>
      </w:r>
      <w:r>
        <w:rPr>
          <w:rFonts w:ascii="Times New Roman" w:hAnsi="Times New Roman"/>
          <w:sz w:val="20"/>
        </w:rPr>
        <w:t xml:space="preserve"> </w:t>
      </w:r>
      <w:r>
        <w:rPr>
          <w:rFonts w:ascii="Arial;sans-serif" w:hAnsi="Arial;sans-serif"/>
          <w:b w:val="false"/>
          <w:sz w:val="20"/>
        </w:rPr>
        <w:t>million and $9</w:t>
      </w:r>
      <w:r>
        <w:rPr>
          <w:rFonts w:ascii="Times New Roman" w:hAnsi="Times New Roman"/>
          <w:sz w:val="20"/>
        </w:rPr>
        <w:t xml:space="preserve"> </w:t>
      </w:r>
      <w:r>
        <w:rPr>
          <w:rFonts w:ascii="Arial;sans-serif" w:hAnsi="Arial;sans-serif"/>
          <w:b w:val="false"/>
          <w:sz w:val="20"/>
        </w:rPr>
        <w:t>million of unrecognized tax benefits as of March 31, 2023 and December 31, 2022, respectively. These unrecognized tax benefits, if recognized, would affect the effective tax rate. The interest and penalties associated with the unrecognized tax benefits for the three months ended March 31, 2023 and 2022 were immaterial.</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Arial;sans-serif" w:hAnsi="Arial;sans-serif"/>
          <w:b/>
          <w:sz w:val="20"/>
        </w:rPr>
        <w:t xml:space="preserve">NOTE 10. </w:t>
      </w:r>
      <w:r>
        <w:rPr>
          <w:rFonts w:ascii="Arial;sans-serif" w:hAnsi="Arial;sans-serif"/>
          <w:b/>
          <w:caps/>
          <w:sz w:val="20"/>
        </w:rPr>
        <w:t>Net loss per share</w:t>
      </w:r>
      <w:r>
        <w:rPr>
          <w:rFonts w:ascii="Times New Roman" w:hAnsi="Times New Roman"/>
          <w:caps/>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following table sets forth the computation of basic and diluted net loss per share:</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633"/>
        <w:gridCol w:w="146"/>
        <w:gridCol w:w="394"/>
        <w:gridCol w:w="1291"/>
        <w:gridCol w:w="310"/>
        <w:gridCol w:w="272"/>
        <w:gridCol w:w="394"/>
        <w:gridCol w:w="1291"/>
        <w:gridCol w:w="474"/>
      </w:tblGrid>
      <w:tr>
        <w:trPr/>
        <w:tc>
          <w:tcPr>
            <w:tcW w:w="56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563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3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16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3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52"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shares in thousands, except per share data)</w:t>
            </w:r>
          </w:p>
        </w:tc>
        <w:tc>
          <w:tcPr>
            <w:tcW w:w="474" w:type="dxa"/>
            <w:tcBorders/>
            <w:shd w:fill="auto" w:val="clear"/>
            <w:vAlign w:val="center"/>
          </w:tcPr>
          <w:p>
            <w:pPr>
              <w:pStyle w:val="TableContents"/>
              <w:spacing w:before="0" w:after="0"/>
              <w:ind w:left="0" w:right="0" w:hanging="0"/>
              <w:jc w:val="center"/>
              <w:rPr/>
            </w:pPr>
            <w:r>
              <w:rPr/>
              <w:t> </w:t>
            </w:r>
          </w:p>
        </w:tc>
      </w:tr>
      <w:tr>
        <w:trPr/>
        <w:tc>
          <w:tcPr>
            <w:tcW w:w="563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685" w:type="dxa"/>
            <w:gridSpan w:val="2"/>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1685" w:type="dxa"/>
            <w:gridSpan w:val="2"/>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5633"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72"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4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633"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685" w:type="dxa"/>
            <w:gridSpan w:val="2"/>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1685" w:type="dxa"/>
            <w:gridSpan w:val="2"/>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5633"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Weighted-average shares used in computing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23,246</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22,049</w:t>
            </w:r>
          </w:p>
        </w:tc>
        <w:tc>
          <w:tcPr>
            <w:tcW w:w="4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(3.83</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72" w:type="dxa"/>
            <w:tcBorders/>
            <w:shd w:fill="auto" w:val="clear"/>
            <w:vAlign w:val="center"/>
          </w:tcPr>
          <w:p>
            <w:pPr>
              <w:pStyle w:val="TableContents"/>
              <w:spacing w:before="0" w:after="0"/>
              <w:ind w:left="0" w:right="0" w:hanging="0"/>
              <w:jc w:val="left"/>
              <w:rPr/>
            </w:pPr>
            <w:r>
              <w:rPr/>
              <w:t> </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(2.72</w:t>
            </w:r>
          </w:p>
        </w:tc>
        <w:tc>
          <w:tcPr>
            <w:tcW w:w="4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Times New Roman" w:hAnsi="Times New Roman"/>
          <w:sz w:val="20"/>
        </w:rPr>
      </w:pPr>
      <w:r>
        <w:rPr>
          <w:rFonts w:ascii="Arial;sans-serif" w:hAnsi="Arial;sans-serif"/>
          <w:b w:val="false"/>
          <w:sz w:val="20"/>
        </w:rPr>
        <w:t>The following outstanding shares of potentially dilutive securities were excluded from the computation of diluted net loss per share because including them would have had an anti-dilutive effect:</w:t>
      </w:r>
      <w:r>
        <w:rPr>
          <w:rFonts w:ascii="Times New Roman" w:hAnsi="Times New Roman"/>
          <w:sz w:val="20"/>
        </w:rPr>
        <w:t xml:space="preserve"> </w:t>
      </w:r>
    </w:p>
    <w:p>
      <w:pPr>
        <w:pStyle w:val="TextBody"/>
        <w:spacing w:before="0" w:after="0"/>
        <w:jc w:val="both"/>
        <w:rPr/>
      </w:pPr>
      <w:r>
        <w:rPr/>
        <w:t> </w:t>
      </w:r>
    </w:p>
    <w:tbl>
      <w:tblPr>
        <w:tblW w:w="5994" w:type="dxa"/>
        <w:jc w:val="left"/>
        <w:tblInd w:w="0" w:type="dxa"/>
        <w:tblCellMar>
          <w:top w:w="28" w:type="dxa"/>
          <w:left w:w="28" w:type="dxa"/>
          <w:bottom w:w="28" w:type="dxa"/>
          <w:right w:w="28" w:type="dxa"/>
        </w:tblCellMar>
      </w:tblPr>
      <w:tblGrid>
        <w:gridCol w:w="3901"/>
        <w:gridCol w:w="146"/>
        <w:gridCol w:w="146"/>
        <w:gridCol w:w="586"/>
        <w:gridCol w:w="146"/>
        <w:gridCol w:w="146"/>
        <w:gridCol w:w="146"/>
        <w:gridCol w:w="586"/>
        <w:gridCol w:w="191"/>
      </w:tblGrid>
      <w:tr>
        <w:trPr/>
        <w:tc>
          <w:tcPr>
            <w:tcW w:w="3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As of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56"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Common stock options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1,677</w:t>
            </w:r>
          </w:p>
        </w:tc>
        <w:tc>
          <w:tcPr>
            <w:tcW w:w="191" w:type="dxa"/>
            <w:tcBorders/>
            <w:shd w:fill="auto" w:val="cle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Unvested restricted stock units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2,660</w:t>
            </w:r>
          </w:p>
        </w:tc>
        <w:tc>
          <w:tcPr>
            <w:tcW w:w="191" w:type="dxa"/>
            <w:tcBorders/>
            <w:shd w:fill="auto" w:val="cle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4,446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sz w:val="20"/>
        </w:rPr>
        <w:t xml:space="preserve">NOTE 11. </w:t>
      </w:r>
      <w:r>
        <w:rPr>
          <w:rFonts w:ascii="Arial;sans-serif" w:hAnsi="Arial;sans-serif"/>
          <w:b/>
          <w:caps/>
          <w:sz w:val="20"/>
        </w:rPr>
        <w:t>GEOGRAPHICAL INFORMATION</w:t>
      </w:r>
    </w:p>
    <w:p>
      <w:pPr>
        <w:pStyle w:val="TextBody"/>
        <w:spacing w:before="180" w:after="0"/>
        <w:jc w:val="both"/>
        <w:rPr>
          <w:rFonts w:ascii="Times New Roman" w:hAnsi="Times New Roman"/>
          <w:sz w:val="20"/>
        </w:rPr>
      </w:pPr>
      <w:r>
        <w:rPr>
          <w:rFonts w:ascii="Arial;sans-serif" w:hAnsi="Arial;sans-serif"/>
          <w:b w:val="false"/>
          <w:sz w:val="20"/>
        </w:rPr>
        <w:t>The Company believes it is relevant to disclose geographical revenue information on both a demand basis, determined by the ship-to address of the user, and on a supply basis, determined by the location of the merchants’ operations.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Core marketplace revenue by geographic area based on the ship-to address of the user is as follows:</w:t>
      </w:r>
    </w:p>
    <w:p>
      <w:pPr>
        <w:pStyle w:val="TextBody"/>
        <w:spacing w:before="0" w:after="0"/>
        <w:jc w:val="both"/>
        <w:rPr/>
      </w:pPr>
      <w:r>
        <w:rPr/>
        <w:t> </w:t>
      </w:r>
    </w:p>
    <w:tbl>
      <w:tblPr>
        <w:tblW w:w="6527" w:type="dxa"/>
        <w:jc w:val="left"/>
        <w:tblInd w:w="0" w:type="dxa"/>
        <w:tblCellMar>
          <w:top w:w="28" w:type="dxa"/>
          <w:left w:w="28" w:type="dxa"/>
          <w:bottom w:w="28" w:type="dxa"/>
          <w:right w:w="28" w:type="dxa"/>
        </w:tblCellMar>
      </w:tblPr>
      <w:tblGrid>
        <w:gridCol w:w="2566"/>
        <w:gridCol w:w="146"/>
        <w:gridCol w:w="211"/>
        <w:gridCol w:w="316"/>
        <w:gridCol w:w="146"/>
        <w:gridCol w:w="146"/>
        <w:gridCol w:w="146"/>
        <w:gridCol w:w="421"/>
        <w:gridCol w:w="286"/>
        <w:gridCol w:w="146"/>
        <w:gridCol w:w="211"/>
        <w:gridCol w:w="316"/>
        <w:gridCol w:w="146"/>
        <w:gridCol w:w="146"/>
        <w:gridCol w:w="146"/>
        <w:gridCol w:w="421"/>
        <w:gridCol w:w="611"/>
      </w:tblGrid>
      <w:tr>
        <w:trPr/>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4"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611" w:type="dxa"/>
            <w:tcBorders/>
            <w:shd w:fill="auto" w:val="cle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w:t>
            </w:r>
          </w:p>
        </w:tc>
        <w:tc>
          <w:tcPr>
            <w:tcW w:w="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6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North America</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South America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566"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Core marketplace revenue</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Arial" w:hAnsi="Arial"/>
          <w:b w:val="false"/>
          <w:sz w:val="16"/>
        </w:rPr>
      </w:pPr>
      <w:r>
        <w:rPr>
          <w:rFonts w:ascii="Arial" w:hAnsi="Arial"/>
          <w:b w:val="false"/>
          <w:sz w:val="16"/>
        </w:rPr>
        <w:t>(1)</w:t>
      </w:r>
    </w:p>
    <w:p>
      <w:pPr>
        <w:pStyle w:val="TextBody"/>
        <w:spacing w:before="180" w:after="0"/>
        <w:jc w:val="both"/>
        <w:rPr>
          <w:rFonts w:ascii="Times New Roman;serif" w:hAnsi="Times New Roman;serif"/>
          <w:sz w:val="24"/>
        </w:rPr>
      </w:pPr>
      <w:r>
        <w:rPr>
          <w:rFonts w:ascii="Arial;sans-serif" w:hAnsi="Arial;sans-serif"/>
          <w:b w:val="false"/>
          <w:sz w:val="16"/>
        </w:rPr>
        <w:t>The United States accounted for $8</w:t>
      </w:r>
      <w:r>
        <w:rPr>
          <w:rFonts w:ascii="Times New Roman;serif" w:hAnsi="Times New Roman;serif"/>
          <w:sz w:val="24"/>
        </w:rPr>
        <w:t xml:space="preserve"> </w:t>
      </w:r>
      <w:r>
        <w:rPr>
          <w:rFonts w:ascii="Arial;sans-serif" w:hAnsi="Arial;sans-serif"/>
          <w:b w:val="false"/>
          <w:sz w:val="16"/>
        </w:rPr>
        <w:t>million and $35</w:t>
      </w:r>
      <w:r>
        <w:rPr>
          <w:rFonts w:ascii="Times New Roman;serif" w:hAnsi="Times New Roman;serif"/>
          <w:sz w:val="24"/>
        </w:rPr>
        <w:t xml:space="preserve"> </w:t>
      </w:r>
      <w:r>
        <w:rPr>
          <w:rFonts w:ascii="Arial;sans-serif" w:hAnsi="Arial;sans-serif"/>
          <w:b w:val="false"/>
          <w:sz w:val="16"/>
        </w:rPr>
        <w:t>million of core marketplace revenue for the three months ended March 31, 2023 and 2022, respectively.</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283"/>
        <w:jc w:val="both"/>
        <w:rPr>
          <w:rFonts w:ascii="Times New Roman;serif" w:hAnsi="Times New Roman;serif"/>
          <w:sz w:val="24"/>
        </w:rPr>
      </w:pPr>
      <w:r>
        <w:rPr>
          <w:rFonts w:ascii="Arial;sans-serif" w:hAnsi="Arial;sans-serif"/>
          <w:b w:val="false"/>
          <w:sz w:val="16"/>
        </w:rPr>
        <w:t>Core marketplace revenue included net gains of $2</w:t>
      </w:r>
      <w:r>
        <w:rPr>
          <w:rFonts w:ascii="Times New Roman;serif" w:hAnsi="Times New Roman;serif"/>
          <w:sz w:val="24"/>
        </w:rPr>
        <w:t xml:space="preserve"> </w:t>
      </w:r>
      <w:r>
        <w:rPr>
          <w:rFonts w:ascii="Arial;sans-serif" w:hAnsi="Arial;sans-serif"/>
          <w:b w:val="false"/>
          <w:sz w:val="16"/>
        </w:rPr>
        <w:t>million for both periods presented, from the Company's cash flow hedging program.</w:t>
      </w:r>
      <w:r>
        <w:rPr>
          <w:rFonts w:ascii="Times New Roman;serif" w:hAnsi="Times New Roman;serif"/>
          <w:sz w:val="24"/>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China accounted for substantially all of marketplace and logistics revenue during the three months ended March 31, 2023 and 2022 based on the location of the merchants’ operations. Marketplace and logistics revenue from merchants based in the United States was immaterial in both periods presented.</w:t>
      </w:r>
    </w:p>
    <w:p>
      <w:pPr>
        <w:pStyle w:val="TextBody"/>
        <w:spacing w:before="180" w:after="180"/>
        <w:jc w:val="both"/>
        <w:rPr>
          <w:rFonts w:ascii="Arial;sans-serif" w:hAnsi="Arial;sans-serif"/>
          <w:b w:val="false"/>
          <w:sz w:val="20"/>
        </w:rPr>
      </w:pPr>
      <w:r>
        <w:rPr>
          <w:rFonts w:ascii="Arial;sans-serif" w:hAnsi="Arial;sans-serif"/>
          <w:b w:val="false"/>
          <w:sz w:val="20"/>
        </w:rPr>
        <w:t>The Company’s long-lived tangible assets, which consist of property and equipment, net and operating lease right-of-use assets, net, is as follows:</w:t>
      </w:r>
    </w:p>
    <w:p>
      <w:pPr>
        <w:pStyle w:val="TextBody"/>
        <w:spacing w:before="24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r>
        <w:rPr/>
        <w:t> </w:t>
      </w:r>
    </w:p>
    <w:tbl>
      <w:tblPr>
        <w:tblW w:w="9062" w:type="dxa"/>
        <w:jc w:val="left"/>
        <w:tblInd w:w="0" w:type="dxa"/>
        <w:tblCellMar>
          <w:top w:w="28" w:type="dxa"/>
          <w:left w:w="28" w:type="dxa"/>
          <w:bottom w:w="28" w:type="dxa"/>
          <w:right w:w="28" w:type="dxa"/>
        </w:tblCellMar>
      </w:tblPr>
      <w:tblGrid>
        <w:gridCol w:w="5101"/>
        <w:gridCol w:w="146"/>
        <w:gridCol w:w="211"/>
        <w:gridCol w:w="316"/>
        <w:gridCol w:w="146"/>
        <w:gridCol w:w="146"/>
        <w:gridCol w:w="146"/>
        <w:gridCol w:w="421"/>
        <w:gridCol w:w="286"/>
        <w:gridCol w:w="146"/>
        <w:gridCol w:w="211"/>
        <w:gridCol w:w="316"/>
        <w:gridCol w:w="146"/>
        <w:gridCol w:w="146"/>
        <w:gridCol w:w="146"/>
        <w:gridCol w:w="421"/>
        <w:gridCol w:w="611"/>
      </w:tblGrid>
      <w:tr>
        <w:trPr/>
        <w:tc>
          <w:tcPr>
            <w:tcW w:w="5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December 31,</w:t>
            </w:r>
          </w:p>
        </w:tc>
        <w:tc>
          <w:tcPr>
            <w:tcW w:w="611" w:type="dxa"/>
            <w:tcBorders/>
            <w:shd w:fill="auto" w:val="clear"/>
            <w:vAlign w:val="center"/>
          </w:tcPr>
          <w:p>
            <w:pPr>
              <w:pStyle w:val="TableContents"/>
              <w:spacing w:before="0" w:after="0"/>
              <w:ind w:left="0" w:right="0" w:hanging="0"/>
              <w:jc w:val="center"/>
              <w:rPr/>
            </w:pPr>
            <w:r>
              <w:rPr/>
              <w:t> </w:t>
            </w:r>
          </w:p>
        </w:tc>
      </w:tr>
      <w:tr>
        <w:trPr/>
        <w:tc>
          <w:tcPr>
            <w:tcW w:w="5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4"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611" w:type="dxa"/>
            <w:tcBorders/>
            <w:shd w:fill="auto" w:val="clear"/>
            <w:vAlign w:val="center"/>
          </w:tcPr>
          <w:p>
            <w:pPr>
              <w:pStyle w:val="TableContents"/>
              <w:spacing w:before="0" w:after="0"/>
              <w:ind w:left="0" w:right="0" w:hanging="0"/>
              <w:jc w:val="center"/>
              <w:rPr/>
            </w:pPr>
            <w:r>
              <w:rPr/>
              <w:t> </w:t>
            </w:r>
          </w:p>
        </w:tc>
      </w:tr>
      <w:tr>
        <w:trPr/>
        <w:tc>
          <w:tcPr>
            <w:tcW w:w="51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w:t>
            </w:r>
          </w:p>
        </w:tc>
        <w:tc>
          <w:tcPr>
            <w:tcW w:w="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0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China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6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10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Other</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10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property and equipment, net and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20" w:after="0"/>
        <w:jc w:val="both"/>
        <w:rPr>
          <w:rFonts w:ascii="Arial" w:hAnsi="Arial"/>
          <w:b w:val="false"/>
          <w:sz w:val="16"/>
        </w:rPr>
      </w:pPr>
      <w:r>
        <w:rPr>
          <w:rFonts w:ascii="Arial" w:hAnsi="Arial"/>
          <w:b w:val="false"/>
          <w:sz w:val="16"/>
        </w:rPr>
        <w:t>(1)</w:t>
      </w:r>
    </w:p>
    <w:p>
      <w:pPr>
        <w:pStyle w:val="TextBody"/>
        <w:spacing w:before="120" w:after="283"/>
        <w:jc w:val="both"/>
        <w:rPr>
          <w:rFonts w:ascii="Arial;sans-serif" w:hAnsi="Arial;sans-serif"/>
          <w:b w:val="false"/>
          <w:sz w:val="16"/>
        </w:rPr>
      </w:pPr>
      <w:r>
        <w:rPr>
          <w:rFonts w:ascii="Arial;sans-serif" w:hAnsi="Arial;sans-serif"/>
          <w:b w:val="false"/>
          <w:sz w:val="16"/>
        </w:rPr>
        <w:t>Long-lived tangible assets outside the United States and China were located in Canada and the Netherlands.</w:t>
      </w:r>
    </w:p>
    <w:p>
      <w:pPr>
        <w:pStyle w:val="TextBody"/>
        <w:spacing w:before="180" w:after="0"/>
        <w:jc w:val="both"/>
        <w:rPr>
          <w:rFonts w:ascii="Arial;sans-serif" w:hAnsi="Arial;sans-serif"/>
          <w:b/>
          <w:sz w:val="20"/>
        </w:rPr>
      </w:pPr>
      <w:r>
        <w:rPr>
          <w:rFonts w:ascii="Arial;sans-serif" w:hAnsi="Arial;sans-serif"/>
          <w:b/>
          <w:sz w:val="20"/>
        </w:rPr>
        <w:t>NOTE 12. REDUCTION IN WORKFORCE</w:t>
      </w:r>
    </w:p>
    <w:p>
      <w:pPr>
        <w:pStyle w:val="TextBody"/>
        <w:spacing w:before="180" w:after="0"/>
        <w:jc w:val="both"/>
        <w:rPr>
          <w:rFonts w:ascii="Times New Roman" w:hAnsi="Times New Roman"/>
          <w:sz w:val="20"/>
        </w:rPr>
      </w:pPr>
      <w:r>
        <w:rPr>
          <w:rFonts w:ascii="Arial;sans-serif" w:hAnsi="Arial;sans-serif"/>
          <w:b w:val="false"/>
          <w:sz w:val="20"/>
        </w:rPr>
        <w:t>In January 2023, the Company announced a plan to reduce its workforce by up to 150</w:t>
      </w:r>
      <w:r>
        <w:rPr>
          <w:rFonts w:ascii="Times New Roman" w:hAnsi="Times New Roman"/>
          <w:sz w:val="20"/>
        </w:rPr>
        <w:t xml:space="preserve"> </w:t>
      </w:r>
      <w:r>
        <w:rPr>
          <w:rFonts w:ascii="Arial;sans-serif" w:hAnsi="Arial;sans-serif"/>
          <w:b w:val="false"/>
          <w:sz w:val="20"/>
        </w:rPr>
        <w:t>employees, representing approximately 17% of the Company's current global workforce. The reduction in workforce ("RIF") is intended to refocus the Company's operations to support its ongoing business prioritization efforts, better align resources, and improve operational efficiencies. In connection with the RIF, the Company incurred a one-time charge of approximately $3</w:t>
      </w:r>
      <w:r>
        <w:rPr>
          <w:rFonts w:ascii="Times New Roman" w:hAnsi="Times New Roman"/>
          <w:sz w:val="20"/>
        </w:rPr>
        <w:t xml:space="preserve"> </w:t>
      </w:r>
      <w:r>
        <w:rPr>
          <w:rFonts w:ascii="Arial;sans-serif" w:hAnsi="Arial;sans-serif"/>
          <w:b w:val="false"/>
          <w:sz w:val="20"/>
        </w:rPr>
        <w:t>million in severance and other personnel reduction costs. The Company expects that the implementation of the RIF to be substantially complete by the end of the second quarter of 2023.</w:t>
      </w:r>
    </w:p>
    <w:p>
      <w:pPr>
        <w:pStyle w:val="TextBody"/>
        <w:spacing w:before="180" w:after="180"/>
        <w:jc w:val="both"/>
        <w:rPr>
          <w:rFonts w:ascii="Arial;sans-serif" w:hAnsi="Arial;sans-serif"/>
          <w:b w:val="false"/>
          <w:sz w:val="20"/>
        </w:rPr>
      </w:pPr>
      <w:r>
        <w:rPr>
          <w:rFonts w:ascii="Arial;sans-serif" w:hAnsi="Arial;sans-serif"/>
          <w:b w:val="false"/>
          <w:sz w:val="20"/>
        </w:rPr>
        <w:t>The following table is a summary of the changes in severance and other personnel reduction liabilities, included within accrued liabilities on the condensed consolidated balance sheets, in connection with the RIF:</w:t>
      </w:r>
    </w:p>
    <w:tbl>
      <w:tblPr>
        <w:tblW w:w="5563" w:type="dxa"/>
        <w:jc w:val="left"/>
        <w:tblInd w:w="0" w:type="dxa"/>
        <w:tblCellMar>
          <w:top w:w="28" w:type="dxa"/>
          <w:left w:w="28" w:type="dxa"/>
          <w:bottom w:w="28" w:type="dxa"/>
          <w:right w:w="28" w:type="dxa"/>
        </w:tblCellMar>
      </w:tblPr>
      <w:tblGrid>
        <w:gridCol w:w="3976"/>
        <w:gridCol w:w="146"/>
        <w:gridCol w:w="397"/>
        <w:gridCol w:w="653"/>
        <w:gridCol w:w="39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March 31,</w:t>
              <w:br/>
              <w:t>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 at the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3"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9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Severance and other personnel reduction costs</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391" w:type="dxa"/>
            <w:tcBorders/>
            <w:shd w:fill="auto" w:val="clear"/>
            <w:vAlign w:val="center"/>
          </w:tcPr>
          <w:p>
            <w:pPr>
              <w:pStyle w:val="TableContents"/>
              <w:spacing w:before="0" w:after="0"/>
              <w:ind w:left="0" w:right="0" w:firstLine="200"/>
              <w:jc w:val="left"/>
              <w:rPr/>
            </w:pPr>
            <w:r>
              <w:rPr/>
              <w:t> </w:t>
            </w:r>
          </w:p>
        </w:tc>
      </w:tr>
      <w:tr>
        <w:trPr/>
        <w:tc>
          <w:tcPr>
            <w:tcW w:w="397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 payments during the period</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9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Balance at the end of the period</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sz w:val="20"/>
        </w:rPr>
        <w:t xml:space="preserve">NOTE 13. </w:t>
      </w:r>
      <w:r>
        <w:rPr>
          <w:rFonts w:ascii="Arial;sans-serif" w:hAnsi="Arial;sans-serif"/>
          <w:b/>
          <w:caps/>
          <w:sz w:val="20"/>
        </w:rPr>
        <w:t>SUBSEQUENT EVENTS</w:t>
      </w:r>
    </w:p>
    <w:p>
      <w:pPr>
        <w:pStyle w:val="TextBody"/>
        <w:spacing w:before="180" w:after="0"/>
        <w:jc w:val="both"/>
        <w:rPr>
          <w:rFonts w:ascii="Times New Roman" w:hAnsi="Times New Roman"/>
          <w:sz w:val="20"/>
        </w:rPr>
      </w:pPr>
      <w:r>
        <w:rPr>
          <w:rFonts w:ascii="Arial;sans-serif" w:hAnsi="Arial;sans-serif"/>
          <w:b w:val="false"/>
          <w:sz w:val="20"/>
        </w:rPr>
        <w:t>On April 20, 2023, the Company announced that its Board of Directors authorized the Company to repurchase up to $50</w:t>
      </w:r>
      <w:r>
        <w:rPr>
          <w:rFonts w:ascii="Times New Roman" w:hAnsi="Times New Roman"/>
          <w:sz w:val="20"/>
        </w:rPr>
        <w:t xml:space="preserve"> </w:t>
      </w:r>
      <w:r>
        <w:rPr>
          <w:rFonts w:ascii="Arial;sans-serif" w:hAnsi="Arial;sans-serif"/>
          <w:b w:val="false"/>
          <w:sz w:val="20"/>
        </w:rPr>
        <w:t>million of the Company’s common stock, effective through December 31, 2023.</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Under the share repurchase program, the Company may repurchase its common stock through open market transactions, in privately negotiated transactions, or by other means, including through the use of trading plans, each in accordance with applicable securities laws and other restrictions.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pStyle w:val="TextBody"/>
        <w:spacing w:before="180" w:after="0"/>
        <w:jc w:val="both"/>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1" w:name="item_2_managements_discussion_analysis_f"/>
      <w:bookmarkEnd w:id="11"/>
      <w:r>
        <w:rPr>
          <w:rFonts w:ascii="Arial;sans-serif" w:hAnsi="Arial;sans-serif"/>
          <w:b/>
          <w:sz w:val="20"/>
        </w:rPr>
        <w:t>Item 2. Management’s Discussion and Analysis of</w:t>
      </w:r>
      <w:r>
        <w:rPr>
          <w:rFonts w:ascii="Times New Roman" w:hAnsi="Times New Roman"/>
          <w:sz w:val="20"/>
        </w:rPr>
        <w:t xml:space="preserve"> </w:t>
      </w:r>
      <w:r>
        <w:rPr>
          <w:rFonts w:ascii="Arial;sans-serif" w:hAnsi="Arial;sans-serif"/>
          <w:b/>
          <w:sz w:val="20"/>
        </w:rPr>
        <w:t>Financial Condition and Results of Operations</w:t>
      </w:r>
    </w:p>
    <w:p>
      <w:pPr>
        <w:pStyle w:val="TextBody"/>
        <w:spacing w:before="180" w:after="0"/>
        <w:jc w:val="both"/>
        <w:rPr>
          <w:rFonts w:ascii="Arial;sans-serif" w:hAnsi="Arial;sans-serif"/>
          <w:b w:val="false"/>
          <w:i/>
          <w:sz w:val="20"/>
        </w:rPr>
      </w:pPr>
      <w:r>
        <w:rPr>
          <w:rFonts w:ascii="Arial;sans-serif" w:hAnsi="Arial;sans-serif"/>
          <w:b w:val="false"/>
          <w:i/>
          <w:sz w:val="20"/>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2022 included in our Annual Report on Form 10-K for the year ended December 31, 2022 (the "2022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2022 Form 10-K, as updated and supplemented by our Quarterly Reports on Form 10-Q, including in Part 2, Item 1A, the Special Note Regarding Forward-Looking Statements in this Quarterly Report on Form 10-Q, and elsewhere in this Quarterly Report on Form 10-Q.</w:t>
      </w:r>
    </w:p>
    <w:p>
      <w:pPr>
        <w:pStyle w:val="TextBody"/>
        <w:spacing w:before="180" w:after="0"/>
        <w:jc w:val="both"/>
        <w:rPr>
          <w:rFonts w:ascii="Arial;sans-serif" w:hAnsi="Arial;sans-serif"/>
          <w:b/>
          <w:sz w:val="20"/>
        </w:rPr>
      </w:pPr>
      <w:r>
        <w:rPr>
          <w:rFonts w:ascii="Arial;sans-serif" w:hAnsi="Arial;sans-serif"/>
          <w:b/>
          <w:sz w:val="20"/>
        </w:rPr>
        <w:t>Financial Results for the Three Months Ended March 31, 2023</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Total revenue was $96 million.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 xml:space="preserve">Total cost of revenue and expenses were $189 million, including stock-based compensation expense of $26 million. </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Loss from operations was $93 million.</w:t>
      </w:r>
    </w:p>
    <w:p>
      <w:pPr>
        <w:pStyle w:val="TextBody"/>
        <w:spacing w:before="90" w:after="0"/>
        <w:jc w:val="both"/>
        <w:rPr/>
      </w:pPr>
      <w:r>
        <w:rPr/>
        <w:t>•</w:t>
      </w:r>
    </w:p>
    <w:p>
      <w:pPr>
        <w:pStyle w:val="TextBody"/>
        <w:spacing w:before="90" w:after="0"/>
        <w:jc w:val="both"/>
        <w:rPr>
          <w:rFonts w:ascii="Arial;sans-serif" w:hAnsi="Arial;sans-serif"/>
          <w:b w:val="false"/>
          <w:sz w:val="20"/>
        </w:rPr>
      </w:pPr>
      <w:r>
        <w:rPr>
          <w:rFonts w:ascii="Arial;sans-serif" w:hAnsi="Arial;sans-serif"/>
          <w:b w:val="false"/>
          <w:sz w:val="20"/>
        </w:rPr>
        <w:t>Net loss was $89 million.</w:t>
      </w:r>
    </w:p>
    <w:p>
      <w:pPr>
        <w:pStyle w:val="TextBody"/>
        <w:spacing w:before="90" w:after="0"/>
        <w:jc w:val="both"/>
        <w:rPr/>
      </w:pPr>
      <w:r>
        <w:rPr/>
        <w:t>•</w:t>
      </w:r>
    </w:p>
    <w:p>
      <w:pPr>
        <w:pStyle w:val="TextBody"/>
        <w:spacing w:before="90" w:after="283"/>
        <w:jc w:val="both"/>
        <w:rPr>
          <w:rFonts w:ascii="Arial;sans-serif" w:hAnsi="Arial;sans-serif"/>
          <w:b w:val="false"/>
          <w:sz w:val="20"/>
        </w:rPr>
      </w:pPr>
      <w:r>
        <w:rPr>
          <w:rFonts w:ascii="Arial;sans-serif" w:hAnsi="Arial;sans-serif"/>
          <w:b w:val="false"/>
          <w:sz w:val="20"/>
        </w:rPr>
        <w:t>Cash and cash equivalents and marketable securities were $627 million.</w:t>
      </w:r>
    </w:p>
    <w:p>
      <w:pPr>
        <w:pStyle w:val="TextBody"/>
        <w:spacing w:before="180" w:after="0"/>
        <w:jc w:val="both"/>
        <w:rPr>
          <w:rFonts w:ascii="Arial;sans-serif" w:hAnsi="Arial;sans-serif"/>
          <w:b w:val="false"/>
          <w:sz w:val="20"/>
        </w:rPr>
      </w:pPr>
      <w:r>
        <w:rPr>
          <w:rFonts w:ascii="Arial;sans-serif" w:hAnsi="Arial;sans-serif"/>
          <w:b w:val="false"/>
          <w:sz w:val="20"/>
        </w:rPr>
        <w:t>As of March 31, 2023, we had an accumulated deficit of $3.0 billion. We expect losses from operations to continue for the foreseeable future as we incur costs and expenses related to brand development, expansion of market share, and continued development of our mobile shopping marketplace infrastructure.</w:t>
      </w:r>
    </w:p>
    <w:p>
      <w:pPr>
        <w:pStyle w:val="TextBody"/>
        <w:spacing w:before="180" w:after="0"/>
        <w:jc w:val="both"/>
        <w:rPr>
          <w:rFonts w:ascii="Arial;sans-serif" w:hAnsi="Arial;sans-serif"/>
          <w:b/>
          <w:sz w:val="20"/>
        </w:rPr>
      </w:pPr>
      <w:r>
        <w:rPr>
          <w:rFonts w:ascii="Arial;sans-serif" w:hAnsi="Arial;sans-serif"/>
          <w:b/>
          <w:sz w:val="20"/>
        </w:rPr>
        <w:t>Global Considerations</w:t>
      </w:r>
    </w:p>
    <w:p>
      <w:pPr>
        <w:pStyle w:val="TextBody"/>
        <w:spacing w:before="180" w:after="0"/>
        <w:jc w:val="both"/>
        <w:rPr>
          <w:rFonts w:ascii="Arial;sans-serif" w:hAnsi="Arial;sans-serif"/>
          <w:b w:val="false"/>
          <w:sz w:val="20"/>
        </w:rPr>
      </w:pPr>
      <w:r>
        <w:rPr>
          <w:rFonts w:ascii="Arial;sans-serif" w:hAnsi="Arial;sans-serif"/>
          <w:b w:val="false"/>
          <w:sz w:val="20"/>
        </w:rPr>
        <w:t>We are monitoring the recent volatility in the global financial markets, including inflation, instability in the banking sector, and rising interest rates. These developments could continue to negatively impact global economic activity and consumer behavior, which may adversely affect our business and our results of operations. As our customers react to these global economic conditions, we may take additional precautionary measures to limit or delay expenditures and preserve capital and liquidity.</w:t>
      </w:r>
    </w:p>
    <w:p>
      <w:pPr>
        <w:pStyle w:val="TextBody"/>
        <w:spacing w:before="180" w:after="0"/>
        <w:jc w:val="both"/>
        <w:rPr>
          <w:rFonts w:ascii="Arial;sans-serif" w:hAnsi="Arial;sans-serif"/>
          <w:b/>
          <w:sz w:val="20"/>
        </w:rPr>
      </w:pPr>
      <w:r>
        <w:rPr>
          <w:rFonts w:ascii="Arial;sans-serif" w:hAnsi="Arial;sans-serif"/>
          <w:b/>
          <w:sz w:val="20"/>
        </w:rPr>
        <w:t>January 2023 Reduction in Workforce</w:t>
      </w:r>
    </w:p>
    <w:p>
      <w:pPr>
        <w:pStyle w:val="TextBody"/>
        <w:spacing w:before="180" w:after="0"/>
        <w:jc w:val="both"/>
        <w:rPr>
          <w:rFonts w:ascii="Arial;sans-serif" w:hAnsi="Arial;sans-serif"/>
          <w:b w:val="false"/>
          <w:sz w:val="20"/>
        </w:rPr>
      </w:pPr>
      <w:r>
        <w:rPr>
          <w:rFonts w:ascii="Arial;sans-serif" w:hAnsi="Arial;sans-serif"/>
          <w:b w:val="false"/>
          <w:sz w:val="20"/>
        </w:rPr>
        <w:t>In January 2023, we announced a plan to further reduce our workforce by up to an additional 150 employees, representing approximately 17% of our then global workforce. The reduction in workforce ("RIF") is intended to refocus our operations to support our ongoing business prioritization efforts, better align resources, and improve operational efficiencies. In connection with the RIF, we incurred a one-time charge of approximately $3 million consisting of severance and other personnel reduction costs. We expect that the implementation of the RIF will be substantially complete by the end of the second quarter of 2023.</w:t>
      </w:r>
    </w:p>
    <w:p>
      <w:pPr>
        <w:pStyle w:val="TextBody"/>
        <w:spacing w:before="180" w:after="0"/>
        <w:jc w:val="both"/>
        <w:rPr>
          <w:rFonts w:ascii="Times New Roman" w:hAnsi="Times New Roman"/>
          <w:sz w:val="20"/>
        </w:rPr>
      </w:pPr>
      <w:r>
        <w:rPr>
          <w:rFonts w:ascii="Arial;sans-serif" w:hAnsi="Arial;sans-serif"/>
          <w:b/>
          <w:sz w:val="20"/>
        </w:rPr>
        <w:t>Our Financial Model</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Our business benefits from powerful network effects, fueled by our data advantage and scale. As more users join Wish, attracted by our affordable value proposition and personalized shopping experiences, we can increase revenue potential for our merchants. The successes of our merchants can then attract more merchants and broaden the product selection on Wish’s platform, which further improves user experiences. As users and merchants grow, we can generate more data, which, in turn, refines our algorithm and strengthens our data advantage. By focusing on users and merchants, we align their success with our own.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sz w:val="20"/>
        </w:rPr>
        <w:t>Key Financial and Performance Metrics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In addition to the measures presented in our condensed consolidated financial statements, we monitor the following key metrics and other financial information to measure our performance, identify trends affecting our business, and make strategic decisions.</w:t>
      </w:r>
    </w:p>
    <w:p>
      <w:pPr>
        <w:pStyle w:val="TextBody"/>
        <w:spacing w:before="0" w:after="0"/>
        <w:jc w:val="both"/>
        <w:rPr/>
      </w:pPr>
      <w:r>
        <w:rPr/>
        <w:t> </w:t>
      </w:r>
    </w:p>
    <w:tbl>
      <w:tblPr>
        <w:tblW w:w="5532" w:type="dxa"/>
        <w:jc w:val="left"/>
        <w:tblInd w:w="0" w:type="dxa"/>
        <w:tblCellMar>
          <w:top w:w="28" w:type="dxa"/>
          <w:left w:w="28" w:type="dxa"/>
          <w:bottom w:w="28" w:type="dxa"/>
          <w:right w:w="28" w:type="dxa"/>
        </w:tblCellMar>
      </w:tblPr>
      <w:tblGrid>
        <w:gridCol w:w="2311"/>
        <w:gridCol w:w="146"/>
        <w:gridCol w:w="320"/>
        <w:gridCol w:w="570"/>
        <w:gridCol w:w="524"/>
        <w:gridCol w:w="221"/>
        <w:gridCol w:w="320"/>
        <w:gridCol w:w="729"/>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4"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1" w:type="dxa"/>
            <w:tcBorders/>
            <w:shd w:fill="auto" w:val="clear"/>
            <w:vAlign w:val="center"/>
          </w:tcPr>
          <w:p>
            <w:pPr>
              <w:pStyle w:val="TableContents"/>
              <w:spacing w:before="0" w:after="0"/>
              <w:ind w:left="0" w:right="0" w:hanging="0"/>
              <w:jc w:val="center"/>
              <w:rPr/>
            </w:pPr>
            <w:r>
              <w:rPr/>
              <w:t> </w:t>
            </w:r>
          </w:p>
        </w:tc>
        <w:tc>
          <w:tcPr>
            <w:tcW w:w="104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4"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 except percentages)</w:t>
            </w:r>
          </w:p>
        </w:tc>
        <w:tc>
          <w:tcPr>
            <w:tcW w:w="3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MAU</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524"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2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3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LTM Active Buyers</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524"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2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3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52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21"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52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21" w:type="dxa"/>
            <w:tcBorders/>
            <w:shd w:fill="auto" w:val="clear"/>
            <w:vAlign w:val="center"/>
          </w:tcPr>
          <w:p>
            <w:pPr>
              <w:pStyle w:val="TableContents"/>
              <w:spacing w:before="0" w:after="0"/>
              <w:ind w:left="0" w:right="0" w:hanging="0"/>
              <w:jc w:val="righ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2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3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7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52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21"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w:t>
            </w:r>
          </w:p>
        </w:tc>
        <w:tc>
          <w:tcPr>
            <w:tcW w:w="3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Times New Roman" w:hAnsi="Times New Roman"/>
          <w:sz w:val="20"/>
        </w:rPr>
      </w:pPr>
      <w:r>
        <w:rPr>
          <w:rFonts w:ascii="Arial;sans-serif" w:hAnsi="Arial;sans-serif"/>
          <w:b/>
          <w:sz w:val="20"/>
        </w:rPr>
        <w:t>Monthly Active Users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MAUs decreased approximately 48% from the three months ended March 31, 2023 compared to the three months ended March 31, 2022. We believe this decline was primarily driven by our decision to significantly reduce our digital advertising expenditures.</w:t>
      </w:r>
    </w:p>
    <w:p>
      <w:pPr>
        <w:pStyle w:val="TextBody"/>
        <w:spacing w:before="180" w:after="0"/>
        <w:jc w:val="both"/>
        <w:rPr>
          <w:rFonts w:ascii="Times New Roman" w:hAnsi="Times New Roman"/>
          <w:sz w:val="20"/>
        </w:rPr>
      </w:pPr>
      <w:r>
        <w:rPr>
          <w:rFonts w:ascii="Arial;sans-serif" w:hAnsi="Arial;sans-serif"/>
          <w:b/>
          <w:sz w:val="20"/>
        </w:rPr>
        <w:t>LTM Active Buyers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LTM Active Buyers decreased approximately 57% from the three months ended March 31, 2023 compared to the three months ended March 31, 2022. We believe this decline was primarily driven by lower MAUs which was driven by reduced digital advertising expenditures.</w:t>
      </w:r>
    </w:p>
    <w:p>
      <w:pPr>
        <w:pStyle w:val="TextBody"/>
        <w:spacing w:before="180" w:after="0"/>
        <w:jc w:val="both"/>
        <w:rPr>
          <w:rFonts w:ascii="Arial;sans-serif" w:hAnsi="Arial;sans-serif"/>
          <w:b/>
          <w:sz w:val="20"/>
        </w:rPr>
      </w:pPr>
      <w:r>
        <w:rPr>
          <w:rFonts w:ascii="Arial;sans-serif" w:hAnsi="Arial;sans-serif"/>
          <w:b/>
          <w:sz w:val="20"/>
        </w:rPr>
        <w:t>A Note About Metrics</w:t>
      </w:r>
    </w:p>
    <w:p>
      <w:pPr>
        <w:pStyle w:val="TextBody"/>
        <w:spacing w:before="180" w:after="0"/>
        <w:jc w:val="both"/>
        <w:rPr>
          <w:rFonts w:ascii="Arial;sans-serif" w:hAnsi="Arial;sans-serif"/>
          <w:b w:val="false"/>
          <w:sz w:val="20"/>
        </w:rPr>
      </w:pPr>
      <w:r>
        <w:rPr>
          <w:rFonts w:ascii="Arial;sans-serif" w:hAnsi="Arial;sans-serif"/>
          <w:b w:val="false"/>
          <w:sz w:val="20"/>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pStyle w:val="TextBody"/>
        <w:spacing w:before="24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Arial;sans-serif" w:hAnsi="Arial;sans-serif"/>
          <w:b/>
          <w:sz w:val="20"/>
        </w:rPr>
        <w:t>Non-U.S. GAAP Financial Measures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Adjusted EBITDA and Adjusted EBITDA Margin</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We provide Adjusted EBITDA, a non-GAAP financial measure that represents our loss before interest and other income, net (which includes foreign exchange gain or loss and other non-operating income and expenses), income tax expense, and depreciation and amortization, adjusted to eliminate stock-based compensation expense, lease termination and impairment related expenses, restructuring and other discrete charges,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pStyle w:val="TextBody"/>
        <w:spacing w:before="180" w:after="0"/>
        <w:jc w:val="both"/>
        <w:rPr>
          <w:rFonts w:ascii="Arial;sans-serif" w:hAnsi="Arial;sans-serif"/>
          <w:b w:val="false"/>
          <w:sz w:val="20"/>
        </w:rPr>
      </w:pPr>
      <w:r>
        <w:rPr>
          <w:rFonts w:ascii="Arial;sans-serif" w:hAnsi="Arial;sans-serif"/>
          <w:b w:val="false"/>
          <w:sz w:val="20"/>
        </w:rPr>
        <w:t>We have included Adjusted EBITDA and Adjusted EBITDA Margin in this report because they are key measures used by our management and the Board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pStyle w:val="TextBody"/>
        <w:spacing w:before="180" w:after="0"/>
        <w:jc w:val="both"/>
        <w:rPr>
          <w:rFonts w:ascii="Arial;sans-serif" w:hAnsi="Arial;sans-serif"/>
          <w:b w:val="false"/>
          <w:sz w:val="20"/>
        </w:rPr>
      </w:pPr>
      <w:r>
        <w:rPr>
          <w:rFonts w:ascii="Arial;sans-serif" w:hAnsi="Arial;sans-serif"/>
          <w:b w:val="false"/>
          <w:sz w:val="20"/>
        </w:rPr>
        <w:t>Adjusted EBITDA has limitations as an analytical measure, and you should not consider it in isolation or as a substitute for analysis of our results as reported under U.S. GAAP. Some of these limitations are:</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Adjusted EBITDA does not reflect changes in, or cash requirements for, our working capital needs;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Adjusted EBITDA does not consider the impact of stock-based compensation and related payroll taxes;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Adjusted EBITDA does not reflect tax payments that may represent a reduction in cash available to us;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other companies, including companies in our industry, may calculate Adjusted EBITDA differently, which reduces its usefulness as a comparative measure.</w:t>
      </w:r>
    </w:p>
    <w:p>
      <w:pPr>
        <w:pStyle w:val="TextBody"/>
        <w:spacing w:before="180" w:after="0"/>
        <w:jc w:val="both"/>
        <w:rPr>
          <w:rFonts w:ascii="Arial;sans-serif" w:hAnsi="Arial;sans-serif"/>
          <w:b w:val="false"/>
          <w:sz w:val="20"/>
        </w:rPr>
      </w:pPr>
      <w:r>
        <w:rPr>
          <w:rFonts w:ascii="Arial;sans-serif" w:hAnsi="Arial;sans-serif"/>
          <w:b w:val="false"/>
          <w:sz w:val="20"/>
        </w:rPr>
        <w:t>Because of these limitations, you should consider Adjusted EBITDA and Adjusted EBITDA Margin alongside other financial performance measures, including various cash flow metrics, net loss and our other U.S. GAAP results.</w:t>
      </w:r>
    </w:p>
    <w:p>
      <w:pPr>
        <w:pStyle w:val="TextBody"/>
        <w:spacing w:before="24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r>
        <w:rPr/>
        <w:t> </w:t>
      </w:r>
    </w:p>
    <w:p>
      <w:pPr>
        <w:pStyle w:val="TextBody"/>
        <w:spacing w:before="180" w:after="180"/>
        <w:jc w:val="both"/>
        <w:rPr>
          <w:rFonts w:ascii="Arial;sans-serif" w:hAnsi="Arial;sans-serif"/>
          <w:b w:val="false"/>
          <w:sz w:val="20"/>
        </w:rPr>
      </w:pPr>
      <w:r>
        <w:rPr>
          <w:rFonts w:ascii="Arial;sans-serif" w:hAnsi="Arial;sans-serif"/>
          <w:b w:val="false"/>
          <w:sz w:val="20"/>
        </w:rPr>
        <w:t>The following table reflects the reconciliation of net loss to Adjusted EBITDA and net loss as a percentage of revenue to Adjusted EBITDA margin for each of the periods indicated:</w:t>
      </w:r>
    </w:p>
    <w:tbl>
      <w:tblPr>
        <w:tblW w:w="10205" w:type="dxa"/>
        <w:jc w:val="left"/>
        <w:tblInd w:w="0" w:type="dxa"/>
        <w:tblCellMar>
          <w:top w:w="28" w:type="dxa"/>
          <w:left w:w="28" w:type="dxa"/>
          <w:bottom w:w="28" w:type="dxa"/>
          <w:right w:w="28" w:type="dxa"/>
        </w:tblCellMar>
      </w:tblPr>
      <w:tblGrid>
        <w:gridCol w:w="6615"/>
        <w:gridCol w:w="146"/>
        <w:gridCol w:w="278"/>
        <w:gridCol w:w="495"/>
        <w:gridCol w:w="1011"/>
        <w:gridCol w:w="192"/>
        <w:gridCol w:w="278"/>
        <w:gridCol w:w="555"/>
        <w:gridCol w:w="635"/>
      </w:tblGrid>
      <w:tr>
        <w:trPr/>
        <w:tc>
          <w:tcPr>
            <w:tcW w:w="66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661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9"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635" w:type="dxa"/>
            <w:tcBorders/>
            <w:shd w:fill="auto" w:val="clear"/>
            <w:vAlign w:val="center"/>
          </w:tcPr>
          <w:p>
            <w:pPr>
              <w:pStyle w:val="TableContents"/>
              <w:spacing w:before="0" w:after="0"/>
              <w:ind w:left="0" w:right="0" w:hanging="0"/>
              <w:jc w:val="center"/>
              <w:rPr/>
            </w:pPr>
            <w:r>
              <w:rPr/>
              <w:t> </w:t>
            </w:r>
          </w:p>
        </w:tc>
      </w:tr>
      <w:tr>
        <w:trPr/>
        <w:tc>
          <w:tcPr>
            <w:tcW w:w="661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9"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635" w:type="dxa"/>
            <w:tcBorders/>
            <w:shd w:fill="auto" w:val="clear"/>
            <w:vAlign w:val="center"/>
          </w:tcPr>
          <w:p>
            <w:pPr>
              <w:pStyle w:val="TableContents"/>
              <w:spacing w:before="0" w:after="0"/>
              <w:ind w:left="0" w:right="0" w:hanging="0"/>
              <w:jc w:val="center"/>
              <w:rPr/>
            </w:pPr>
            <w:r>
              <w:rPr/>
              <w:t> </w:t>
            </w:r>
          </w:p>
        </w:tc>
      </w:tr>
      <w:tr>
        <w:trPr/>
        <w:tc>
          <w:tcPr>
            <w:tcW w:w="661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101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w:t>
            </w:r>
          </w:p>
        </w:tc>
        <w:tc>
          <w:tcPr>
            <w:tcW w:w="635" w:type="dxa"/>
            <w:tcBorders/>
            <w:shd w:fill="auto" w:val="clear"/>
            <w:vAlign w:val="center"/>
          </w:tcPr>
          <w:p>
            <w:pPr>
              <w:pStyle w:val="TableContents"/>
              <w:spacing w:before="0" w:after="0"/>
              <w:ind w:left="0" w:right="0" w:hanging="0"/>
              <w:jc w:val="left"/>
              <w:rPr/>
            </w:pPr>
            <w:r>
              <w:rPr/>
              <w:t> </w:t>
            </w:r>
          </w:p>
        </w:tc>
      </w:tr>
      <w:tr>
        <w:trPr/>
        <w:tc>
          <w:tcPr>
            <w:tcW w:w="661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10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6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61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 as a percentage of revenue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0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63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61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Excluding:</w:t>
            </w:r>
          </w:p>
        </w:tc>
        <w:tc>
          <w:tcPr>
            <w:tcW w:w="146" w:type="dxa"/>
            <w:tcBorders/>
            <w:shd w:fill="auto" w:val="clear"/>
            <w:vAlign w:val="center"/>
          </w:tcPr>
          <w:p>
            <w:pPr>
              <w:pStyle w:val="TableContents"/>
              <w:spacing w:before="0" w:after="0"/>
              <w:ind w:left="0" w:right="0" w:hanging="0"/>
              <w:jc w:val="left"/>
              <w:rPr/>
            </w:pPr>
            <w:r>
              <w:rPr/>
              <w:t> </w:t>
            </w:r>
          </w:p>
        </w:tc>
        <w:tc>
          <w:tcPr>
            <w:tcW w:w="773"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3" w:type="dxa"/>
            <w:gridSpan w:val="2"/>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firstLine="280"/>
              <w:jc w:val="left"/>
              <w:rPr/>
            </w:pPr>
            <w:r>
              <w:rPr/>
              <w:t> </w:t>
            </w:r>
          </w:p>
        </w:tc>
      </w:tr>
      <w:tr>
        <w:trPr/>
        <w:tc>
          <w:tcPr>
            <w:tcW w:w="661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Interest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0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635"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615"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01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635" w:type="dxa"/>
            <w:tcBorders/>
            <w:shd w:fill="auto" w:val="clear"/>
            <w:vAlign w:val="center"/>
          </w:tcPr>
          <w:p>
            <w:pPr>
              <w:pStyle w:val="TableContents"/>
              <w:spacing w:before="0" w:after="0"/>
              <w:ind w:left="0" w:right="0" w:firstLine="280"/>
              <w:jc w:val="left"/>
              <w:rPr/>
            </w:pPr>
            <w:r>
              <w:rPr/>
              <w:t> </w:t>
            </w:r>
          </w:p>
        </w:tc>
      </w:tr>
      <w:tr>
        <w:trPr/>
        <w:tc>
          <w:tcPr>
            <w:tcW w:w="6615"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Stock-based compensation expense and related employer payroll taxes</w:t>
            </w:r>
            <w:r>
              <w:rPr>
                <w:rFonts w:ascii="Arial;sans-serif" w:hAnsi="Arial;sans-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01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635"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615" w:type="dxa"/>
            <w:tcBorders/>
            <w:shd w:fill="auto" w:val="clear"/>
            <w:vAlign w:val="center"/>
          </w:tcPr>
          <w:p>
            <w:pPr>
              <w:pStyle w:val="TableContents"/>
              <w:spacing w:before="0" w:after="0"/>
              <w:ind w:left="0" w:right="0" w:firstLine="280"/>
              <w:jc w:val="left"/>
              <w:rPr>
                <w:rFonts w:ascii="Times New Roman" w:hAnsi="Times New Roman"/>
                <w:sz w:val="20"/>
              </w:rPr>
            </w:pPr>
            <w:r>
              <w:rPr>
                <w:rFonts w:ascii="Arial;sans-serif" w:hAnsi="Arial;sans-serif"/>
                <w:b w:val="false"/>
                <w:sz w:val="20"/>
              </w:rPr>
              <w:t>Restructuring and other discrete items</w:t>
            </w:r>
            <w:r>
              <w:rPr>
                <w:rFonts w:ascii="Arial;sans-serif" w:hAnsi="Arial;sans-serif"/>
                <w:b w:val="false"/>
                <w:sz w:val="13"/>
              </w:rPr>
              <w:t>(3)</w:t>
            </w:r>
          </w:p>
        </w:tc>
        <w:tc>
          <w:tcPr>
            <w:tcW w:w="146" w:type="dxa"/>
            <w:tcBorders/>
            <w:shd w:fill="auto" w:val="clear"/>
            <w:vAlign w:val="center"/>
          </w:tcPr>
          <w:p>
            <w:pPr>
              <w:pStyle w:val="TableContents"/>
              <w:spacing w:before="0" w:after="0"/>
              <w:ind w:left="28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011"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635" w:type="dxa"/>
            <w:tcBorders/>
            <w:shd w:fill="auto" w:val="clear"/>
            <w:vAlign w:val="center"/>
          </w:tcPr>
          <w:p>
            <w:pPr>
              <w:pStyle w:val="TableContents"/>
              <w:spacing w:before="0" w:after="0"/>
              <w:ind w:left="0" w:right="0" w:firstLine="280"/>
              <w:jc w:val="left"/>
              <w:rPr/>
            </w:pPr>
            <w:r>
              <w:rPr/>
              <w:t> </w:t>
            </w:r>
          </w:p>
        </w:tc>
      </w:tr>
      <w:tr>
        <w:trPr/>
        <w:tc>
          <w:tcPr>
            <w:tcW w:w="6615"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Adjusted EBITDA</w:t>
            </w:r>
          </w:p>
        </w:tc>
        <w:tc>
          <w:tcPr>
            <w:tcW w:w="146" w:type="dxa"/>
            <w:tcBorders/>
            <w:shd w:fill="auto" w:val="clear"/>
            <w:vAlign w:val="center"/>
          </w:tcPr>
          <w:p>
            <w:pPr>
              <w:pStyle w:val="TableContents"/>
              <w:spacing w:before="0" w:after="0"/>
              <w:ind w:left="280" w:right="0" w:hanging="0"/>
              <w:jc w:val="left"/>
              <w:rPr/>
            </w:pPr>
            <w:r>
              <w:rPr/>
              <w:t> </w:t>
            </w:r>
          </w:p>
        </w:tc>
        <w:tc>
          <w:tcPr>
            <w:tcW w:w="27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10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63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r>
      <w:tr>
        <w:trPr/>
        <w:tc>
          <w:tcPr>
            <w:tcW w:w="6615" w:type="dxa"/>
            <w:tcBorders/>
            <w:shd w:fill="auto" w:val="cle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Adjusted EBITDA margin</w:t>
            </w:r>
          </w:p>
        </w:tc>
        <w:tc>
          <w:tcPr>
            <w:tcW w:w="146" w:type="dxa"/>
            <w:tcBorders/>
            <w:shd w:fill="auto" w:val="clear"/>
            <w:vAlign w:val="center"/>
          </w:tcPr>
          <w:p>
            <w:pPr>
              <w:pStyle w:val="TableContents"/>
              <w:spacing w:before="0" w:after="0"/>
              <w:ind w:left="42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20"/>
              <w:jc w:val="lef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42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both"/>
        <w:rPr/>
      </w:pPr>
      <w:r>
        <w:rPr/>
        <w:t> </w:t>
      </w:r>
    </w:p>
    <w:p>
      <w:pPr>
        <w:pStyle w:val="TextBody"/>
        <w:spacing w:before="120" w:after="0"/>
        <w:jc w:val="both"/>
        <w:rPr>
          <w:rFonts w:ascii="Arial" w:hAnsi="Arial"/>
          <w:b w:val="false"/>
          <w:sz w:val="16"/>
        </w:rPr>
      </w:pPr>
      <w:r>
        <w:rPr>
          <w:rFonts w:ascii="Arial" w:hAnsi="Arial"/>
          <w:b w:val="false"/>
          <w:sz w:val="16"/>
        </w:rPr>
        <w:t>(1)</w:t>
      </w:r>
    </w:p>
    <w:p>
      <w:pPr>
        <w:pStyle w:val="TextBody"/>
        <w:spacing w:before="120" w:after="0"/>
        <w:jc w:val="both"/>
        <w:rPr>
          <w:rFonts w:ascii="Arial;sans-serif" w:hAnsi="Arial;sans-serif"/>
          <w:b w:val="false"/>
          <w:sz w:val="16"/>
        </w:rPr>
      </w:pPr>
      <w:r>
        <w:rPr>
          <w:rFonts w:ascii="Arial;sans-serif" w:hAnsi="Arial;sans-serif"/>
          <w:b w:val="false"/>
          <w:sz w:val="16"/>
        </w:rPr>
        <w:t>Total amount for the three months ended March 31, 2023 consisted of $26 million of stock-based compensation expense and $1 million of related employer payroll taxes. Total amount for the three months ended March 31, 2022 consisted of negative $2 million of stock-based compensation expense and an immaterial amount of related employer payroll taxes.</w:t>
      </w:r>
    </w:p>
    <w:p>
      <w:pPr>
        <w:pStyle w:val="TextBody"/>
        <w:spacing w:before="120" w:after="0"/>
        <w:jc w:val="both"/>
        <w:rPr>
          <w:rFonts w:ascii="Arial" w:hAnsi="Arial"/>
          <w:b w:val="false"/>
          <w:sz w:val="16"/>
        </w:rPr>
      </w:pPr>
      <w:r>
        <w:rPr>
          <w:rFonts w:ascii="Arial" w:hAnsi="Arial"/>
          <w:b w:val="false"/>
          <w:sz w:val="16"/>
        </w:rPr>
        <w:t>(2)</w:t>
      </w:r>
    </w:p>
    <w:p>
      <w:pPr>
        <w:pStyle w:val="TextBody"/>
        <w:spacing w:before="120" w:after="0"/>
        <w:jc w:val="both"/>
        <w:rPr>
          <w:rFonts w:ascii="Arial;sans-serif" w:hAnsi="Arial;sans-serif"/>
          <w:b w:val="false"/>
          <w:sz w:val="16"/>
        </w:rPr>
      </w:pPr>
      <w:r>
        <w:rPr>
          <w:rFonts w:ascii="Arial;sans-serif" w:hAnsi="Arial;sans-serif"/>
          <w:b w:val="false"/>
          <w:sz w:val="16"/>
        </w:rPr>
        <w:t>Total stock-based compensation for the three months ended March 31, 2023 increased by $28 million compared to the three months ended March 31, 2022 primarily due to: (i) accelerated vesting of the Company's former Chief Product Officer and Chief Administrative Officer's RSUs upon their departures in accordance to their separation agreements during the first quarter of 2023, and (ii) forfeitures originating from the resignation of the Company’s former CEO (Piotr Szulcewski), and modifications to the Company’s former Executive Chair’s equity awards during the first quarter of 2022.</w:t>
      </w:r>
    </w:p>
    <w:p>
      <w:pPr>
        <w:pStyle w:val="TextBody"/>
        <w:spacing w:before="120" w:after="0"/>
        <w:jc w:val="both"/>
        <w:rPr>
          <w:rFonts w:ascii="Arial" w:hAnsi="Arial"/>
          <w:b w:val="false"/>
          <w:sz w:val="16"/>
        </w:rPr>
      </w:pPr>
      <w:r>
        <w:rPr>
          <w:rFonts w:ascii="Arial" w:hAnsi="Arial"/>
          <w:b w:val="false"/>
          <w:sz w:val="16"/>
        </w:rPr>
        <w:t>(3)</w:t>
      </w:r>
    </w:p>
    <w:p>
      <w:pPr>
        <w:pStyle w:val="TextBody"/>
        <w:spacing w:before="120" w:after="283"/>
        <w:jc w:val="both"/>
        <w:rPr>
          <w:rFonts w:ascii="Arial;sans-serif" w:hAnsi="Arial;sans-serif"/>
          <w:b w:val="false"/>
          <w:sz w:val="16"/>
        </w:rPr>
      </w:pPr>
      <w:r>
        <w:rPr>
          <w:rFonts w:ascii="Arial;sans-serif" w:hAnsi="Arial;sans-serif"/>
          <w:b w:val="false"/>
          <w:sz w:val="16"/>
        </w:rPr>
        <w:t>Total amount for the three months ended March 31, 2023 consisted of $3 million of employee severance and other personnel reduction costs. Total amount for three months ended March 31, 2022 included a $15 million one-time discretionary cash bonus paid to select employees to cover their respective tax obligations triggered by the settlement of their RSUs that vested upon the Company’s initial public offering (“IPO”) as well as restructuring charges consisting of $3 million of severance and other personnel reduction costs and $4 million in impairment of lease assets and property and equipment.</w:t>
      </w:r>
    </w:p>
    <w:p>
      <w:pPr>
        <w:pStyle w:val="TextBody"/>
        <w:spacing w:before="180" w:after="0"/>
        <w:jc w:val="both"/>
        <w:rPr>
          <w:rFonts w:ascii="Times New Roman" w:hAnsi="Times New Roman"/>
          <w:sz w:val="20"/>
        </w:rPr>
      </w:pPr>
      <w:r>
        <w:rPr>
          <w:rFonts w:ascii="Arial;sans-serif" w:hAnsi="Arial;sans-serif"/>
          <w:b/>
          <w:i/>
          <w:sz w:val="20"/>
        </w:rPr>
        <w:t>Free Cash Flow</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We also provide Free Cash Flow, a non-GAAP financial measure that represents net cash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pStyle w:val="TextBody"/>
        <w:spacing w:before="180" w:after="0"/>
        <w:jc w:val="both"/>
        <w:rPr>
          <w:rFonts w:ascii="Arial;sans-serif" w:hAnsi="Arial;sans-serif"/>
          <w:b w:val="false"/>
          <w:sz w:val="20"/>
        </w:rPr>
      </w:pPr>
      <w:r>
        <w:rPr>
          <w:rFonts w:ascii="Arial;sans-serif" w:hAnsi="Arial;sans-serif"/>
          <w:b w:val="false"/>
          <w:sz w:val="20"/>
        </w:rPr>
        <w:t>Free Cash Flow has limitations as an analytical measure, and you should not consider it in isolation or as a substitute for analysis of our results as reported under U.S. GAAP. Some of these limitations are:</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it is not a substitute for net cash provided by (used in) operating activities;</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other companies may calculate Free Cash Flow or similarly titled non-U.S. GAAP measures differently or may use other measures to evaluate their performance, all of which could reduce the usefulness of free cash flow as a tool for comparison;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the utility of Free Cash Flow is further limited as it does not reflect our future contractual commitments and does not represent the total increase or decrease in our cash balance for any given period.</w:t>
      </w:r>
    </w:p>
    <w:p>
      <w:pPr>
        <w:pStyle w:val="TextBody"/>
        <w:spacing w:before="180" w:after="0"/>
        <w:jc w:val="both"/>
        <w:rPr>
          <w:rFonts w:ascii="Arial;sans-serif" w:hAnsi="Arial;sans-serif"/>
          <w:b w:val="false"/>
          <w:sz w:val="20"/>
        </w:rPr>
      </w:pPr>
      <w:r>
        <w:rPr>
          <w:rFonts w:ascii="Arial;sans-serif" w:hAnsi="Arial;sans-serif"/>
          <w:b w:val="false"/>
          <w:sz w:val="20"/>
        </w:rPr>
        <w:t>Because of these limitations, you should consider Free Cash Flow alongside other financial performance measures, such as net cash used in operating activities, net loss and our other GAAP results.</w:t>
      </w:r>
    </w:p>
    <w:p>
      <w:pPr>
        <w:pStyle w:val="TextBody"/>
        <w:spacing w:before="24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r>
        <w:rPr/>
        <w:t> </w:t>
      </w:r>
    </w:p>
    <w:p>
      <w:pPr>
        <w:pStyle w:val="TextBody"/>
        <w:spacing w:before="180" w:after="0"/>
        <w:jc w:val="left"/>
        <w:rPr>
          <w:rFonts w:ascii="Arial;sans-serif" w:hAnsi="Arial;sans-serif"/>
          <w:b w:val="false"/>
          <w:sz w:val="20"/>
        </w:rPr>
      </w:pPr>
      <w:r>
        <w:rPr>
          <w:rFonts w:ascii="Arial;sans-serif" w:hAnsi="Arial;sans-serif"/>
          <w:b w:val="false"/>
          <w:sz w:val="20"/>
        </w:rPr>
        <w:t>The following table reflects the reconciliation of net cash used in operating activities to Free Cash Flow for each of the periods indicated:</w:t>
      </w:r>
    </w:p>
    <w:tbl>
      <w:tblPr>
        <w:tblW w:w="9661" w:type="dxa"/>
        <w:jc w:val="left"/>
        <w:tblInd w:w="0" w:type="dxa"/>
        <w:tblCellMar>
          <w:top w:w="28" w:type="dxa"/>
          <w:left w:w="28" w:type="dxa"/>
          <w:bottom w:w="28" w:type="dxa"/>
          <w:right w:w="28" w:type="dxa"/>
        </w:tblCellMar>
      </w:tblPr>
      <w:tblGrid>
        <w:gridCol w:w="7006"/>
        <w:gridCol w:w="146"/>
        <w:gridCol w:w="270"/>
        <w:gridCol w:w="482"/>
        <w:gridCol w:w="212"/>
        <w:gridCol w:w="187"/>
        <w:gridCol w:w="270"/>
        <w:gridCol w:w="617"/>
        <w:gridCol w:w="471"/>
      </w:tblGrid>
      <w:tr>
        <w:trPr/>
        <w:tc>
          <w:tcPr>
            <w:tcW w:w="7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7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471" w:type="dxa"/>
            <w:tcBorders/>
            <w:shd w:fill="auto" w:val="clear"/>
            <w:vAlign w:val="center"/>
          </w:tcPr>
          <w:p>
            <w:pPr>
              <w:pStyle w:val="TableContents"/>
              <w:spacing w:before="0" w:after="0"/>
              <w:ind w:left="0" w:right="0" w:hanging="0"/>
              <w:jc w:val="center"/>
              <w:rPr/>
            </w:pPr>
            <w:r>
              <w:rPr/>
              <w:t> </w:t>
            </w:r>
          </w:p>
        </w:tc>
      </w:tr>
      <w:tr>
        <w:trPr/>
        <w:tc>
          <w:tcPr>
            <w:tcW w:w="7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71" w:type="dxa"/>
            <w:tcBorders/>
            <w:shd w:fill="auto" w:val="clear"/>
            <w:vAlign w:val="center"/>
          </w:tcPr>
          <w:p>
            <w:pPr>
              <w:pStyle w:val="TableContents"/>
              <w:spacing w:before="0" w:after="0"/>
              <w:ind w:left="0" w:right="0" w:hanging="0"/>
              <w:jc w:val="center"/>
              <w:rPr/>
            </w:pPr>
            <w:r>
              <w:rPr/>
              <w:t> </w:t>
            </w:r>
          </w:p>
        </w:tc>
      </w:tr>
      <w:tr>
        <w:trPr/>
        <w:tc>
          <w:tcPr>
            <w:tcW w:w="7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2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70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firstLine="280"/>
              <w:jc w:val="left"/>
              <w:rPr/>
            </w:pPr>
            <w:r>
              <w:rPr/>
              <w:t> </w:t>
            </w:r>
          </w:p>
        </w:tc>
      </w:tr>
      <w:tr>
        <w:trPr/>
        <w:tc>
          <w:tcPr>
            <w:tcW w:w="70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Purchases of property and equipment and development of internal-use software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700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Arial;sans-serif" w:hAnsi="Arial;sans-serif"/>
          <w:b/>
          <w:sz w:val="20"/>
        </w:rPr>
      </w:pPr>
      <w:r>
        <w:rPr>
          <w:rFonts w:ascii="Arial;sans-serif" w:hAnsi="Arial;sans-serif"/>
          <w:b/>
          <w:sz w:val="20"/>
        </w:rPr>
        <w:t>Results of Operations</w:t>
      </w:r>
    </w:p>
    <w:p>
      <w:pPr>
        <w:pStyle w:val="TextBody"/>
        <w:spacing w:before="180" w:after="0"/>
        <w:jc w:val="both"/>
        <w:rPr>
          <w:rFonts w:ascii="Times New Roman" w:hAnsi="Times New Roman"/>
          <w:sz w:val="20"/>
        </w:rPr>
      </w:pPr>
      <w:r>
        <w:rPr>
          <w:rFonts w:ascii="Arial;sans-serif" w:hAnsi="Arial;sans-serif"/>
          <w:b w:val="false"/>
          <w:sz w:val="20"/>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r>
        <w:rPr>
          <w:rFonts w:ascii="Times New Roman" w:hAnsi="Times New Roman"/>
          <w:sz w:val="20"/>
        </w:rPr>
        <w:t xml:space="preserve"> </w:t>
      </w:r>
    </w:p>
    <w:p>
      <w:pPr>
        <w:pStyle w:val="TextBody"/>
        <w:spacing w:before="0" w:after="0"/>
        <w:jc w:val="both"/>
        <w:rPr/>
      </w:pPr>
      <w:r>
        <w:rPr/>
        <w:t> </w:t>
      </w:r>
    </w:p>
    <w:tbl>
      <w:tblPr>
        <w:tblW w:w="6789" w:type="dxa"/>
        <w:jc w:val="left"/>
        <w:tblInd w:w="0" w:type="dxa"/>
        <w:tblCellMar>
          <w:top w:w="28" w:type="dxa"/>
          <w:left w:w="28" w:type="dxa"/>
          <w:bottom w:w="28" w:type="dxa"/>
          <w:right w:w="28" w:type="dxa"/>
        </w:tblCellMar>
      </w:tblPr>
      <w:tblGrid>
        <w:gridCol w:w="3776"/>
        <w:gridCol w:w="146"/>
        <w:gridCol w:w="211"/>
        <w:gridCol w:w="421"/>
        <w:gridCol w:w="706"/>
        <w:gridCol w:w="146"/>
        <w:gridCol w:w="211"/>
        <w:gridCol w:w="421"/>
        <w:gridCol w:w="751"/>
      </w:tblGrid>
      <w:tr>
        <w:trPr/>
        <w:tc>
          <w:tcPr>
            <w:tcW w:w="3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6"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751" w:type="dxa"/>
            <w:tcBorders/>
            <w:shd w:fill="auto" w:val="clear"/>
            <w:vAlign w:val="center"/>
          </w:tcPr>
          <w:p>
            <w:pPr>
              <w:pStyle w:val="TableContents"/>
              <w:spacing w:before="0" w:after="0"/>
              <w:ind w:left="0" w:right="0" w:hanging="0"/>
              <w:jc w:val="center"/>
              <w:rPr/>
            </w:pPr>
            <w:r>
              <w:rPr/>
              <w:t> </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w:t>
            </w:r>
          </w:p>
        </w:tc>
        <w:tc>
          <w:tcPr>
            <w:tcW w:w="751" w:type="dxa"/>
            <w:tcBorders/>
            <w:shd w:fill="auto" w:val="clear"/>
            <w:vAlign w:val="center"/>
          </w:tcPr>
          <w:p>
            <w:pPr>
              <w:pStyle w:val="TableContents"/>
              <w:spacing w:before="0" w:after="0"/>
              <w:ind w:left="0" w:right="0" w:hanging="0"/>
              <w:jc w:val="left"/>
              <w:rPr/>
            </w:pPr>
            <w:r>
              <w:rPr/>
              <w:t> </w:t>
            </w:r>
          </w:p>
        </w:tc>
      </w:tr>
      <w:tr>
        <w:trPr/>
        <w:tc>
          <w:tcPr>
            <w:tcW w:w="377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Cost of revenue</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70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w:t>
            </w:r>
          </w:p>
        </w:tc>
        <w:tc>
          <w:tcPr>
            <w:tcW w:w="751" w:type="dxa"/>
            <w:tcBorders/>
            <w:shd w:fill="auto" w:val="clear"/>
            <w:vAlign w:val="center"/>
          </w:tcPr>
          <w:p>
            <w:pPr>
              <w:pStyle w:val="TableContents"/>
              <w:spacing w:before="0" w:after="0"/>
              <w:ind w:left="0" w:right="0" w:hanging="0"/>
              <w:jc w:val="left"/>
              <w:rPr/>
            </w:pPr>
            <w:r>
              <w:rPr/>
              <w:t> </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Times New Roman" w:hAnsi="Times New Roman"/>
                <w:sz w:val="20"/>
              </w:rPr>
            </w:pPr>
            <w:r>
              <w:rPr>
                <w:rFonts w:ascii="Arial;sans-serif" w:hAnsi="Arial;sans-serif"/>
                <w:b w:val="false"/>
                <w:sz w:val="20"/>
              </w:rPr>
              <w:t>Sales and marketing</w:t>
            </w:r>
            <w:r>
              <w:rPr>
                <w:rFonts w:ascii="Arial;sans-serif" w:hAnsi="Arial;sans-serif"/>
                <w:b w:val="false"/>
                <w:sz w:val="13"/>
              </w:rPr>
              <w:t>(1)</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70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751" w:type="dxa"/>
            <w:tcBorders/>
            <w:shd w:fill="auto" w:val="cle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Times New Roman" w:hAnsi="Times New Roman"/>
                <w:sz w:val="20"/>
              </w:rPr>
            </w:pPr>
            <w:r>
              <w:rPr>
                <w:rFonts w:ascii="Arial;sans-serif" w:hAnsi="Arial;sans-serif"/>
                <w:b w:val="false"/>
                <w:sz w:val="20"/>
              </w:rPr>
              <w:t>Product development</w:t>
            </w:r>
            <w:r>
              <w:rPr>
                <w:rFonts w:ascii="Arial;sans-serif" w:hAnsi="Arial;sans-serif"/>
                <w:b w:val="false"/>
                <w:sz w:val="13"/>
              </w:rPr>
              <w:t>(1)</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70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751" w:type="dxa"/>
            <w:tcBorders/>
            <w:shd w:fill="auto" w:val="cle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Times New Roman" w:hAnsi="Times New Roman"/>
                <w:sz w:val="20"/>
              </w:rPr>
            </w:pPr>
            <w:r>
              <w:rPr>
                <w:rFonts w:ascii="Arial;sans-serif" w:hAnsi="Arial;sans-serif"/>
                <w:b w:val="false"/>
                <w:sz w:val="20"/>
              </w:rPr>
              <w:t>General and administrative</w:t>
            </w:r>
            <w:r>
              <w:rPr>
                <w:rFonts w:ascii="Arial;sans-serif" w:hAnsi="Arial;sans-serif"/>
                <w:b w:val="false"/>
                <w:sz w:val="13"/>
              </w:rPr>
              <w:t>(1)</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776"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Total operating expenses</w:t>
            </w:r>
          </w:p>
        </w:tc>
        <w:tc>
          <w:tcPr>
            <w:tcW w:w="146" w:type="dxa"/>
            <w:tcBorders/>
            <w:shd w:fill="auto" w:val="clear"/>
            <w:vAlign w:val="center"/>
          </w:tcPr>
          <w:p>
            <w:pPr>
              <w:pStyle w:val="TableContents"/>
              <w:spacing w:before="0" w:after="0"/>
              <w:ind w:left="56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w:t>
            </w:r>
          </w:p>
        </w:tc>
        <w:tc>
          <w:tcPr>
            <w:tcW w:w="706" w:type="dxa"/>
            <w:tcBorders/>
            <w:shd w:fill="auto" w:val="clear"/>
            <w:vAlign w:val="center"/>
          </w:tcPr>
          <w:p>
            <w:pPr>
              <w:pStyle w:val="TableContents"/>
              <w:spacing w:before="0" w:after="0"/>
              <w:ind w:left="0" w:right="0" w:firstLine="560"/>
              <w:jc w:val="left"/>
              <w:rPr/>
            </w:pPr>
            <w:r>
              <w:rPr/>
              <w:t> </w:t>
            </w:r>
          </w:p>
        </w:tc>
        <w:tc>
          <w:tcPr>
            <w:tcW w:w="146" w:type="dxa"/>
            <w:tcBorders/>
            <w:shd w:fill="auto" w:val="clear"/>
            <w:vAlign w:val="center"/>
          </w:tcPr>
          <w:p>
            <w:pPr>
              <w:pStyle w:val="TableContents"/>
              <w:spacing w:before="0" w:after="0"/>
              <w:ind w:left="56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751" w:type="dxa"/>
            <w:tcBorders/>
            <w:shd w:fill="auto" w:val="clear"/>
            <w:vAlign w:val="center"/>
          </w:tcPr>
          <w:p>
            <w:pPr>
              <w:pStyle w:val="TableContents"/>
              <w:spacing w:before="0" w:after="0"/>
              <w:ind w:left="0" w:right="0" w:hanging="0"/>
              <w:jc w:val="left"/>
              <w:rPr/>
            </w:pPr>
            <w:r>
              <w:rPr/>
              <w:t> </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7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Interest and other income, net</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77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Loss before provision for income taxes</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70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180"/>
        <w:jc w:val="both"/>
        <w:rPr>
          <w:rFonts w:ascii="Arial" w:hAnsi="Arial"/>
          <w:b w:val="false"/>
          <w:sz w:val="20"/>
        </w:rPr>
      </w:pPr>
      <w:r>
        <w:rPr>
          <w:rFonts w:ascii="Arial" w:hAnsi="Arial"/>
          <w:b w:val="false"/>
          <w:sz w:val="20"/>
        </w:rPr>
        <w:t>(1)</w:t>
      </w:r>
    </w:p>
    <w:p>
      <w:pPr>
        <w:pStyle w:val="TextBody"/>
        <w:spacing w:before="180" w:after="180"/>
        <w:jc w:val="both"/>
        <w:rPr>
          <w:rFonts w:ascii="Arial;sans-serif" w:hAnsi="Arial;sans-serif"/>
          <w:b w:val="false"/>
          <w:sz w:val="20"/>
        </w:rPr>
      </w:pPr>
      <w:r>
        <w:rPr>
          <w:rFonts w:ascii="Arial;sans-serif" w:hAnsi="Arial;sans-serif"/>
          <w:b w:val="false"/>
          <w:sz w:val="20"/>
        </w:rPr>
        <w:t xml:space="preserve">Includes stock-based compensation expense as follows: </w:t>
      </w:r>
    </w:p>
    <w:tbl>
      <w:tblPr>
        <w:tblW w:w="5630" w:type="dxa"/>
        <w:jc w:val="left"/>
        <w:tblInd w:w="0" w:type="dxa"/>
        <w:tblCellMar>
          <w:top w:w="28" w:type="dxa"/>
          <w:left w:w="28" w:type="dxa"/>
          <w:bottom w:w="28" w:type="dxa"/>
          <w:right w:w="28" w:type="dxa"/>
        </w:tblCellMar>
      </w:tblPr>
      <w:tblGrid>
        <w:gridCol w:w="2956"/>
        <w:gridCol w:w="146"/>
        <w:gridCol w:w="306"/>
        <w:gridCol w:w="458"/>
        <w:gridCol w:w="211"/>
        <w:gridCol w:w="211"/>
        <w:gridCol w:w="306"/>
        <w:gridCol w:w="545"/>
        <w:gridCol w:w="4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r>
          </w:p>
        </w:tc>
        <w:tc>
          <w:tcPr>
            <w:tcW w:w="4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21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54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r>
        <w:rPr/>
        <w:t> </w:t>
      </w:r>
    </w:p>
    <w:p>
      <w:pPr>
        <w:pStyle w:val="TextBody"/>
        <w:spacing w:before="180" w:after="180"/>
        <w:jc w:val="both"/>
        <w:rPr>
          <w:rFonts w:ascii="Times New Roman" w:hAnsi="Times New Roman"/>
          <w:sz w:val="20"/>
        </w:rPr>
      </w:pPr>
      <w:r>
        <w:rPr>
          <w:rFonts w:ascii="Arial;sans-serif" w:hAnsi="Arial;sans-serif"/>
          <w:b w:val="false"/>
          <w:sz w:val="20"/>
        </w:rPr>
        <w:t>The following table presents the components of our condensed consolidated statements of operations as a percentage of revenue:</w:t>
      </w:r>
      <w:r>
        <w:rPr>
          <w:rFonts w:ascii="Times New Roman" w:hAnsi="Times New Roman"/>
          <w:sz w:val="20"/>
        </w:rPr>
        <w:t xml:space="preserve"> </w:t>
      </w:r>
    </w:p>
    <w:tbl>
      <w:tblPr>
        <w:tblW w:w="7279" w:type="dxa"/>
        <w:jc w:val="left"/>
        <w:tblInd w:w="0" w:type="dxa"/>
        <w:tblCellMar>
          <w:top w:w="28" w:type="dxa"/>
          <w:left w:w="28" w:type="dxa"/>
          <w:bottom w:w="28" w:type="dxa"/>
          <w:right w:w="28" w:type="dxa"/>
        </w:tblCellMar>
      </w:tblPr>
      <w:tblGrid>
        <w:gridCol w:w="4056"/>
        <w:gridCol w:w="146"/>
        <w:gridCol w:w="146"/>
        <w:gridCol w:w="421"/>
        <w:gridCol w:w="906"/>
        <w:gridCol w:w="146"/>
        <w:gridCol w:w="146"/>
        <w:gridCol w:w="421"/>
        <w:gridCol w:w="891"/>
      </w:tblGrid>
      <w:tr>
        <w:trPr/>
        <w:tc>
          <w:tcPr>
            <w:tcW w:w="4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4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8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Gross profit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90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8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280"/>
              <w:jc w:val="left"/>
              <w:rPr/>
            </w:pPr>
            <w:r>
              <w:rPr/>
              <w:t> </w:t>
            </w:r>
          </w:p>
        </w:tc>
      </w:tr>
      <w:tr>
        <w:trPr/>
        <w:tc>
          <w:tcPr>
            <w:tcW w:w="405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90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8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Product development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90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8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Total operating expenses</w:t>
            </w:r>
          </w:p>
        </w:tc>
        <w:tc>
          <w:tcPr>
            <w:tcW w:w="146" w:type="dxa"/>
            <w:tcBorders/>
            <w:shd w:fill="auto" w:val="clear"/>
            <w:vAlign w:val="center"/>
          </w:tcPr>
          <w:p>
            <w:pPr>
              <w:pStyle w:val="TableContents"/>
              <w:spacing w:before="0" w:after="0"/>
              <w:ind w:left="56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118</w:t>
            </w:r>
          </w:p>
        </w:tc>
        <w:tc>
          <w:tcPr>
            <w:tcW w:w="906"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56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8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w:t>
            </w:r>
          </w:p>
        </w:tc>
        <w:tc>
          <w:tcPr>
            <w:tcW w:w="9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w:t>
            </w:r>
          </w:p>
        </w:tc>
        <w:tc>
          <w:tcPr>
            <w:tcW w:w="8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280"/>
              <w:jc w:val="left"/>
              <w:rPr/>
            </w:pPr>
            <w:r>
              <w:rPr/>
              <w:t> </w:t>
            </w:r>
          </w:p>
        </w:tc>
      </w:tr>
      <w:tr>
        <w:trPr/>
        <w:tc>
          <w:tcPr>
            <w:tcW w:w="405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Interest and other income, net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Loss before provision for income taxes</w:t>
            </w:r>
          </w:p>
        </w:tc>
        <w:tc>
          <w:tcPr>
            <w:tcW w:w="146" w:type="dxa"/>
            <w:tcBorders/>
            <w:shd w:fill="auto" w:val="clear"/>
            <w:vAlign w:val="center"/>
          </w:tcPr>
          <w:p>
            <w:pPr>
              <w:pStyle w:val="TableContents"/>
              <w:spacing w:before="0" w:after="0"/>
              <w:ind w:left="56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906"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56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89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80" w:after="0"/>
        <w:jc w:val="both"/>
        <w:rPr>
          <w:rFonts w:ascii="Arial;sans-serif" w:hAnsi="Arial;sans-serif"/>
          <w:b/>
          <w:i/>
          <w:sz w:val="20"/>
        </w:rPr>
      </w:pPr>
      <w:r>
        <w:rPr>
          <w:rFonts w:ascii="Arial;sans-serif" w:hAnsi="Arial;sans-serif"/>
          <w:b/>
          <w:i/>
          <w:sz w:val="20"/>
        </w:rPr>
        <w:t>Comparison of Three Months Ended March 31, 2023 and 2022</w:t>
      </w:r>
    </w:p>
    <w:p>
      <w:pPr>
        <w:pStyle w:val="TextBody"/>
        <w:spacing w:before="180" w:after="0"/>
        <w:jc w:val="both"/>
        <w:rPr>
          <w:rFonts w:ascii="Arial;sans-serif" w:hAnsi="Arial;sans-serif"/>
          <w:b/>
          <w:i/>
          <w:sz w:val="20"/>
        </w:rPr>
      </w:pPr>
      <w:r>
        <w:rPr>
          <w:rFonts w:ascii="Arial;sans-serif" w:hAnsi="Arial;sans-serif"/>
          <w:b/>
          <w:i/>
          <w:sz w:val="20"/>
        </w:rPr>
        <w:t>Revenue</w:t>
      </w:r>
    </w:p>
    <w:p>
      <w:pPr>
        <w:pStyle w:val="TextBody"/>
        <w:spacing w:before="0" w:after="0"/>
        <w:jc w:val="both"/>
        <w:rPr/>
      </w:pPr>
      <w:r>
        <w:rPr/>
        <w:t> </w:t>
      </w:r>
    </w:p>
    <w:tbl>
      <w:tblPr>
        <w:tblW w:w="7369" w:type="dxa"/>
        <w:jc w:val="left"/>
        <w:tblInd w:w="0" w:type="dxa"/>
        <w:tblCellMar>
          <w:top w:w="28" w:type="dxa"/>
          <w:left w:w="28" w:type="dxa"/>
          <w:bottom w:w="28" w:type="dxa"/>
          <w:right w:w="28" w:type="dxa"/>
        </w:tblCellMar>
      </w:tblPr>
      <w:tblGrid>
        <w:gridCol w:w="2521"/>
        <w:gridCol w:w="146"/>
        <w:gridCol w:w="296"/>
        <w:gridCol w:w="444"/>
        <w:gridCol w:w="205"/>
        <w:gridCol w:w="205"/>
        <w:gridCol w:w="296"/>
        <w:gridCol w:w="592"/>
        <w:gridCol w:w="146"/>
        <w:gridCol w:w="146"/>
        <w:gridCol w:w="211"/>
        <w:gridCol w:w="376"/>
        <w:gridCol w:w="166"/>
        <w:gridCol w:w="146"/>
        <w:gridCol w:w="146"/>
        <w:gridCol w:w="376"/>
        <w:gridCol w:w="95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7"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firstLine="280"/>
              <w:jc w:val="left"/>
              <w:rPr/>
            </w:pPr>
            <w:r>
              <w:rPr/>
              <w:t> </w:t>
            </w:r>
          </w:p>
        </w:tc>
      </w:tr>
      <w:tr>
        <w:trPr/>
        <w:tc>
          <w:tcPr>
            <w:tcW w:w="2521"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sz w:val="20"/>
              </w:rPr>
              <w:t>Core marketplace revenue</w:t>
            </w:r>
            <w:r>
              <w:rPr>
                <w:rFonts w:ascii="Arial;sans-serif" w:hAnsi="Arial;sans-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w:t>
            </w:r>
          </w:p>
        </w:tc>
        <w:tc>
          <w:tcPr>
            <w:tcW w:w="95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52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ProductBoost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9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Marketplace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9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Logistics 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w:t>
            </w:r>
          </w:p>
        </w:tc>
        <w:tc>
          <w:tcPr>
            <w:tcW w:w="951"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252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9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both"/>
        <w:rPr/>
      </w:pPr>
      <w:r>
        <w:rPr/>
        <w:t> </w:t>
      </w:r>
    </w:p>
    <w:p>
      <w:pPr>
        <w:pStyle w:val="TextBody"/>
        <w:spacing w:before="0" w:after="0"/>
        <w:jc w:val="both"/>
        <w:rPr>
          <w:rFonts w:ascii="Arial" w:hAnsi="Arial"/>
          <w:b w:val="false"/>
          <w:sz w:val="16"/>
        </w:rPr>
      </w:pPr>
      <w:r>
        <w:rPr>
          <w:rFonts w:ascii="Arial" w:hAnsi="Arial"/>
          <w:b w:val="false"/>
          <w:sz w:val="16"/>
        </w:rPr>
        <w:t>(1)</w:t>
      </w:r>
    </w:p>
    <w:p>
      <w:pPr>
        <w:pStyle w:val="TextBody"/>
        <w:jc w:val="both"/>
        <w:rPr>
          <w:rFonts w:ascii="Arial;sans-serif" w:hAnsi="Arial;sans-serif"/>
          <w:b w:val="false"/>
          <w:sz w:val="16"/>
        </w:rPr>
      </w:pPr>
      <w:r>
        <w:rPr>
          <w:rFonts w:ascii="Arial;sans-serif" w:hAnsi="Arial;sans-serif"/>
          <w:b w:val="false"/>
          <w:sz w:val="16"/>
        </w:rPr>
        <w:t xml:space="preserve">Core marketplace revenue for the three months ended March 31, 2023 and 2022 included approximately $2 million net gains for both periods, from our cash flow hedging program. </w:t>
      </w:r>
    </w:p>
    <w:p>
      <w:pPr>
        <w:pStyle w:val="TextBody"/>
        <w:spacing w:before="180" w:after="0"/>
        <w:jc w:val="both"/>
        <w:rPr>
          <w:rFonts w:ascii="Times New Roman" w:hAnsi="Times New Roman"/>
          <w:sz w:val="20"/>
        </w:rPr>
      </w:pPr>
      <w:r>
        <w:rPr>
          <w:rFonts w:ascii="Arial;sans-serif" w:hAnsi="Arial;sans-serif"/>
          <w:b w:val="false"/>
          <w:sz w:val="20"/>
        </w:rPr>
        <w:t>Revenue decreased $93 million, or 49%, to $96 million for the three months ended March 31, 2023 as compared to $189 million for the three months ended March 31, 2022. This decrease was attributable to decreased marketplace and logistics revenue, as noted below.</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Marketplace revenue decreased $68 million, or 65% to $36 million for the three months ended March 31, 2023, as compared to $104 million for the three months ended March 31, 2022. This decrease was primarily driven by lower order volumes associated with reduced MAUs and LTM Active Buyers and to a lesser extent, revisions to our pricing strategy, which resulted in lower marketplace revenue per order during the first quarter of 2023.</w:t>
      </w:r>
    </w:p>
    <w:p>
      <w:pPr>
        <w:pStyle w:val="TextBody"/>
        <w:spacing w:before="180" w:after="0"/>
        <w:jc w:val="both"/>
        <w:rPr>
          <w:rFonts w:ascii="Arial;sans-serif" w:hAnsi="Arial;sans-serif"/>
          <w:b w:val="false"/>
          <w:sz w:val="20"/>
        </w:rPr>
      </w:pPr>
      <w:r>
        <w:rPr>
          <w:rFonts w:ascii="Arial;sans-serif" w:hAnsi="Arial;sans-serif"/>
          <w:b w:val="false"/>
          <w:sz w:val="20"/>
        </w:rPr>
        <w:t>Logistics revenue decreased $25 million, or 29% to $60 million for the three months ended March 31, 2023, as compared to $85 million for the three months ended March 31, 2022. Like marketplace revenue, the decrease was primarily driven by lower order volumes.</w:t>
      </w:r>
    </w:p>
    <w:p>
      <w:pPr>
        <w:pStyle w:val="TextBody"/>
        <w:spacing w:before="24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i/>
          <w:sz w:val="20"/>
        </w:rPr>
        <w:t>Cost of Revenue and Gross Margin</w:t>
      </w:r>
      <w:r>
        <w:rPr>
          <w:rFonts w:ascii="Times New Roman" w:hAnsi="Times New Roman"/>
          <w:sz w:val="20"/>
        </w:rPr>
        <w:t xml:space="preserve"> </w:t>
      </w:r>
    </w:p>
    <w:p>
      <w:pPr>
        <w:pStyle w:val="TextBody"/>
        <w:spacing w:before="0" w:after="0"/>
        <w:jc w:val="both"/>
        <w:rPr/>
      </w:pPr>
      <w:r>
        <w:rPr/>
        <w:t> </w:t>
      </w:r>
    </w:p>
    <w:tbl>
      <w:tblPr>
        <w:tblW w:w="6794" w:type="dxa"/>
        <w:jc w:val="left"/>
        <w:tblInd w:w="0" w:type="dxa"/>
        <w:tblCellMar>
          <w:top w:w="28" w:type="dxa"/>
          <w:left w:w="28" w:type="dxa"/>
          <w:bottom w:w="28" w:type="dxa"/>
          <w:right w:w="28" w:type="dxa"/>
        </w:tblCellMar>
      </w:tblPr>
      <w:tblGrid>
        <w:gridCol w:w="2086"/>
        <w:gridCol w:w="146"/>
        <w:gridCol w:w="270"/>
        <w:gridCol w:w="405"/>
        <w:gridCol w:w="366"/>
        <w:gridCol w:w="187"/>
        <w:gridCol w:w="270"/>
        <w:gridCol w:w="540"/>
        <w:gridCol w:w="286"/>
        <w:gridCol w:w="146"/>
        <w:gridCol w:w="211"/>
        <w:gridCol w:w="376"/>
        <w:gridCol w:w="166"/>
        <w:gridCol w:w="146"/>
        <w:gridCol w:w="146"/>
        <w:gridCol w:w="376"/>
        <w:gridCol w:w="67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2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7" w:type="dxa"/>
            <w:tcBorders/>
            <w:shd w:fill="auto" w:val="clear"/>
            <w:vAlign w:val="center"/>
          </w:tcPr>
          <w:p>
            <w:pPr>
              <w:pStyle w:val="TableContents"/>
              <w:spacing w:before="0" w:after="0"/>
              <w:ind w:left="0" w:right="0" w:hanging="0"/>
              <w:jc w:val="center"/>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57"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center"/>
              <w:rPr/>
            </w:pPr>
            <w:r>
              <w:rPr/>
              <w:t> </w:t>
            </w:r>
          </w:p>
        </w:tc>
        <w:tc>
          <w:tcPr>
            <w:tcW w:w="67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0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w:t>
            </w:r>
          </w:p>
        </w:tc>
        <w:tc>
          <w:tcPr>
            <w:tcW w:w="36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67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0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w:t>
            </w:r>
          </w:p>
        </w:tc>
        <w:tc>
          <w:tcPr>
            <w:tcW w:w="3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w:t>
            </w:r>
          </w:p>
        </w:tc>
        <w:tc>
          <w:tcPr>
            <w:tcW w:w="3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Arial;sans-serif" w:hAnsi="Arial;sans-serif"/>
          <w:b w:val="false"/>
          <w:sz w:val="20"/>
        </w:rPr>
      </w:pPr>
      <w:r>
        <w:rPr>
          <w:rFonts w:ascii="Arial;sans-serif" w:hAnsi="Arial;sans-serif"/>
          <w:b w:val="false"/>
          <w:sz w:val="20"/>
        </w:rPr>
        <w:t>Cost of revenue decreased $49 million, or 39%, to $76 million for the three months ended March 31, 2023, as compared to $125 million for the three months ended March 31, 2022, primarily due to lower marketplace and logistics related costs as a result of lower order volumes.</w:t>
      </w:r>
    </w:p>
    <w:p>
      <w:pPr>
        <w:pStyle w:val="TextBody"/>
        <w:spacing w:before="180" w:after="0"/>
        <w:jc w:val="both"/>
        <w:rPr>
          <w:rFonts w:ascii="Times New Roman" w:hAnsi="Times New Roman"/>
          <w:sz w:val="20"/>
        </w:rPr>
      </w:pPr>
      <w:r>
        <w:rPr>
          <w:rFonts w:ascii="Arial;sans-serif" w:hAnsi="Arial;sans-serif"/>
          <w:b w:val="false"/>
          <w:sz w:val="20"/>
        </w:rPr>
        <w:t>The gross margin decreased to 21% for the three months ended March 31, 2023 from 34% for the three months ended March 31, 2022, primarily driven by a greater percentage of lower margin logistics services making up overall revenue during the three months ended March 31, 2023 as compared to the three months ended March 31, 2022, and revisions to our pricing strategy.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Sales and Marketing</w:t>
      </w:r>
      <w:r>
        <w:rPr>
          <w:rFonts w:ascii="Times New Roman" w:hAnsi="Times New Roman"/>
          <w:sz w:val="20"/>
        </w:rPr>
        <w:t xml:space="preserve"> </w:t>
      </w:r>
    </w:p>
    <w:p>
      <w:pPr>
        <w:pStyle w:val="TextBody"/>
        <w:spacing w:before="0" w:after="0"/>
        <w:jc w:val="both"/>
        <w:rPr/>
      </w:pPr>
      <w:r>
        <w:rPr/>
        <w:t> </w:t>
      </w:r>
    </w:p>
    <w:tbl>
      <w:tblPr>
        <w:tblW w:w="7309" w:type="dxa"/>
        <w:jc w:val="left"/>
        <w:tblInd w:w="0" w:type="dxa"/>
        <w:tblCellMar>
          <w:top w:w="28" w:type="dxa"/>
          <w:left w:w="28" w:type="dxa"/>
          <w:bottom w:w="28" w:type="dxa"/>
          <w:right w:w="28" w:type="dxa"/>
        </w:tblCellMar>
      </w:tblPr>
      <w:tblGrid>
        <w:gridCol w:w="2366"/>
        <w:gridCol w:w="146"/>
        <w:gridCol w:w="251"/>
        <w:gridCol w:w="375"/>
        <w:gridCol w:w="673"/>
        <w:gridCol w:w="173"/>
        <w:gridCol w:w="251"/>
        <w:gridCol w:w="375"/>
        <w:gridCol w:w="566"/>
        <w:gridCol w:w="146"/>
        <w:gridCol w:w="211"/>
        <w:gridCol w:w="271"/>
        <w:gridCol w:w="166"/>
        <w:gridCol w:w="146"/>
        <w:gridCol w:w="146"/>
        <w:gridCol w:w="376"/>
        <w:gridCol w:w="671"/>
      </w:tblGrid>
      <w:tr>
        <w:trPr/>
        <w:tc>
          <w:tcPr>
            <w:tcW w:w="2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2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5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3" w:type="dxa"/>
            <w:tcBorders/>
            <w:shd w:fill="auto" w:val="clear"/>
            <w:vAlign w:val="center"/>
          </w:tcPr>
          <w:p>
            <w:pPr>
              <w:pStyle w:val="TableContents"/>
              <w:spacing w:before="0" w:after="0"/>
              <w:ind w:left="0" w:right="0" w:hanging="0"/>
              <w:jc w:val="center"/>
              <w:rPr/>
            </w:pPr>
            <w:r>
              <w:rPr/>
              <w:t> </w:t>
            </w:r>
          </w:p>
        </w:tc>
        <w:tc>
          <w:tcPr>
            <w:tcW w:w="6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5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92"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center"/>
              <w:rPr/>
            </w:pPr>
            <w:r>
              <w:rPr/>
              <w:t> </w:t>
            </w:r>
          </w:p>
        </w:tc>
        <w:tc>
          <w:tcPr>
            <w:tcW w:w="671" w:type="dxa"/>
            <w:tcBorders/>
            <w:shd w:fill="auto" w:val="clear"/>
            <w:vAlign w:val="center"/>
          </w:tcPr>
          <w:p>
            <w:pPr>
              <w:pStyle w:val="TableContents"/>
              <w:spacing w:before="0" w:after="0"/>
              <w:ind w:left="0" w:right="0" w:hanging="0"/>
              <w:jc w:val="center"/>
              <w:rPr/>
            </w:pPr>
            <w:r>
              <w:rPr/>
              <w:t> </w:t>
            </w:r>
          </w:p>
        </w:tc>
      </w:tr>
      <w:tr>
        <w:trPr/>
        <w:tc>
          <w:tcPr>
            <w:tcW w:w="23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w:t>
            </w:r>
          </w:p>
        </w:tc>
        <w:tc>
          <w:tcPr>
            <w:tcW w:w="673"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67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36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28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673"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73" w:type="dxa"/>
            <w:tcBorders/>
            <w:shd w:fill="auto" w:val="clear"/>
            <w:vAlign w:val="center"/>
          </w:tcPr>
          <w:p>
            <w:pPr>
              <w:pStyle w:val="TableContents"/>
              <w:spacing w:before="0" w:after="0"/>
              <w:ind w:left="28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56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left"/>
              <w:rPr/>
            </w:pPr>
            <w:r>
              <w:rPr/>
              <w:t> </w:t>
            </w:r>
          </w:p>
        </w:tc>
        <w:tc>
          <w:tcPr>
            <w:tcW w:w="4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Arial;sans-serif" w:hAnsi="Arial;sans-serif"/>
          <w:b w:val="false"/>
          <w:sz w:val="20"/>
        </w:rPr>
      </w:pPr>
      <w:r>
        <w:rPr>
          <w:rFonts w:ascii="Arial;sans-serif" w:hAnsi="Arial;sans-serif"/>
          <w:b w:val="false"/>
          <w:sz w:val="20"/>
        </w:rPr>
        <w:t>Sales and marketing expense decreased $8 million, or 18%, to $37 million for the three months ended March 31, 2023, compared to $45 million for the three months ended March 31, 2022, primarily due to a $3 million reduction in advertising expenditures, $2 million reduction in customer support costs services as a result of lower order volumes, and a $4 million reduction of employee-related costs due to lower headcount. These decreases were offset by an increase of $1 million in other sales and marketing costs.</w:t>
      </w:r>
    </w:p>
    <w:p>
      <w:pPr>
        <w:pStyle w:val="TextBody"/>
        <w:spacing w:before="180" w:after="0"/>
        <w:jc w:val="both"/>
        <w:rPr>
          <w:rFonts w:ascii="Times New Roman" w:hAnsi="Times New Roman"/>
          <w:sz w:val="20"/>
        </w:rPr>
      </w:pPr>
      <w:r>
        <w:rPr>
          <w:rFonts w:ascii="Arial;sans-serif" w:hAnsi="Arial;sans-serif"/>
          <w:b/>
          <w:i/>
          <w:sz w:val="20"/>
        </w:rPr>
        <w:t>Product Development</w:t>
      </w:r>
      <w:r>
        <w:rPr>
          <w:rFonts w:ascii="Times New Roman" w:hAnsi="Times New Roman"/>
          <w:sz w:val="20"/>
        </w:rPr>
        <w:t xml:space="preserve"> </w:t>
      </w:r>
    </w:p>
    <w:p>
      <w:pPr>
        <w:pStyle w:val="TextBody"/>
        <w:spacing w:before="0" w:after="0"/>
        <w:jc w:val="left"/>
        <w:rPr/>
      </w:pPr>
      <w:r>
        <w:rPr/>
        <w:t> </w:t>
      </w:r>
    </w:p>
    <w:tbl>
      <w:tblPr>
        <w:tblW w:w="6854" w:type="dxa"/>
        <w:jc w:val="left"/>
        <w:tblInd w:w="0" w:type="dxa"/>
        <w:tblCellMar>
          <w:top w:w="28" w:type="dxa"/>
          <w:left w:w="28" w:type="dxa"/>
          <w:bottom w:w="28" w:type="dxa"/>
          <w:right w:w="28" w:type="dxa"/>
        </w:tblCellMar>
      </w:tblPr>
      <w:tblGrid>
        <w:gridCol w:w="2086"/>
        <w:gridCol w:w="146"/>
        <w:gridCol w:w="298"/>
        <w:gridCol w:w="446"/>
        <w:gridCol w:w="404"/>
        <w:gridCol w:w="206"/>
        <w:gridCol w:w="298"/>
        <w:gridCol w:w="446"/>
        <w:gridCol w:w="286"/>
        <w:gridCol w:w="146"/>
        <w:gridCol w:w="211"/>
        <w:gridCol w:w="376"/>
        <w:gridCol w:w="166"/>
        <w:gridCol w:w="146"/>
        <w:gridCol w:w="146"/>
        <w:gridCol w:w="376"/>
        <w:gridCol w:w="67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center"/>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17"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404"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67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0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40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Arial;sans-serif" w:hAnsi="Arial;sans-serif"/>
          <w:b w:val="false"/>
          <w:sz w:val="20"/>
        </w:rPr>
      </w:pPr>
      <w:r>
        <w:rPr>
          <w:rFonts w:ascii="Arial;sans-serif" w:hAnsi="Arial;sans-serif"/>
          <w:b w:val="false"/>
          <w:sz w:val="20"/>
        </w:rPr>
        <w:t>Product development expense decreased $15 million, or 23%, to $51 million for the three months ended March 31, 2023, as compared to $66 million for the three months ended March 31, 2022, primarily due to a $9 million decrease in employee-related costs driven by lower headcount during the first quarter of 2023 compared to the same period in 2022, a $9 million one-time discretionary bonus paid to select product development employees during the first quarter of 2022 to help cover their tax obligations triggered by the settlement of their RSUs that vested upon the Company’s IPO, and a $4 million reduction in expenses associated with data analytics during the first quarter of 2023 compared to the same period in 2022. These decreases were partially offset by $6 million of share-based compensation expense recognized in connection with accelerated vesting of the Company's former Chief Product Officer's RSUs upon his departure from the Company in accordance with his separation agreement during the first quarter of 2023 and a $1 million increase in other product development costs.</w:t>
      </w:r>
    </w:p>
    <w:p>
      <w:pPr>
        <w:pStyle w:val="TextBody"/>
        <w:spacing w:before="24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i/>
          <w:sz w:val="20"/>
        </w:rPr>
        <w:t>General and Administrative</w:t>
      </w:r>
      <w:r>
        <w:rPr>
          <w:rFonts w:ascii="Times New Roman" w:hAnsi="Times New Roman"/>
          <w:sz w:val="20"/>
        </w:rPr>
        <w:t xml:space="preserve"> </w:t>
      </w:r>
    </w:p>
    <w:p>
      <w:pPr>
        <w:pStyle w:val="TextBody"/>
        <w:spacing w:before="0" w:after="0"/>
        <w:jc w:val="left"/>
        <w:rPr/>
      </w:pPr>
      <w:r>
        <w:rPr/>
        <w:t> </w:t>
      </w:r>
    </w:p>
    <w:tbl>
      <w:tblPr>
        <w:tblW w:w="7014" w:type="dxa"/>
        <w:jc w:val="left"/>
        <w:tblInd w:w="0" w:type="dxa"/>
        <w:tblCellMar>
          <w:top w:w="28" w:type="dxa"/>
          <w:left w:w="28" w:type="dxa"/>
          <w:bottom w:w="28" w:type="dxa"/>
          <w:right w:w="28" w:type="dxa"/>
        </w:tblCellMar>
      </w:tblPr>
      <w:tblGrid>
        <w:gridCol w:w="2446"/>
        <w:gridCol w:w="146"/>
        <w:gridCol w:w="298"/>
        <w:gridCol w:w="446"/>
        <w:gridCol w:w="404"/>
        <w:gridCol w:w="206"/>
        <w:gridCol w:w="298"/>
        <w:gridCol w:w="446"/>
        <w:gridCol w:w="286"/>
        <w:gridCol w:w="146"/>
        <w:gridCol w:w="211"/>
        <w:gridCol w:w="316"/>
        <w:gridCol w:w="146"/>
        <w:gridCol w:w="146"/>
        <w:gridCol w:w="146"/>
        <w:gridCol w:w="316"/>
        <w:gridCol w:w="61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center"/>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7"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404"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w:t>
            </w:r>
          </w:p>
        </w:tc>
        <w:tc>
          <w:tcPr>
            <w:tcW w:w="61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44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40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06" w:type="dxa"/>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Arial;sans-serif" w:hAnsi="Arial;sans-serif"/>
          <w:b w:val="false"/>
          <w:sz w:val="20"/>
        </w:rPr>
      </w:pPr>
      <w:r>
        <w:rPr>
          <w:rFonts w:ascii="Arial;sans-serif" w:hAnsi="Arial;sans-serif"/>
          <w:b w:val="false"/>
          <w:sz w:val="20"/>
        </w:rPr>
        <w:t>General and administrative expense increased $10 million, or 67%, to $25 million for the three months ended March 31, 2023, as compared to $15 million for the three months ended March 31, 2022. The increase was primarily due to a one-time reversal of $21 million of stock-based compensation during the first quarter of 2022 in connection with the resignation of Mr. Szulczewski from his former position as CEO, and $2 million share-based compensation expense recognized in connection with accelerated vesting of the Company's former Chief Administrative Officer's RSUs upon his departure from the Company in accordance with his separation agreement during the first quarter of 2023. These increases were partially offset by $4 million of reduced employee-related costs during the first quarter of 2023 due to lower headcount, a $4 million decrease in impairment charges of the Company's lease assets and related property and equipment, and a $5 million decrease consisting primarily of insurance and legal-related expenses.</w:t>
      </w:r>
    </w:p>
    <w:p>
      <w:pPr>
        <w:pStyle w:val="TextBody"/>
        <w:spacing w:before="180" w:after="0"/>
        <w:jc w:val="both"/>
        <w:rPr>
          <w:rFonts w:ascii="Arial;sans-serif" w:hAnsi="Arial;sans-serif"/>
          <w:b/>
          <w:i/>
          <w:sz w:val="20"/>
        </w:rPr>
      </w:pPr>
      <w:r>
        <w:rPr>
          <w:rFonts w:ascii="Arial;sans-serif" w:hAnsi="Arial;sans-serif"/>
          <w:b/>
          <w:i/>
          <w:sz w:val="20"/>
        </w:rPr>
        <w:t>Interest and Other Income, net</w:t>
      </w:r>
    </w:p>
    <w:p>
      <w:pPr>
        <w:pStyle w:val="TextBody"/>
        <w:spacing w:before="0" w:after="0"/>
        <w:jc w:val="both"/>
        <w:rPr/>
      </w:pPr>
      <w:r>
        <w:rPr/>
        <w:t> </w:t>
      </w:r>
    </w:p>
    <w:tbl>
      <w:tblPr>
        <w:tblW w:w="7299" w:type="dxa"/>
        <w:jc w:val="left"/>
        <w:tblInd w:w="0" w:type="dxa"/>
        <w:tblCellMar>
          <w:top w:w="28" w:type="dxa"/>
          <w:left w:w="28" w:type="dxa"/>
          <w:bottom w:w="28" w:type="dxa"/>
          <w:right w:w="28" w:type="dxa"/>
        </w:tblCellMar>
      </w:tblPr>
      <w:tblGrid>
        <w:gridCol w:w="2731"/>
        <w:gridCol w:w="146"/>
        <w:gridCol w:w="347"/>
        <w:gridCol w:w="347"/>
        <w:gridCol w:w="470"/>
        <w:gridCol w:w="240"/>
        <w:gridCol w:w="347"/>
        <w:gridCol w:w="347"/>
        <w:gridCol w:w="286"/>
        <w:gridCol w:w="146"/>
        <w:gridCol w:w="211"/>
        <w:gridCol w:w="211"/>
        <w:gridCol w:w="146"/>
        <w:gridCol w:w="146"/>
        <w:gridCol w:w="146"/>
        <w:gridCol w:w="421"/>
        <w:gridCol w:w="61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Change</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4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center"/>
              <w:rPr/>
            </w:pPr>
            <w:r>
              <w:rPr/>
              <w:t> </w:t>
            </w:r>
          </w:p>
        </w:tc>
        <w:tc>
          <w:tcPr>
            <w:tcW w:w="6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2" w:type="dxa"/>
            <w:gridSpan w:val="10"/>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in millions, except percentages)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and other income, net</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70"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3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73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Percentage of revenue</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47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0"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left"/>
        <w:rPr>
          <w:rFonts w:ascii="Arial;sans-serif" w:hAnsi="Arial;sans-serif"/>
          <w:b w:val="false"/>
          <w:sz w:val="20"/>
        </w:rPr>
      </w:pPr>
      <w:r>
        <w:rPr>
          <w:rFonts w:ascii="Arial;sans-serif" w:hAnsi="Arial;sans-serif"/>
          <w:b w:val="false"/>
          <w:sz w:val="20"/>
        </w:rPr>
        <w:t>Interest and other income, net increased $2 million, or 100%, to $4 million for the three months ended March 31, 2023, as compared to $2 million for the three months ended March 31, 2022. The increase was attributable to an increase in interest income due to higher interest rates.</w:t>
      </w:r>
    </w:p>
    <w:p>
      <w:pPr>
        <w:pStyle w:val="TextBody"/>
        <w:spacing w:before="180" w:after="0"/>
        <w:jc w:val="both"/>
        <w:rPr>
          <w:rFonts w:ascii="Times New Roman" w:hAnsi="Times New Roman"/>
          <w:sz w:val="20"/>
        </w:rPr>
      </w:pPr>
      <w:r>
        <w:rPr>
          <w:rFonts w:ascii="Arial;sans-serif" w:hAnsi="Arial;sans-serif"/>
          <w:b/>
          <w:sz w:val="20"/>
        </w:rPr>
        <w:t>Liquidity and Capital Resources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As of March 31, 2023, we had cash, cash equivalents and marketable securities of $627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pStyle w:val="TextBody"/>
        <w:spacing w:before="180" w:after="0"/>
        <w:jc w:val="both"/>
        <w:rPr>
          <w:rFonts w:ascii="Arial;sans-serif" w:hAnsi="Arial;sans-serif"/>
          <w:b w:val="false"/>
          <w:sz w:val="20"/>
        </w:rPr>
      </w:pPr>
      <w:r>
        <w:rPr>
          <w:rFonts w:ascii="Arial;sans-serif" w:hAnsi="Arial;sans-serif"/>
          <w:b w:val="false"/>
          <w:sz w:val="20"/>
        </w:rPr>
        <w:t>Our material cash requirements include $151 million in accounts and merchants payable, $64 million remaining on a colocation and cloud services purchase commitment, and $20 million of facility lease obligations, of which $8 million is due within the next 12 months.</w:t>
      </w:r>
    </w:p>
    <w:p>
      <w:pPr>
        <w:pStyle w:val="TextBody"/>
        <w:spacing w:before="180" w:after="0"/>
        <w:jc w:val="both"/>
        <w:rPr>
          <w:rFonts w:ascii="Arial;sans-serif" w:hAnsi="Arial;sans-serif"/>
          <w:b w:val="false"/>
          <w:sz w:val="20"/>
        </w:rPr>
      </w:pPr>
      <w:r>
        <w:rPr>
          <w:rFonts w:ascii="Arial;sans-serif" w:hAnsi="Arial;sans-serif"/>
          <w:b w:val="false"/>
          <w:sz w:val="20"/>
        </w:rPr>
        <w:t>While we maintain our cash and short-term investments with a diverse group of large national financial institutions and our limited deposits at Silicon Valley Bank were backstopped by the U.S. government,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spacing w:before="180" w:after="0"/>
        <w:jc w:val="both"/>
        <w:rPr>
          <w:rFonts w:ascii="Arial;sans-serif" w:hAnsi="Arial;sans-serif"/>
          <w:b/>
          <w:i/>
          <w:sz w:val="20"/>
        </w:rPr>
      </w:pPr>
      <w:r>
        <w:rPr>
          <w:rFonts w:ascii="Arial;sans-serif" w:hAnsi="Arial;sans-serif"/>
          <w:b/>
          <w:i/>
          <w:sz w:val="20"/>
        </w:rPr>
        <w:t>Sources of Liquidity</w:t>
      </w:r>
    </w:p>
    <w:p>
      <w:pPr>
        <w:pStyle w:val="TextBody"/>
        <w:spacing w:before="180" w:after="0"/>
        <w:jc w:val="both"/>
        <w:rPr>
          <w:rFonts w:ascii="Arial;sans-serif" w:hAnsi="Arial;sans-serif"/>
          <w:b w:val="false"/>
          <w:sz w:val="20"/>
        </w:rPr>
      </w:pPr>
      <w:r>
        <w:rPr>
          <w:rFonts w:ascii="Arial;sans-serif" w:hAnsi="Arial;sans-serif"/>
          <w:b w:val="false"/>
          <w:sz w:val="20"/>
        </w:rPr>
        <w:t>In December 2020, we completed our IPO of common stock and received net proceeds of approximately $1.1 billion after deducting underwriting discounts and commissions of approximately $52 million, but before deducting offering costs, net of reimbursements, of approximately $6 million.</w:t>
      </w:r>
    </w:p>
    <w:p>
      <w:pPr>
        <w:pStyle w:val="TextBody"/>
        <w:spacing w:before="24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i/>
          <w:sz w:val="20"/>
        </w:rPr>
      </w:pPr>
      <w:r>
        <w:rPr>
          <w:rFonts w:ascii="Arial;sans-serif" w:hAnsi="Arial;sans-serif"/>
          <w:b/>
          <w:i/>
          <w:sz w:val="20"/>
        </w:rPr>
        <w:t>Share Repurchase Program</w:t>
      </w:r>
    </w:p>
    <w:p>
      <w:pPr>
        <w:pStyle w:val="TextBody"/>
        <w:spacing w:before="180" w:after="0"/>
        <w:jc w:val="both"/>
        <w:rPr>
          <w:rFonts w:ascii="Arial;sans-serif" w:hAnsi="Arial;sans-serif"/>
          <w:b w:val="false"/>
          <w:sz w:val="20"/>
        </w:rPr>
      </w:pPr>
      <w:r>
        <w:rPr>
          <w:rFonts w:ascii="Arial;sans-serif" w:hAnsi="Arial;sans-serif"/>
          <w:b w:val="false"/>
          <w:sz w:val="20"/>
        </w:rPr>
        <w:t>On April 20, 2023, we announced that our board of directors authorized us to repurchase up to $50 million of the Company’s common stock, effective through December 31, 2023. Under this Program, we may repurchase our common stock through open market transactions, in privately negotiated transactions, or by other means, including through the use of trading plans, each in accordance with applicable securities laws and other restrictions. 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pStyle w:val="TextBody"/>
        <w:spacing w:before="180" w:after="0"/>
        <w:jc w:val="both"/>
        <w:rPr>
          <w:rFonts w:ascii="Arial;sans-serif" w:hAnsi="Arial;sans-serif"/>
          <w:b/>
          <w:i/>
          <w:sz w:val="20"/>
        </w:rPr>
      </w:pPr>
      <w:r>
        <w:rPr>
          <w:rFonts w:ascii="Arial;sans-serif" w:hAnsi="Arial;sans-serif"/>
          <w:b/>
          <w:i/>
          <w:sz w:val="20"/>
        </w:rPr>
        <w:t>November 2020 Credit Facility</w:t>
      </w:r>
    </w:p>
    <w:p>
      <w:pPr>
        <w:pStyle w:val="TextBody"/>
        <w:spacing w:before="180" w:after="0"/>
        <w:jc w:val="both"/>
        <w:rPr>
          <w:rFonts w:ascii="Arial;sans-serif" w:hAnsi="Arial;sans-serif"/>
          <w:b w:val="false"/>
          <w:sz w:val="20"/>
        </w:rPr>
      </w:pPr>
      <w:r>
        <w:rPr>
          <w:rFonts w:ascii="Arial;sans-serif" w:hAnsi="Arial;sans-serif"/>
          <w:b w:val="false"/>
          <w:sz w:val="20"/>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March 31, 2023, we had not made any borrowings under the Revolving Credit Facility. Refer to Note 7 to our condensed consolidated financial statements in Item 1 of Part I, “Financial Information” for additional details related to the Revolving Credit Facility.</w:t>
      </w:r>
    </w:p>
    <w:p>
      <w:pPr>
        <w:pStyle w:val="TextBody"/>
        <w:spacing w:before="180" w:after="0"/>
        <w:jc w:val="both"/>
        <w:rPr>
          <w:rFonts w:ascii="Arial;sans-serif" w:hAnsi="Arial;sans-serif"/>
          <w:b/>
          <w:i/>
          <w:sz w:val="20"/>
        </w:rPr>
      </w:pPr>
      <w:r>
        <w:rPr>
          <w:rFonts w:ascii="Arial;sans-serif" w:hAnsi="Arial;sans-serif"/>
          <w:b/>
          <w:i/>
          <w:sz w:val="20"/>
        </w:rPr>
        <w:t>Cash Flows</w:t>
      </w:r>
    </w:p>
    <w:p>
      <w:pPr>
        <w:pStyle w:val="TextBody"/>
        <w:spacing w:before="0" w:after="0"/>
        <w:jc w:val="both"/>
        <w:rPr/>
      </w:pPr>
      <w:r>
        <w:rPr/>
        <w:t> </w:t>
      </w:r>
    </w:p>
    <w:tbl>
      <w:tblPr>
        <w:tblW w:w="4815" w:type="dxa"/>
        <w:jc w:val="left"/>
        <w:tblInd w:w="0" w:type="dxa"/>
        <w:tblCellMar>
          <w:top w:w="28" w:type="dxa"/>
          <w:left w:w="28" w:type="dxa"/>
          <w:bottom w:w="28" w:type="dxa"/>
          <w:right w:w="28" w:type="dxa"/>
        </w:tblCellMar>
      </w:tblPr>
      <w:tblGrid>
        <w:gridCol w:w="2081"/>
        <w:gridCol w:w="146"/>
        <w:gridCol w:w="236"/>
        <w:gridCol w:w="422"/>
        <w:gridCol w:w="500"/>
        <w:gridCol w:w="163"/>
        <w:gridCol w:w="236"/>
        <w:gridCol w:w="540"/>
        <w:gridCol w:w="491"/>
      </w:tblGrid>
      <w:tr>
        <w:trPr/>
        <w:tc>
          <w:tcPr>
            <w:tcW w:w="2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0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 xml:space="preserve">Three Months Ended </w:t>
              <w:b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2023</w:t>
            </w:r>
          </w:p>
        </w:tc>
        <w:tc>
          <w:tcPr>
            <w:tcW w:w="5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7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97"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millions)</w:t>
            </w:r>
          </w:p>
        </w:tc>
        <w:tc>
          <w:tcPr>
            <w:tcW w:w="491" w:type="dxa"/>
            <w:tcBorders/>
            <w:shd w:fill="auto" w:val="cle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used in:</w:t>
            </w:r>
          </w:p>
        </w:tc>
        <w:tc>
          <w:tcPr>
            <w:tcW w:w="146" w:type="dxa"/>
            <w:tcBorders/>
            <w:shd w:fill="auto" w:val="clear"/>
            <w:vAlign w:val="center"/>
          </w:tcPr>
          <w:p>
            <w:pPr>
              <w:pStyle w:val="TableContents"/>
              <w:spacing w:before="0" w:after="0"/>
              <w:ind w:left="0" w:right="0" w:hanging="0"/>
              <w:jc w:val="left"/>
              <w:rPr/>
            </w:pPr>
            <w:r>
              <w:rPr/>
              <w:t> </w:t>
            </w:r>
          </w:p>
        </w:tc>
        <w:tc>
          <w:tcPr>
            <w:tcW w:w="658" w:type="dxa"/>
            <w:gridSpan w:val="2"/>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776"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80"/>
              <w:jc w:val="left"/>
              <w:rPr/>
            </w:pPr>
            <w:r>
              <w:rPr/>
              <w:t> </w:t>
            </w:r>
          </w:p>
        </w:tc>
      </w:tr>
      <w:tr>
        <w:trPr/>
        <w:tc>
          <w:tcPr>
            <w:tcW w:w="20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Operating activities</w:t>
            </w:r>
          </w:p>
        </w:tc>
        <w:tc>
          <w:tcPr>
            <w:tcW w:w="146"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500"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63"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0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Investing activities</w:t>
            </w:r>
          </w:p>
        </w:tc>
        <w:tc>
          <w:tcPr>
            <w:tcW w:w="146"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500"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63"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w:t>
            </w:r>
          </w:p>
        </w:tc>
        <w:tc>
          <w:tcPr>
            <w:tcW w:w="49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081"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Financing activities</w:t>
            </w:r>
          </w:p>
        </w:tc>
        <w:tc>
          <w:tcPr>
            <w:tcW w:w="146"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2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500"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63" w:type="dxa"/>
            <w:tcBorders/>
            <w:shd w:fill="auto" w:val="clear"/>
            <w:vAlign w:val="center"/>
          </w:tcPr>
          <w:p>
            <w:pPr>
              <w:pStyle w:val="TableContents"/>
              <w:spacing w:before="0" w:after="0"/>
              <w:ind w:left="28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Arial;sans-serif" w:hAnsi="Arial;sans-serif"/>
          <w:b/>
          <w:i/>
          <w:sz w:val="20"/>
        </w:rPr>
        <w:t>Net Cash Used in Operating Activities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Our cash flows from operations are largely dependent on the amount of revenue we generate. Net cash used in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pStyle w:val="TextBody"/>
        <w:spacing w:before="180" w:after="0"/>
        <w:jc w:val="both"/>
        <w:rPr>
          <w:rFonts w:ascii="Arial;sans-serif" w:hAnsi="Arial;sans-serif"/>
          <w:b w:val="false"/>
          <w:sz w:val="20"/>
        </w:rPr>
      </w:pPr>
      <w:r>
        <w:rPr>
          <w:rFonts w:ascii="Arial;sans-serif" w:hAnsi="Arial;sans-serif"/>
          <w:b w:val="false"/>
          <w:sz w:val="20"/>
        </w:rPr>
        <w:t>Net cash used in our operating activities for the three months ended March 31, 2023 was $92 million. This was primarily driven by our net loss of $89 million and $27 million unfavorable changes in our operating assets and liabilities, which was partially offset by non-cash expenses of $24 million. Unfavorable working capital movement was mainly driven by reductions in accounts payable, merchants payable and accrued and refund liabilities. Accounts payable, merchants payable and accrued and refund liabilities decreased by $38 million primarily due to lower order volumes and reduced digital advertising expenditures.</w:t>
      </w:r>
    </w:p>
    <w:p>
      <w:pPr>
        <w:pStyle w:val="TextBody"/>
        <w:spacing w:before="180" w:after="0"/>
        <w:jc w:val="both"/>
        <w:rPr>
          <w:rFonts w:ascii="Arial;sans-serif" w:hAnsi="Arial;sans-serif"/>
          <w:b w:val="false"/>
          <w:sz w:val="20"/>
        </w:rPr>
      </w:pPr>
      <w:r>
        <w:rPr>
          <w:rFonts w:ascii="Arial;sans-serif" w:hAnsi="Arial;sans-serif"/>
          <w:b w:val="false"/>
          <w:sz w:val="20"/>
        </w:rPr>
        <w:t>Net cash used in our operating activities for the three months ended March 31, 2022 was $146 million. This was driven by our net loss of $60 million and $97 million unfavorable changes in our operating assets and liabilities, which was partially offset by non-cash expenses of $11 million. Unfavorable working capital movement was mainly driven by reductions in accounts payable, merchants payable and accrued and refund liabilities. Accounts payable, merchants payable and accrued and refund liabilities decreased by $95 million primarily due to lower order volumes and reduced digital advertising expenditures.</w:t>
      </w:r>
    </w:p>
    <w:p>
      <w:pPr>
        <w:pStyle w:val="TextBody"/>
        <w:spacing w:before="24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i/>
          <w:sz w:val="20"/>
        </w:rPr>
        <w:t>Net Cash Used in Investing Activities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Our primary investing activities have consisted of investing excess cash balances in marketable securities.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Net cash used in investing activities was $40 million for the three months ended March 31, 2023. This was primarily due to $125 million in purchases of marketable securities, partially offset by $85 million of maturities in marketable securities.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Net cash used in investing activities was $105 million for the three months ended March 31, 2022. This was primarily due to $153 million in purchases of marketable securities and $2 million in capital expenditures, partially offset by $50 million of maturities in marketable securities.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i/>
          <w:sz w:val="20"/>
        </w:rPr>
        <w:t>Net Cash Used in Financing Activities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Net cash used in our financing activities was $3 million for the three months ended March 31, 2023 primarily due to tax payments related to RSU settlement.</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Cash flow from our financing activities was insignificant for the three months ended March 31, 2022.</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sz w:val="20"/>
        </w:rPr>
        <w:t>Off Balance Sheet Arrangements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For the three months ended March 31, 2023 and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r>
        <w:rPr>
          <w:rFonts w:ascii="Times New Roman" w:hAnsi="Times New Roman"/>
          <w:sz w:val="20"/>
        </w:rPr>
        <w:t xml:space="preserve"> </w:t>
      </w:r>
    </w:p>
    <w:p>
      <w:pPr>
        <w:pStyle w:val="TextBody"/>
        <w:spacing w:before="180" w:after="0"/>
        <w:jc w:val="both"/>
        <w:rPr>
          <w:rFonts w:ascii="Arial;sans-serif" w:hAnsi="Arial;sans-serif"/>
          <w:b/>
          <w:sz w:val="20"/>
        </w:rPr>
      </w:pPr>
      <w:r>
        <w:rPr>
          <w:rFonts w:ascii="Arial;sans-serif" w:hAnsi="Arial;sans-serif"/>
          <w:b/>
          <w:sz w:val="20"/>
        </w:rPr>
        <w:t>Critical Accounting Policies and Estimates</w:t>
      </w:r>
    </w:p>
    <w:p>
      <w:pPr>
        <w:pStyle w:val="TextBody"/>
        <w:spacing w:before="180" w:after="0"/>
        <w:jc w:val="both"/>
        <w:rPr>
          <w:rFonts w:ascii="Arial;sans-serif" w:hAnsi="Arial;sans-serif"/>
          <w:b w:val="false"/>
          <w:sz w:val="20"/>
        </w:rPr>
      </w:pPr>
      <w:r>
        <w:rPr>
          <w:rFonts w:ascii="Arial;sans-serif" w:hAnsi="Arial;sans-serif"/>
          <w:b w:val="false"/>
          <w:sz w:val="20"/>
        </w:rPr>
        <w:t>There have been no material changes to our critical accounting policies and estimates as compared to those described in our 2022 Form 10-K, filed with the SEC on February 27, 2023.</w:t>
      </w:r>
    </w:p>
    <w:p>
      <w:pPr>
        <w:pStyle w:val="TextBody"/>
        <w:spacing w:before="180" w:after="0"/>
        <w:jc w:val="both"/>
        <w:rPr>
          <w:rFonts w:ascii="Arial;sans-serif" w:hAnsi="Arial;sans-serif"/>
          <w:b/>
          <w:sz w:val="20"/>
        </w:rPr>
      </w:pPr>
      <w:r>
        <w:rPr>
          <w:rFonts w:ascii="Arial;sans-serif" w:hAnsi="Arial;sans-serif"/>
          <w:b/>
          <w:sz w:val="20"/>
        </w:rPr>
        <w:t>Recent Accounting Pronouncements</w:t>
      </w:r>
    </w:p>
    <w:p>
      <w:pPr>
        <w:pStyle w:val="TextBody"/>
        <w:spacing w:before="180" w:after="0"/>
        <w:jc w:val="both"/>
        <w:rPr>
          <w:rFonts w:ascii="Arial;sans-serif" w:hAnsi="Arial;sans-serif"/>
          <w:b w:val="false"/>
          <w:sz w:val="20"/>
        </w:rPr>
      </w:pPr>
      <w:r>
        <w:rPr>
          <w:rFonts w:ascii="Arial;sans-serif" w:hAnsi="Arial;sans-serif"/>
          <w:b w:val="false"/>
          <w:sz w:val="20"/>
        </w:rPr>
        <w:t>See Note 1 of Part I, Item 1 of this Quarterly Report on Form 10-Q for a full description of recent accounting pronouncements.</w:t>
      </w:r>
    </w:p>
    <w:p>
      <w:pPr>
        <w:pStyle w:val="TextBody"/>
        <w:spacing w:before="24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sz w:val="20"/>
        </w:rPr>
      </w:pPr>
      <w:bookmarkStart w:id="12" w:name="item_3_quantitative_qualitative_disclosu"/>
      <w:bookmarkEnd w:id="12"/>
      <w:r>
        <w:rPr>
          <w:rFonts w:ascii="Arial;sans-serif" w:hAnsi="Arial;sans-serif"/>
          <w:b/>
          <w:sz w:val="20"/>
        </w:rPr>
        <w:t>Item 3. Quantitative and Qualitative Disclosures About Market Risk.</w:t>
      </w:r>
    </w:p>
    <w:p>
      <w:pPr>
        <w:pStyle w:val="TextBody"/>
        <w:spacing w:before="180" w:after="0"/>
        <w:jc w:val="both"/>
        <w:rPr>
          <w:rFonts w:ascii="Arial;sans-serif" w:hAnsi="Arial;sans-serif"/>
          <w:b w:val="false"/>
          <w:sz w:val="20"/>
        </w:rPr>
      </w:pPr>
      <w:r>
        <w:rPr>
          <w:rFonts w:ascii="Arial;sans-serif" w:hAnsi="Arial;sans-serif"/>
          <w:b w:val="false"/>
          <w:sz w:val="20"/>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spacing w:before="180" w:after="0"/>
        <w:jc w:val="both"/>
        <w:rPr>
          <w:rFonts w:ascii="Arial;sans-serif" w:hAnsi="Arial;sans-serif"/>
          <w:b/>
          <w:i/>
          <w:sz w:val="20"/>
        </w:rPr>
      </w:pPr>
      <w:r>
        <w:rPr>
          <w:rFonts w:ascii="Arial;sans-serif" w:hAnsi="Arial;sans-serif"/>
          <w:b/>
          <w:i/>
          <w:sz w:val="20"/>
        </w:rPr>
        <w:t>Interest Rate Sensitivity</w:t>
      </w:r>
    </w:p>
    <w:p>
      <w:pPr>
        <w:pStyle w:val="TextBody"/>
        <w:spacing w:before="180" w:after="0"/>
        <w:jc w:val="both"/>
        <w:rPr>
          <w:rFonts w:ascii="Arial;sans-serif" w:hAnsi="Arial;sans-serif"/>
          <w:b w:val="false"/>
          <w:sz w:val="20"/>
        </w:rPr>
      </w:pPr>
      <w:r>
        <w:rPr>
          <w:rFonts w:ascii="Arial;sans-serif" w:hAnsi="Arial;sans-serif"/>
          <w:b w:val="false"/>
          <w:sz w:val="20"/>
        </w:rPr>
        <w:t>Cash, cash equivalents and marketable securities as of March 31, 2023 were held primarily in cash deposits, treasuries, and, to a lesser extent, corporate bonds and commercial paper. The fair value of our cash, cash equivalents, and investments would not be materially affected by either an increase or decrease in interest rates of 100 basis points due mainly to the short-term nature of these instruments and that the Company’s policy is to hold investments to maturity except in cases of non-compliance with our investment policy.</w:t>
      </w:r>
    </w:p>
    <w:p>
      <w:pPr>
        <w:pStyle w:val="TextBody"/>
        <w:spacing w:before="180" w:after="0"/>
        <w:jc w:val="both"/>
        <w:rPr>
          <w:rFonts w:ascii="Arial;sans-serif" w:hAnsi="Arial;sans-serif"/>
          <w:b/>
          <w:i/>
          <w:sz w:val="20"/>
        </w:rPr>
      </w:pPr>
      <w:r>
        <w:rPr>
          <w:rFonts w:ascii="Arial;sans-serif" w:hAnsi="Arial;sans-serif"/>
          <w:b/>
          <w:i/>
          <w:sz w:val="20"/>
        </w:rPr>
        <w:t>Foreign Currency Risk</w:t>
      </w:r>
    </w:p>
    <w:p>
      <w:pPr>
        <w:pStyle w:val="TextBody"/>
        <w:spacing w:before="180" w:after="0"/>
        <w:jc w:val="both"/>
        <w:rPr>
          <w:rFonts w:ascii="Times New Roman" w:hAnsi="Times New Roman"/>
          <w:sz w:val="20"/>
        </w:rPr>
      </w:pPr>
      <w:r>
        <w:rPr>
          <w:rFonts w:ascii="Arial;sans-serif" w:hAnsi="Arial;sans-serif"/>
          <w:b w:val="false"/>
          <w:sz w:val="20"/>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pStyle w:val="TextBody"/>
        <w:spacing w:before="180" w:after="0"/>
        <w:jc w:val="both"/>
        <w:rPr>
          <w:rFonts w:ascii="Arial;sans-serif" w:hAnsi="Arial;sans-serif"/>
          <w:b w:val="false"/>
          <w:sz w:val="20"/>
        </w:rPr>
      </w:pPr>
      <w:r>
        <w:rPr>
          <w:rFonts w:ascii="Arial;sans-serif" w:hAnsi="Arial;sans-serif"/>
          <w:b w:val="false"/>
          <w:sz w:val="20"/>
        </w:rPr>
        <w:t>Based on our overall currency rate exposures as of March 31, 2023,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pStyle w:val="TextBody"/>
        <w:spacing w:before="180" w:after="0"/>
        <w:jc w:val="both"/>
        <w:rPr>
          <w:rFonts w:ascii="Arial;sans-serif" w:hAnsi="Arial;sans-serif"/>
          <w:b/>
          <w:i/>
          <w:sz w:val="20"/>
        </w:rPr>
      </w:pPr>
      <w:r>
        <w:rPr>
          <w:rFonts w:ascii="Arial;sans-serif" w:hAnsi="Arial;sans-serif"/>
          <w:b/>
          <w:i/>
          <w:sz w:val="20"/>
        </w:rPr>
        <w:t>Inflation Risk</w:t>
      </w:r>
    </w:p>
    <w:p>
      <w:pPr>
        <w:pStyle w:val="TextBody"/>
        <w:spacing w:before="180" w:after="0"/>
        <w:jc w:val="both"/>
        <w:rPr>
          <w:rFonts w:ascii="Arial;sans-serif" w:hAnsi="Arial;sans-serif"/>
          <w:b w:val="false"/>
          <w:sz w:val="20"/>
        </w:rPr>
      </w:pPr>
      <w:r>
        <w:rPr>
          <w:rFonts w:ascii="Arial;sans-serif" w:hAnsi="Arial;sans-serif"/>
          <w:b w:val="false"/>
          <w:sz w:val="20"/>
        </w:rPr>
        <w:t>As of the date of filing of this Quarterly Report, 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core inflation rates may also affect consumers’ willingness to make discretionary purchases on our platforms. Our inability or failure to do so could harm the Company’s business, financial condition, and results of operations.</w:t>
      </w:r>
    </w:p>
    <w:p>
      <w:pPr>
        <w:pStyle w:val="TextBody"/>
        <w:spacing w:before="24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bookmarkStart w:id="13" w:name="item_4_controls_procedures"/>
      <w:bookmarkEnd w:id="13"/>
      <w:r>
        <w:rPr>
          <w:rFonts w:ascii="Arial;sans-serif" w:hAnsi="Arial;sans-serif"/>
          <w:b/>
          <w:sz w:val="20"/>
        </w:rPr>
        <w:t>Item 4. Controls</w:t>
      </w:r>
      <w:r>
        <w:rPr>
          <w:rFonts w:ascii="Times New Roman" w:hAnsi="Times New Roman"/>
          <w:sz w:val="20"/>
        </w:rPr>
        <w:t xml:space="preserve"> </w:t>
      </w:r>
      <w:r>
        <w:rPr>
          <w:rFonts w:ascii="Arial;sans-serif" w:hAnsi="Arial;sans-serif"/>
          <w:b/>
          <w:sz w:val="20"/>
        </w:rPr>
        <w:t>and Procedures.</w:t>
      </w:r>
    </w:p>
    <w:p>
      <w:pPr>
        <w:pStyle w:val="TextBody"/>
        <w:spacing w:before="180" w:after="0"/>
        <w:jc w:val="both"/>
        <w:rPr>
          <w:rFonts w:ascii="Arial;sans-serif" w:hAnsi="Arial;sans-serif"/>
          <w:b/>
          <w:i/>
          <w:sz w:val="20"/>
        </w:rPr>
      </w:pPr>
      <w:r>
        <w:rPr>
          <w:rFonts w:ascii="Arial;sans-serif" w:hAnsi="Arial;sans-serif"/>
          <w:b/>
          <w:i/>
          <w:sz w:val="20"/>
        </w:rPr>
        <w:t>Evaluation of Disclosure Controls and Procedures</w:t>
      </w:r>
    </w:p>
    <w:p>
      <w:pPr>
        <w:pStyle w:val="TextBody"/>
        <w:spacing w:before="180" w:after="0"/>
        <w:jc w:val="both"/>
        <w:rPr>
          <w:rFonts w:ascii="Arial;sans-serif" w:hAnsi="Arial;sans-serif"/>
          <w:b w:val="false"/>
          <w:sz w:val="20"/>
        </w:rPr>
      </w:pPr>
      <w:r>
        <w:rPr>
          <w:rFonts w:ascii="Arial;sans-serif" w:hAnsi="Arial;sans-serif"/>
          <w:b w:val="false"/>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pStyle w:val="TextBody"/>
        <w:spacing w:before="180" w:after="0"/>
        <w:jc w:val="both"/>
        <w:rPr>
          <w:rFonts w:ascii="Arial;sans-serif" w:hAnsi="Arial;sans-serif"/>
          <w:b w:val="false"/>
          <w:sz w:val="20"/>
        </w:rPr>
      </w:pPr>
      <w:r>
        <w:rPr>
          <w:rFonts w:ascii="Arial;sans-serif" w:hAnsi="Arial;sans-serif"/>
          <w:b w:val="false"/>
          <w:sz w:val="20"/>
        </w:rPr>
        <w:t>Our Chief Executive Officer (“CEO”) and Chief Financial Officer (“CFO”), with assistance from other members of management, have evaluated the effectiveness of our disclosure controls and procedures as of March 31, 2023, and based on their evaluation, have concluded that our disclosure controls and procedures were not effective as of such date due to material weaknesses in internal control over financial reporting, described below.</w:t>
      </w:r>
    </w:p>
    <w:p>
      <w:pPr>
        <w:pStyle w:val="TextBody"/>
        <w:spacing w:before="180" w:after="0"/>
        <w:jc w:val="both"/>
        <w:rPr>
          <w:rFonts w:ascii="Arial;sans-serif" w:hAnsi="Arial;sans-serif"/>
          <w:b/>
          <w:i/>
          <w:sz w:val="20"/>
        </w:rPr>
      </w:pPr>
      <w:r>
        <w:rPr>
          <w:rFonts w:ascii="Arial;sans-serif" w:hAnsi="Arial;sans-serif"/>
          <w:b/>
          <w:i/>
          <w:sz w:val="20"/>
        </w:rPr>
        <w:t xml:space="preserve">Previously Reported Material Weaknesses in Internal Control Over Financial Reporting </w:t>
      </w:r>
    </w:p>
    <w:p>
      <w:pPr>
        <w:pStyle w:val="TextBody"/>
        <w:spacing w:before="180" w:after="0"/>
        <w:jc w:val="both"/>
        <w:rPr>
          <w:rFonts w:ascii="Arial;sans-serif" w:hAnsi="Arial;sans-serif"/>
          <w:b w:val="false"/>
          <w:sz w:val="20"/>
        </w:rPr>
      </w:pPr>
      <w:r>
        <w:rPr>
          <w:rFonts w:ascii="Arial;sans-serif" w:hAnsi="Arial;sans-serif"/>
          <w:b w:val="false"/>
          <w:sz w:val="20"/>
        </w:rPr>
        <w:t>As disclosed in Item 9A, "Controls and Procedures" within our 2022 Form 10-K, which was filed with the SEC on February 27, 2023, the following material weaknesses were identified and remain outstanding as of March 31, 2023:</w:t>
      </w:r>
    </w:p>
    <w:p>
      <w:pPr>
        <w:pStyle w:val="TextBody"/>
        <w:spacing w:before="180" w:after="0"/>
        <w:jc w:val="both"/>
        <w:rPr/>
      </w:pPr>
      <w:r>
        <w:rPr/>
        <w:t>•</w:t>
      </w:r>
    </w:p>
    <w:p>
      <w:pPr>
        <w:pStyle w:val="TextBody"/>
        <w:spacing w:before="180" w:after="0"/>
        <w:jc w:val="both"/>
        <w:rPr>
          <w:rFonts w:ascii="Arial;sans-serif" w:hAnsi="Arial;sans-serif"/>
          <w:b w:val="false"/>
          <w:sz w:val="20"/>
        </w:rPr>
      </w:pPr>
      <w:r>
        <w:rPr>
          <w:rFonts w:ascii="Arial;sans-serif" w:hAnsi="Arial;sans-serif"/>
          <w:b w:val="false"/>
          <w:sz w:val="20"/>
        </w:rPr>
        <w:t xml:space="preserve">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 </w:t>
      </w:r>
    </w:p>
    <w:p>
      <w:pPr>
        <w:pStyle w:val="TextBody"/>
        <w:spacing w:before="180" w:after="0"/>
        <w:jc w:val="both"/>
        <w:rPr/>
      </w:pPr>
      <w:r>
        <w:rPr/>
        <w:t>•</w:t>
      </w:r>
    </w:p>
    <w:p>
      <w:pPr>
        <w:pStyle w:val="TextBody"/>
        <w:spacing w:before="180" w:after="283"/>
        <w:jc w:val="both"/>
        <w:rPr>
          <w:rFonts w:ascii="Arial;sans-serif" w:hAnsi="Arial;sans-serif"/>
          <w:b w:val="false"/>
          <w:sz w:val="20"/>
        </w:rPr>
      </w:pPr>
      <w:r>
        <w:rPr>
          <w:rFonts w:ascii="Arial;sans-serif" w:hAnsi="Arial;sans-serif"/>
          <w:b w:val="false"/>
          <w:sz w:val="20"/>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pStyle w:val="TextBody"/>
        <w:spacing w:before="180" w:after="0"/>
        <w:jc w:val="both"/>
        <w:rPr>
          <w:rFonts w:ascii="Arial;sans-serif" w:hAnsi="Arial;sans-serif"/>
          <w:b w:val="false"/>
          <w:sz w:val="20"/>
        </w:rPr>
      </w:pPr>
      <w:r>
        <w:rPr>
          <w:rFonts w:ascii="Arial;sans-serif" w:hAnsi="Arial;sans-serif"/>
          <w:b w:val="false"/>
          <w:sz w:val="20"/>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pStyle w:val="TextBody"/>
        <w:spacing w:before="180" w:after="0"/>
        <w:jc w:val="both"/>
        <w:rPr>
          <w:rFonts w:ascii="Arial;sans-serif" w:hAnsi="Arial;sans-serif"/>
          <w:b w:val="false"/>
          <w:sz w:val="20"/>
        </w:rPr>
      </w:pPr>
      <w:r>
        <w:rPr>
          <w:rFonts w:ascii="Arial;sans-serif" w:hAnsi="Arial;sans-serif"/>
          <w:b w:val="false"/>
          <w:sz w:val="20"/>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spacing w:before="24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i/>
          <w:sz w:val="20"/>
        </w:rPr>
      </w:pPr>
      <w:r>
        <w:rPr>
          <w:rFonts w:ascii="Arial;sans-serif" w:hAnsi="Arial;sans-serif"/>
          <w:b/>
          <w:i/>
          <w:sz w:val="20"/>
        </w:rPr>
        <w:t>Management’s Plan to Remediate the Material Weaknesses</w:t>
      </w:r>
    </w:p>
    <w:p>
      <w:pPr>
        <w:pStyle w:val="TextBody"/>
        <w:spacing w:before="180" w:after="0"/>
        <w:jc w:val="both"/>
        <w:rPr>
          <w:rFonts w:ascii="Arial;sans-serif" w:hAnsi="Arial;sans-serif"/>
          <w:b w:val="false"/>
          <w:sz w:val="20"/>
        </w:rPr>
      </w:pPr>
      <w:r>
        <w:rPr>
          <w:rFonts w:ascii="Arial;sans-serif" w:hAnsi="Arial;sans-serif"/>
          <w:b w:val="false"/>
          <w:sz w:val="20"/>
        </w:rPr>
        <w:t>Our remediation efforts are ongoing and we will continue our initiatives to implement measures designed to ensure that control deficiencies contributing to the material weaknesses are remediated, such that these controls are designed, implemented, and operating effectively.</w:t>
      </w:r>
    </w:p>
    <w:p>
      <w:pPr>
        <w:pStyle w:val="TextBody"/>
        <w:spacing w:before="180" w:after="0"/>
        <w:jc w:val="both"/>
        <w:rPr>
          <w:rFonts w:ascii="Arial;sans-serif" w:hAnsi="Arial;sans-serif"/>
          <w:b w:val="false"/>
          <w:sz w:val="20"/>
        </w:rPr>
      </w:pPr>
      <w:r>
        <w:rPr>
          <w:rFonts w:ascii="Arial;sans-serif" w:hAnsi="Arial;sans-serif"/>
          <w:b w:val="false"/>
          <w:sz w:val="20"/>
        </w:rPr>
        <w:t>The remediation measures we have taken to date include:</w:t>
      </w:r>
    </w:p>
    <w:p>
      <w:pPr>
        <w:pStyle w:val="TextBody"/>
        <w:spacing w:before="120" w:after="0"/>
        <w:jc w:val="both"/>
        <w:rPr>
          <w:rFonts w:ascii="Arial" w:hAnsi="Arial"/>
          <w:b w:val="false"/>
          <w:sz w:val="20"/>
        </w:rPr>
      </w:pPr>
      <w:r>
        <w:rPr>
          <w:rFonts w:ascii="Arial" w:hAnsi="Arial"/>
          <w:b w:val="false"/>
          <w:sz w:val="20"/>
        </w:rPr>
        <w:t>i.</w:t>
      </w:r>
    </w:p>
    <w:p>
      <w:pPr>
        <w:pStyle w:val="TextBody"/>
        <w:spacing w:before="120" w:after="0"/>
        <w:jc w:val="both"/>
        <w:rPr>
          <w:rFonts w:ascii="Arial;sans-serif" w:hAnsi="Arial;sans-serif"/>
          <w:b w:val="false"/>
          <w:sz w:val="20"/>
        </w:rPr>
      </w:pPr>
      <w:r>
        <w:rPr>
          <w:rFonts w:ascii="Arial;sans-serif" w:hAnsi="Arial;sans-serif"/>
          <w:b w:val="false"/>
          <w:sz w:val="20"/>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pStyle w:val="TextBody"/>
        <w:spacing w:before="120" w:after="0"/>
        <w:jc w:val="both"/>
        <w:rPr>
          <w:rFonts w:ascii="Arial" w:hAnsi="Arial"/>
          <w:b w:val="false"/>
          <w:sz w:val="20"/>
        </w:rPr>
      </w:pPr>
      <w:r>
        <w:rPr>
          <w:rFonts w:ascii="Arial" w:hAnsi="Arial"/>
          <w:b w:val="false"/>
          <w:sz w:val="20"/>
        </w:rPr>
        <w:t>ii.</w:t>
      </w:r>
    </w:p>
    <w:p>
      <w:pPr>
        <w:pStyle w:val="TextBody"/>
        <w:spacing w:before="120" w:after="0"/>
        <w:jc w:val="both"/>
        <w:rPr>
          <w:rFonts w:ascii="Arial;sans-serif" w:hAnsi="Arial;sans-serif"/>
          <w:b w:val="false"/>
          <w:sz w:val="20"/>
        </w:rPr>
      </w:pPr>
      <w:r>
        <w:rPr>
          <w:rFonts w:ascii="Arial;sans-serif" w:hAnsi="Arial;sans-serif"/>
          <w:b w:val="false"/>
          <w:sz w:val="20"/>
        </w:rPr>
        <w:t>providing additional training for our personnel including the appropriate level of documentation to be maintained to support internal control over financial reporting;</w:t>
      </w:r>
    </w:p>
    <w:p>
      <w:pPr>
        <w:pStyle w:val="TextBody"/>
        <w:spacing w:before="120" w:after="0"/>
        <w:jc w:val="both"/>
        <w:rPr>
          <w:rFonts w:ascii="Arial" w:hAnsi="Arial"/>
          <w:b w:val="false"/>
          <w:sz w:val="20"/>
        </w:rPr>
      </w:pPr>
      <w:r>
        <w:rPr>
          <w:rFonts w:ascii="Arial" w:hAnsi="Arial"/>
          <w:b w:val="false"/>
          <w:sz w:val="20"/>
        </w:rPr>
        <w:t>iii.</w:t>
      </w:r>
    </w:p>
    <w:p>
      <w:pPr>
        <w:pStyle w:val="TextBody"/>
        <w:spacing w:before="120" w:after="0"/>
        <w:jc w:val="both"/>
        <w:rPr>
          <w:rFonts w:ascii="Arial;sans-serif" w:hAnsi="Arial;sans-serif"/>
          <w:b w:val="false"/>
          <w:sz w:val="20"/>
        </w:rPr>
      </w:pPr>
      <w:r>
        <w:rPr>
          <w:rFonts w:ascii="Arial;sans-serif" w:hAnsi="Arial;sans-serif"/>
          <w:b w:val="false"/>
          <w:sz w:val="20"/>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pStyle w:val="TextBody"/>
        <w:spacing w:before="120" w:after="0"/>
        <w:jc w:val="both"/>
        <w:rPr>
          <w:rFonts w:ascii="Arial" w:hAnsi="Arial"/>
          <w:b w:val="false"/>
          <w:sz w:val="20"/>
        </w:rPr>
      </w:pPr>
      <w:r>
        <w:rPr>
          <w:rFonts w:ascii="Arial" w:hAnsi="Arial"/>
          <w:b w:val="false"/>
          <w:sz w:val="20"/>
        </w:rPr>
        <w:t>iv.</w:t>
      </w:r>
    </w:p>
    <w:p>
      <w:pPr>
        <w:pStyle w:val="TextBody"/>
        <w:spacing w:before="120" w:after="0"/>
        <w:jc w:val="both"/>
        <w:rPr>
          <w:rFonts w:ascii="Arial;sans-serif" w:hAnsi="Arial;sans-serif"/>
          <w:b w:val="false"/>
          <w:sz w:val="20"/>
        </w:rPr>
      </w:pPr>
      <w:r>
        <w:rPr>
          <w:rFonts w:ascii="Arial;sans-serif" w:hAnsi="Arial;sans-serif"/>
          <w:b w:val="false"/>
          <w:sz w:val="20"/>
        </w:rPr>
        <w:t>designing and implementing controls to formalize roles and review responsibilities to align with the staff’s skills and experience and to ensure proper internal control over financial reporting;</w:t>
      </w:r>
    </w:p>
    <w:p>
      <w:pPr>
        <w:pStyle w:val="TextBody"/>
        <w:spacing w:before="120" w:after="0"/>
        <w:jc w:val="both"/>
        <w:rPr>
          <w:rFonts w:ascii="Arial" w:hAnsi="Arial"/>
          <w:b w:val="false"/>
          <w:sz w:val="20"/>
        </w:rPr>
      </w:pPr>
      <w:r>
        <w:rPr>
          <w:rFonts w:ascii="Arial" w:hAnsi="Arial"/>
          <w:b w:val="false"/>
          <w:sz w:val="20"/>
        </w:rPr>
        <w:t>v.</w:t>
      </w:r>
    </w:p>
    <w:p>
      <w:pPr>
        <w:pStyle w:val="TextBody"/>
        <w:spacing w:before="120" w:after="0"/>
        <w:jc w:val="both"/>
        <w:rPr>
          <w:rFonts w:ascii="Arial;sans-serif" w:hAnsi="Arial;sans-serif"/>
          <w:b w:val="false"/>
          <w:sz w:val="20"/>
        </w:rPr>
      </w:pPr>
      <w:r>
        <w:rPr>
          <w:rFonts w:ascii="Arial;sans-serif" w:hAnsi="Arial;sans-serif"/>
          <w:b w:val="false"/>
          <w:sz w:val="20"/>
        </w:rPr>
        <w:t>continuing to enhance processes to monitor critical batch and interface jobs;</w:t>
      </w:r>
    </w:p>
    <w:p>
      <w:pPr>
        <w:pStyle w:val="TextBody"/>
        <w:spacing w:before="120" w:after="0"/>
        <w:jc w:val="both"/>
        <w:rPr>
          <w:rFonts w:ascii="Arial" w:hAnsi="Arial"/>
          <w:b w:val="false"/>
          <w:sz w:val="20"/>
        </w:rPr>
      </w:pPr>
      <w:r>
        <w:rPr>
          <w:rFonts w:ascii="Arial" w:hAnsi="Arial"/>
          <w:b w:val="false"/>
          <w:sz w:val="20"/>
        </w:rPr>
        <w:t>vi.</w:t>
      </w:r>
    </w:p>
    <w:p>
      <w:pPr>
        <w:pStyle w:val="TextBody"/>
        <w:spacing w:before="120" w:after="0"/>
        <w:jc w:val="both"/>
        <w:rPr>
          <w:rFonts w:ascii="Arial;sans-serif" w:hAnsi="Arial;sans-serif"/>
          <w:b w:val="false"/>
          <w:sz w:val="20"/>
        </w:rPr>
      </w:pPr>
      <w:r>
        <w:rPr>
          <w:rFonts w:ascii="Arial;sans-serif" w:hAnsi="Arial;sans-serif"/>
          <w:b w:val="false"/>
          <w:sz w:val="20"/>
        </w:rPr>
        <w:t>holding periodic meetings with the Audit Committee to communicate deficiencies, discuss the overall remediation plan, and discuss progress made against the approved plan;</w:t>
      </w:r>
    </w:p>
    <w:p>
      <w:pPr>
        <w:pStyle w:val="TextBody"/>
        <w:spacing w:before="120" w:after="0"/>
        <w:jc w:val="both"/>
        <w:rPr>
          <w:rFonts w:ascii="Arial" w:hAnsi="Arial"/>
          <w:b w:val="false"/>
          <w:sz w:val="20"/>
        </w:rPr>
      </w:pPr>
      <w:r>
        <w:rPr>
          <w:rFonts w:ascii="Arial" w:hAnsi="Arial"/>
          <w:b w:val="false"/>
          <w:sz w:val="20"/>
        </w:rPr>
        <w:t>vii.</w:t>
      </w:r>
    </w:p>
    <w:p>
      <w:pPr>
        <w:pStyle w:val="TextBody"/>
        <w:spacing w:before="120" w:after="0"/>
        <w:jc w:val="both"/>
        <w:rPr>
          <w:rFonts w:ascii="Arial;sans-serif" w:hAnsi="Arial;sans-serif"/>
          <w:b w:val="false"/>
          <w:sz w:val="20"/>
        </w:rPr>
      </w:pPr>
      <w:r>
        <w:rPr>
          <w:rFonts w:ascii="Arial;sans-serif" w:hAnsi="Arial;sans-serif"/>
          <w:b w:val="false"/>
          <w:sz w:val="20"/>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w:t>
      </w:r>
    </w:p>
    <w:p>
      <w:pPr>
        <w:pStyle w:val="TextBody"/>
        <w:spacing w:before="120" w:after="0"/>
        <w:jc w:val="both"/>
        <w:rPr>
          <w:rFonts w:ascii="Arial" w:hAnsi="Arial"/>
          <w:b w:val="false"/>
          <w:sz w:val="20"/>
        </w:rPr>
      </w:pPr>
      <w:r>
        <w:rPr>
          <w:rFonts w:ascii="Arial" w:hAnsi="Arial"/>
          <w:b w:val="false"/>
          <w:sz w:val="20"/>
        </w:rPr>
        <w:t>viii.</w:t>
      </w:r>
    </w:p>
    <w:p>
      <w:pPr>
        <w:pStyle w:val="TextBody"/>
        <w:spacing w:before="120" w:after="0"/>
        <w:jc w:val="both"/>
        <w:rPr>
          <w:rFonts w:ascii="Arial;sans-serif" w:hAnsi="Arial;sans-serif"/>
          <w:b w:val="false"/>
          <w:sz w:val="20"/>
        </w:rPr>
      </w:pPr>
      <w:r>
        <w:rPr>
          <w:rFonts w:ascii="Arial;sans-serif" w:hAnsi="Arial;sans-serif"/>
          <w:b w:val="false"/>
          <w:sz w:val="20"/>
        </w:rPr>
        <w:t>enhanced the oversight and review of non-recurring transactions to include consistent communication between functional areas, support consistent documentation of conclusions reached, and retention of evidence supporting the operation of control activities;</w:t>
      </w:r>
    </w:p>
    <w:p>
      <w:pPr>
        <w:pStyle w:val="TextBody"/>
        <w:spacing w:before="120" w:after="0"/>
        <w:jc w:val="both"/>
        <w:rPr>
          <w:rFonts w:ascii="Arial" w:hAnsi="Arial"/>
          <w:b w:val="false"/>
          <w:sz w:val="20"/>
        </w:rPr>
      </w:pPr>
      <w:r>
        <w:rPr>
          <w:rFonts w:ascii="Arial" w:hAnsi="Arial"/>
          <w:b w:val="false"/>
          <w:sz w:val="20"/>
        </w:rPr>
        <w:t>ix.</w:t>
      </w:r>
    </w:p>
    <w:p>
      <w:pPr>
        <w:pStyle w:val="TextBody"/>
        <w:spacing w:before="120" w:after="0"/>
        <w:jc w:val="both"/>
        <w:rPr>
          <w:rFonts w:ascii="Arial;sans-serif" w:hAnsi="Arial;sans-serif"/>
          <w:b w:val="false"/>
          <w:sz w:val="20"/>
        </w:rPr>
      </w:pPr>
      <w:r>
        <w:rPr>
          <w:rFonts w:ascii="Arial;sans-serif" w:hAnsi="Arial;sans-serif"/>
          <w:b w:val="false"/>
          <w:sz w:val="20"/>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pStyle w:val="TextBody"/>
        <w:spacing w:before="120" w:after="0"/>
        <w:jc w:val="both"/>
        <w:rPr>
          <w:rFonts w:ascii="Arial" w:hAnsi="Arial"/>
          <w:b w:val="false"/>
          <w:sz w:val="20"/>
        </w:rPr>
      </w:pPr>
      <w:r>
        <w:rPr>
          <w:rFonts w:ascii="Arial" w:hAnsi="Arial"/>
          <w:b w:val="false"/>
          <w:sz w:val="20"/>
        </w:rPr>
        <w:t>x.</w:t>
      </w:r>
    </w:p>
    <w:p>
      <w:pPr>
        <w:pStyle w:val="TextBody"/>
        <w:spacing w:before="120" w:after="0"/>
        <w:jc w:val="both"/>
        <w:rPr>
          <w:rFonts w:ascii="Arial;sans-serif" w:hAnsi="Arial;sans-serif"/>
          <w:b w:val="false"/>
          <w:sz w:val="20"/>
        </w:rPr>
      </w:pPr>
      <w:r>
        <w:rPr>
          <w:rFonts w:ascii="Arial;sans-serif" w:hAnsi="Arial;sans-serif"/>
          <w:b w:val="false"/>
          <w:sz w:val="20"/>
        </w:rPr>
        <w:t>continuing to enhance and standardize user access reviews and monitoring controls to improve segregation of duties, and more comprehensively review user and privileged access to financial applications, programs and data to appropriate Company personnel; and;</w:t>
      </w:r>
    </w:p>
    <w:p>
      <w:pPr>
        <w:pStyle w:val="TextBody"/>
        <w:spacing w:before="120" w:after="0"/>
        <w:jc w:val="both"/>
        <w:rPr>
          <w:rFonts w:ascii="Arial" w:hAnsi="Arial"/>
          <w:b w:val="false"/>
          <w:sz w:val="20"/>
        </w:rPr>
      </w:pPr>
      <w:r>
        <w:rPr>
          <w:rFonts w:ascii="Arial" w:hAnsi="Arial"/>
          <w:b w:val="false"/>
          <w:sz w:val="20"/>
        </w:rPr>
        <w:t>xi.</w:t>
      </w:r>
    </w:p>
    <w:p>
      <w:pPr>
        <w:pStyle w:val="TextBody"/>
        <w:spacing w:before="120" w:after="283"/>
        <w:jc w:val="both"/>
        <w:rPr>
          <w:rFonts w:ascii="Arial;sans-serif" w:hAnsi="Arial;sans-serif"/>
          <w:b w:val="false"/>
          <w:sz w:val="20"/>
        </w:rPr>
      </w:pPr>
      <w:r>
        <w:rPr>
          <w:rFonts w:ascii="Arial;sans-serif" w:hAnsi="Arial;sans-serif"/>
          <w:b w:val="false"/>
          <w:sz w:val="20"/>
        </w:rPr>
        <w:t>continuing to enhance the design of computer operations controls related to the monitoring of critical batch and interface jobs.</w:t>
      </w:r>
    </w:p>
    <w:p>
      <w:pPr>
        <w:pStyle w:val="TextBody"/>
        <w:spacing w:before="0" w:after="0"/>
        <w:jc w:val="both"/>
        <w:rPr>
          <w:rFonts w:ascii="Times New Roman" w:hAnsi="Times New Roman"/>
          <w:sz w:val="20"/>
        </w:rPr>
      </w:pPr>
      <w:r>
        <w:rPr>
          <w:rFonts w:ascii="Arial;sans-serif" w:hAnsi="Arial;sans-serif"/>
          <w:b w:val="false"/>
          <w:sz w:val="20"/>
        </w:rPr>
        <w:br/>
        <w:br/>
      </w:r>
      <w:r>
        <w:rPr>
          <w:rFonts w:ascii="Times New Roman" w:hAnsi="Times New Roman"/>
          <w:sz w:val="20"/>
        </w:rPr>
        <w:t> </w:t>
      </w:r>
    </w:p>
    <w:p>
      <w:pPr>
        <w:pStyle w:val="TextBody"/>
        <w:spacing w:before="24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pStyle w:val="TextBody"/>
        <w:spacing w:before="180" w:after="0"/>
        <w:jc w:val="both"/>
        <w:rPr>
          <w:rFonts w:ascii="Arial;sans-serif" w:hAnsi="Arial;sans-serif"/>
          <w:b/>
          <w:i/>
          <w:sz w:val="20"/>
        </w:rPr>
      </w:pPr>
      <w:r>
        <w:rPr>
          <w:rFonts w:ascii="Arial;sans-serif" w:hAnsi="Arial;sans-serif"/>
          <w:b/>
          <w:i/>
          <w:sz w:val="20"/>
        </w:rPr>
        <w:t>Changes in Internal Control Over Financial Reporting</w:t>
      </w:r>
    </w:p>
    <w:p>
      <w:pPr>
        <w:pStyle w:val="TextBody"/>
        <w:spacing w:before="180" w:after="0"/>
        <w:jc w:val="both"/>
        <w:rPr>
          <w:rFonts w:ascii="Arial;sans-serif" w:hAnsi="Arial;sans-serif"/>
          <w:b w:val="false"/>
          <w:sz w:val="20"/>
        </w:rPr>
      </w:pPr>
      <w:r>
        <w:rPr>
          <w:rFonts w:ascii="Arial;sans-serif" w:hAnsi="Arial;sans-serif"/>
          <w:b w:val="false"/>
          <w:sz w:val="20"/>
        </w:rPr>
        <w:t>There were no material changes in our internal control over financial reporting during the quarter ended March 31, 2023 that have materially affected, or are reasonably likely to materially affect, our internal control over financial reporting.</w:t>
      </w:r>
    </w:p>
    <w:p>
      <w:pPr>
        <w:pStyle w:val="TextBody"/>
        <w:spacing w:before="180" w:after="0"/>
        <w:jc w:val="both"/>
        <w:rPr>
          <w:rFonts w:ascii="Arial;sans-serif" w:hAnsi="Arial;sans-serif"/>
          <w:b/>
          <w:i/>
          <w:sz w:val="20"/>
        </w:rPr>
      </w:pPr>
      <w:r>
        <w:rPr>
          <w:rFonts w:ascii="Arial;sans-serif" w:hAnsi="Arial;sans-serif"/>
          <w:b/>
          <w:i/>
          <w:sz w:val="20"/>
        </w:rPr>
        <w:t>Inherent Limitations on the Effectiveness of Disclosure Controls and Procedures</w:t>
      </w:r>
    </w:p>
    <w:p>
      <w:pPr>
        <w:pStyle w:val="TextBody"/>
        <w:spacing w:before="180" w:after="0"/>
        <w:jc w:val="both"/>
        <w:rPr>
          <w:rFonts w:ascii="Arial;sans-serif" w:hAnsi="Arial;sans-serif"/>
          <w:b w:val="false"/>
          <w:sz w:val="20"/>
        </w:rPr>
      </w:pPr>
      <w:r>
        <w:rPr>
          <w:rFonts w:ascii="Arial;sans-serif" w:hAnsi="Arial;sans-serif"/>
          <w:b w:val="false"/>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spacing w:before="24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0"/>
        </w:rPr>
      </w:pPr>
      <w:bookmarkStart w:id="14" w:name="part_iior_information"/>
      <w:bookmarkEnd w:id="14"/>
      <w:r>
        <w:rPr>
          <w:rFonts w:ascii="Arial;sans-serif" w:hAnsi="Arial;sans-serif"/>
          <w:b/>
          <w:sz w:val="20"/>
        </w:rPr>
        <w:t>PART II—OTHER INFORMATION</w:t>
      </w:r>
    </w:p>
    <w:p>
      <w:pPr>
        <w:pStyle w:val="TextBody"/>
        <w:spacing w:before="180" w:after="0"/>
        <w:jc w:val="left"/>
        <w:rPr>
          <w:rFonts w:ascii="Arial;sans-serif" w:hAnsi="Arial;sans-serif"/>
          <w:b/>
          <w:sz w:val="20"/>
        </w:rPr>
      </w:pPr>
      <w:bookmarkStart w:id="15" w:name="item_1_legal_proceedings"/>
      <w:bookmarkEnd w:id="15"/>
      <w:r>
        <w:rPr>
          <w:rFonts w:ascii="Arial;sans-serif" w:hAnsi="Arial;sans-serif"/>
          <w:b/>
          <w:sz w:val="20"/>
        </w:rPr>
        <w:t>Item 1. Legal Proceedings.</w:t>
      </w:r>
    </w:p>
    <w:p>
      <w:pPr>
        <w:pStyle w:val="TextBody"/>
        <w:spacing w:before="180" w:after="0"/>
        <w:jc w:val="both"/>
        <w:rPr>
          <w:rFonts w:ascii="Times New Roman" w:hAnsi="Times New Roman"/>
          <w:sz w:val="20"/>
        </w:rPr>
      </w:pPr>
      <w:r>
        <w:rPr>
          <w:rFonts w:ascii="Arial;sans-serif" w:hAnsi="Arial;sans-serif"/>
          <w:b w:val="false"/>
          <w:sz w:val="20"/>
        </w:rPr>
        <w:t>The information set forth under Note 7, Commitments and Contingencies, in Notes to Unaudited Condensed Consolidated Financial Statements included in Part I, Item 1, of this Quarterly Report on Form 10-Q, is incorporated herein by reference.</w:t>
      </w:r>
      <w:r>
        <w:rPr>
          <w:rFonts w:ascii="Times New Roman" w:hAnsi="Times New Roman"/>
          <w:sz w:val="20"/>
        </w:rPr>
        <w:t xml:space="preserve"> </w:t>
      </w:r>
    </w:p>
    <w:p>
      <w:pPr>
        <w:pStyle w:val="TextBody"/>
        <w:spacing w:before="180" w:after="0"/>
        <w:jc w:val="left"/>
        <w:rPr>
          <w:rFonts w:ascii="Arial;sans-serif" w:hAnsi="Arial;sans-serif"/>
          <w:b/>
          <w:sz w:val="20"/>
        </w:rPr>
      </w:pPr>
      <w:bookmarkStart w:id="16" w:name="item_1a_risk_factors"/>
      <w:bookmarkEnd w:id="16"/>
      <w:r>
        <w:rPr>
          <w:rFonts w:ascii="Arial;sans-serif" w:hAnsi="Arial;sans-serif"/>
          <w:b/>
          <w:sz w:val="20"/>
        </w:rPr>
        <w:t>Item 1A. Risk Factors.</w:t>
      </w:r>
    </w:p>
    <w:p>
      <w:pPr>
        <w:pStyle w:val="TextBody"/>
        <w:spacing w:before="120" w:after="0"/>
        <w:jc w:val="both"/>
        <w:rPr>
          <w:rFonts w:ascii="Arial;sans-serif" w:hAnsi="Arial;sans-serif"/>
          <w:b w:val="false"/>
          <w:sz w:val="20"/>
        </w:rPr>
      </w:pPr>
      <w:r>
        <w:rPr>
          <w:rFonts w:ascii="Arial;sans-serif" w:hAnsi="Arial;sans-serif"/>
          <w:b w:val="false"/>
          <w:sz w:val="20"/>
        </w:rPr>
        <w:t>Investing in our Class A common stock involves a high degree of risk. You should carefully consider the risks and uncertainties described under the heading "Risk Factors" in Part I, Item 1A of our 2022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Other than the risk factors noted below, there have been no additional material changes from the risk factors previously disclosed under the heading "Risk Factors" in Part I, Item 1A of our 2022 Form 10-K.</w:t>
      </w:r>
    </w:p>
    <w:p>
      <w:pPr>
        <w:pStyle w:val="TextBody"/>
        <w:spacing w:before="180" w:after="0"/>
        <w:jc w:val="both"/>
        <w:rPr>
          <w:rFonts w:ascii="Arial;sans-serif" w:hAnsi="Arial;sans-serif"/>
          <w:b/>
          <w:sz w:val="20"/>
          <w:u w:val="single"/>
        </w:rPr>
      </w:pPr>
      <w:r>
        <w:rPr>
          <w:rFonts w:ascii="Arial;sans-serif" w:hAnsi="Arial;sans-serif"/>
          <w:b/>
          <w:sz w:val="20"/>
          <w:u w:val="single"/>
        </w:rPr>
        <w:t>Risks Related to Our Business and Industry</w:t>
      </w:r>
    </w:p>
    <w:p>
      <w:pPr>
        <w:pStyle w:val="TextBody"/>
        <w:spacing w:before="180" w:after="0"/>
        <w:jc w:val="both"/>
        <w:rPr>
          <w:rFonts w:ascii="Times New Roman" w:hAnsi="Times New Roman"/>
          <w:sz w:val="20"/>
        </w:rPr>
      </w:pPr>
      <w:r>
        <w:rPr>
          <w:rFonts w:ascii="Arial;sans-serif" w:hAnsi="Arial;sans-serif"/>
          <w:b/>
          <w:i/>
          <w:sz w:val="20"/>
        </w:rPr>
        <w:t>We may be involved in litigation matters or other legal proceedings that are expensive and time consuming.</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We may become involved in litigation matters, including class action lawsuits, relating to intellectual property, product liability, and consumer practices, whether for our own products or those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(the “IPO Case”).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 only claims made under Sections 11 and 15 of the Securities Act.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pStyle w:val="TextBody"/>
        <w:spacing w:before="24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and in one case have resulted, in civil and/or criminal penalties, large fines, other penalties, and/or remediation efforts and/or injunctive relief that could limit or restrict our ability to do business either in a given jurisdiction within a product class. For example, we agreed pay a fee to settle with France’s Directorate General for Competition, Consumer Affairs and Repression of Fraud in connection with charges relating to consumer protection. Separately, at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pStyle w:val="TextBody"/>
        <w:spacing w:before="180" w:after="0"/>
        <w:jc w:val="both"/>
        <w:rPr>
          <w:rFonts w:ascii="Times New Roman" w:hAnsi="Times New Roman"/>
          <w:sz w:val="20"/>
        </w:rPr>
      </w:pPr>
      <w:r>
        <w:rPr>
          <w:rFonts w:ascii="Arial;sans-serif" w:hAnsi="Arial;sans-serif"/>
          <w:b/>
          <w:i/>
          <w:sz w:val="20"/>
        </w:rPr>
        <w:t>Bank failures or other events affecting financial institutions could materially adversely affect our operations, liquidity and financial performance.</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We maintain domestic cash deposits in Federal Deposit Insurance Corporation (“FDIC”) insured banks, which exceed the FDIC insurance limits, and any deposits beyond these limits could be lost. We also maintain cash deposits in foreign banks where we operate, some of which are not insured or are only partially insured by the FDIC or other similar agencies. The failure of a bank, or events involving limited liquidity, defaults, non-performance or other adverse conditions in the financial or credit markets impacting financial institutions at which we maintain balances, or concerns or rumors about such events, may lead to disruptions in access to our bank deposits or otherwise adversely impact our liquidity and financial performance. While we maintain our cash and short-term investments with a diverse group of large national financial institutions and our limited deposits at Silicon Valley Bank were backstopped by the U.S. government, there can be no assurance that any of our other deposits in excess of the FDIC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spacing w:before="180" w:after="0"/>
        <w:jc w:val="both"/>
        <w:rPr>
          <w:rFonts w:ascii="Arial;sans-serif" w:hAnsi="Arial;sans-serif"/>
          <w:b w:val="false"/>
          <w:sz w:val="20"/>
        </w:rPr>
      </w:pPr>
      <w:r>
        <w:rPr>
          <w:rFonts w:ascii="Arial;sans-serif" w:hAnsi="Arial;sans-serif"/>
          <w:b w:val="false"/>
          <w:sz w:val="20"/>
        </w:rPr>
        <w:t>In addition, instability, liquidity constraints or other distress in the financial markets, including the effects of bank failures, defaults, non-performance or other adverse developments that affect financial institutions, could impair the ability of one or more of the banks participating in our credit agreement or any future credit agreement from honoring their commitments. This could have a material adverse effect on our business if we were not able to replace those commitments or to locate other sources of liquidity on acceptable terms.</w:t>
      </w:r>
    </w:p>
    <w:p>
      <w:pPr>
        <w:pStyle w:val="TextBody"/>
        <w:spacing w:before="180" w:after="0"/>
        <w:jc w:val="both"/>
        <w:rPr>
          <w:rFonts w:ascii="Arial;sans-serif" w:hAnsi="Arial;sans-serif"/>
          <w:b/>
          <w:sz w:val="20"/>
          <w:u w:val="single"/>
        </w:rPr>
      </w:pPr>
      <w:r>
        <w:rPr>
          <w:rFonts w:ascii="Arial;sans-serif" w:hAnsi="Arial;sans-serif"/>
          <w:b/>
          <w:sz w:val="20"/>
          <w:u w:val="single"/>
        </w:rPr>
        <w:t>Risks Related to Our International Operations</w:t>
      </w:r>
    </w:p>
    <w:p>
      <w:pPr>
        <w:pStyle w:val="TextBody"/>
        <w:spacing w:before="180" w:after="0"/>
        <w:jc w:val="both"/>
        <w:rPr>
          <w:rFonts w:ascii="Arial;sans-serif" w:hAnsi="Arial;sans-serif"/>
          <w:b/>
          <w:i/>
          <w:sz w:val="20"/>
        </w:rPr>
      </w:pPr>
      <w:r>
        <w:rPr>
          <w:rFonts w:ascii="Arial;sans-serif" w:hAnsi="Arial;sans-serif"/>
          <w:b/>
          <w:i/>
          <w:sz w:val="20"/>
        </w:rPr>
        <w:t>Our international operations are subject to increased risks.</w:t>
      </w:r>
    </w:p>
    <w:p>
      <w:pPr>
        <w:pStyle w:val="TextBody"/>
        <w:spacing w:before="180" w:after="0"/>
        <w:jc w:val="both"/>
        <w:rPr>
          <w:rFonts w:ascii="Times New Roman" w:hAnsi="Times New Roman"/>
          <w:sz w:val="20"/>
        </w:rPr>
      </w:pPr>
      <w:r>
        <w:rPr>
          <w:rFonts w:ascii="Arial;sans-serif" w:hAnsi="Arial;sans-serif"/>
          <w:b w:val="false"/>
          <w:sz w:val="20"/>
        </w:rPr>
        <w:t>There are inherent risks in doing business internationally,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expenses associated with localizing our products and services and user data, including offering our users and merchants the ability to transact business in the local currency and language, and adapting our platform to local preferences;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challenges to enforceability in some foreign jurisdictions of so-called “clickwrap” contracts with our customers, merchants and Wish Local retailers;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trade barriers and changes in trade regulations;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difficulties in developing, staffing, and simultaneously managing a large number of varying foreign operations as a result of distance, language, and cultural differences;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stringent local labor laws and regulations;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credit risk and higher levels of payment fraud;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laws or regulations related to the import or export of goods alleged to violate third-party intellectual property rights;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political or social unrest, economic instability, repression, or human rights issues;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geopolitical events, including natural disasters, public health issues, acts of war, and terrorism; </w:t>
      </w:r>
    </w:p>
    <w:p>
      <w:pPr>
        <w:pStyle w:val="TextBody"/>
        <w:spacing w:before="24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compliance with U.S. laws such as the Foreign Corrupt Practices Act ("FCPA") and foreign laws prohibiting corruption, U.S. and foreign economic and trade sanctions laws, and U.S. and foreign laws designed to combat money laundering and the financing of terrorist activities;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antitrust and competition regulations;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potentially adverse tax developments and consequences;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economic uncertainties relating to sovereign and other debt;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different, uncertain, or more stringent user protection, data protection, data collection, privacy, payments, advertising, pricing, and other laws;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limitations by governmental authorities on transmission of privacy information and other data between countries, whether from the U.S. or other jurisdictions;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national and regional laws, regulations and directives and norms, in the EU, EEA, and UK, regarding content moderation and intermediary liability, transparency, product safety and conformity marking, consumer deception, and forced labor;</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risks related to other government regulation or required compliance with local laws;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national or regional differences in macroeconomic growth rates;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local licensing and reporting obligations. </w:t>
      </w:r>
    </w:p>
    <w:p>
      <w:pPr>
        <w:pStyle w:val="TextBody"/>
        <w:spacing w:before="120" w:after="0"/>
        <w:jc w:val="both"/>
        <w:rPr>
          <w:rFonts w:ascii="Times New Roman" w:hAnsi="Times New Roman"/>
          <w:sz w:val="20"/>
        </w:rPr>
      </w:pPr>
      <w:r>
        <w:rPr>
          <w:rFonts w:ascii="Arial;sans-serif" w:hAnsi="Arial;sans-serif"/>
          <w:b w:val="false"/>
          <w:sz w:val="20"/>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w:t>
      </w:r>
      <w:r>
        <w:rPr>
          <w:rFonts w:ascii="Times New Roman" w:hAnsi="Times New Roman"/>
          <w:sz w:val="20"/>
        </w:rPr>
        <w:t xml:space="preserve"> </w:t>
      </w:r>
    </w:p>
    <w:p>
      <w:pPr>
        <w:pStyle w:val="TextBody"/>
        <w:spacing w:before="180" w:after="0"/>
        <w:jc w:val="both"/>
        <w:rPr>
          <w:rFonts w:ascii="Arial;sans-serif" w:hAnsi="Arial;sans-serif"/>
          <w:b/>
          <w:sz w:val="20"/>
          <w:u w:val="single"/>
        </w:rPr>
      </w:pPr>
      <w:r>
        <w:rPr>
          <w:rFonts w:ascii="Arial;sans-serif" w:hAnsi="Arial;sans-serif"/>
          <w:b/>
          <w:sz w:val="20"/>
          <w:u w:val="single"/>
        </w:rPr>
        <w:t>Risks Related to Network and Infrastructure</w:t>
      </w:r>
    </w:p>
    <w:p>
      <w:pPr>
        <w:pStyle w:val="TextBody"/>
        <w:spacing w:before="180" w:after="0"/>
        <w:jc w:val="both"/>
        <w:rPr>
          <w:rFonts w:ascii="Times New Roman" w:hAnsi="Times New Roman"/>
          <w:sz w:val="20"/>
        </w:rPr>
      </w:pPr>
      <w:r>
        <w:rPr>
          <w:rFonts w:ascii="Arial;sans-serif" w:hAnsi="Arial;sans-serif"/>
          <w:b/>
          <w:i/>
          <w:sz w:val="20"/>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Arial;sans-serif" w:hAnsi="Arial;sans-serif"/>
          <w:b w:val="false"/>
          <w:sz w:val="20"/>
        </w:rPr>
        <w:t>Although there are legal mechanisms to allow for the transfer of personal data from the United Kingdom ("U.K."), EEA and Switzerland to the U.S.,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EEA.</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Following its exit from the EU in January 2020, the U.K. implemented legislation referred to as the “U.K.-GDPR” which substantially aligns with requirements and penalties under the EU GDPR. We may face similar costs, risks, and operational impacts in complying with the U.K.-GDPR as we face in complying with the EU GDPR.</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In recent years, U.S. and European lawmakers and regulators have expressed concern over the use of third-party cookies and similar technologies for online behavioral advertising, and laws in this area are also under reform. In the EU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pStyle w:val="TextBody"/>
        <w:spacing w:before="180" w:after="0"/>
        <w:jc w:val="both"/>
        <w:rPr>
          <w:rFonts w:ascii="Times New Roman" w:hAnsi="Times New Roman"/>
          <w:sz w:val="20"/>
        </w:rPr>
      </w:pPr>
      <w:r>
        <w:rPr>
          <w:rFonts w:ascii="Arial;sans-serif" w:hAnsi="Arial;sans-serif"/>
          <w:b w:val="false"/>
          <w:sz w:val="20"/>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In the U.S.,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Additionally, the Virginia Consumer Data Protection Act (the “VCDPA”) will become effective on January 1, 2023. The Colorado Privacy Act and the Connecticut Data Privacy Act will become effective on July 1, 2023, and the Utah Consumer Privacy Act will become effective on December 31, 2023.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val="false"/>
          <w:sz w:val="20"/>
        </w:rPr>
      </w:pPr>
      <w:r>
        <w:rPr>
          <w:rFonts w:ascii="Arial;sans-serif" w:hAnsi="Arial;sans-serif"/>
          <w:b w:val="false"/>
          <w:sz w:val="20"/>
        </w:rPr>
        <w:t>Additionally, new platform liability laws, potential amendments to existing laws, and ongoing regulatory and judicial interpretation of these laws imparting liability for conduct by users of a platform may create costs and uncertainty for our platform at its users. In the U.S., the United States Supreme Court recently agreed to review a matter in which the scope of protections available to online platforms under Section 230 of the Communications Decency Act, or CDA, is at issue. In parallel, there have also been various Executive and Congressional efforts to restrict the scope of protections available to online platforms under Section 230 of the CDA, and our current protections from liability for third-party content posted on our platform in the United States could decrease or change depending on judicial interpretation and/or content-related legislation. We could incur significant costs investigating and defending such claims and, if we are found liable, significant damages.</w:t>
      </w:r>
    </w:p>
    <w:p>
      <w:pPr>
        <w:pStyle w:val="TextBody"/>
        <w:spacing w:before="180" w:after="0"/>
        <w:jc w:val="both"/>
        <w:rPr>
          <w:rFonts w:ascii="Arial;sans-serif" w:hAnsi="Arial;sans-serif"/>
          <w:b w:val="false"/>
          <w:sz w:val="20"/>
        </w:rPr>
      </w:pPr>
      <w:r>
        <w:rPr>
          <w:rFonts w:ascii="Arial;sans-serif" w:hAnsi="Arial;sans-serif"/>
          <w:b w:val="false"/>
          <w:sz w:val="20"/>
        </w:rPr>
        <w:t>In September 2021 and November 2021, the PRC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pStyle w:val="TextBody"/>
        <w:spacing w:before="180" w:after="0"/>
        <w:jc w:val="both"/>
        <w:rPr>
          <w:rFonts w:ascii="Times New Roman" w:hAnsi="Times New Roman"/>
          <w:sz w:val="20"/>
        </w:rPr>
      </w:pPr>
      <w:r>
        <w:rPr>
          <w:rFonts w:ascii="Arial;sans-serif" w:hAnsi="Arial;sans-serif"/>
          <w:b w:val="false"/>
          <w:sz w:val="20"/>
        </w:rPr>
        <w:t>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sz w:val="20"/>
          <w:u w:val="single"/>
        </w:rPr>
        <w:t>Risks Related to Our Class A Common Stock</w:t>
      </w:r>
      <w:r>
        <w:rPr>
          <w:rFonts w:ascii="Times New Roman" w:hAnsi="Times New Roman"/>
          <w:sz w:val="20"/>
        </w:rPr>
        <w:t xml:space="preserve"> </w:t>
      </w:r>
    </w:p>
    <w:p>
      <w:pPr>
        <w:pStyle w:val="TextBody"/>
        <w:spacing w:before="180" w:after="0"/>
        <w:jc w:val="both"/>
        <w:rPr>
          <w:rFonts w:ascii="Arial;sans-serif" w:hAnsi="Arial;sans-serif"/>
          <w:b/>
          <w:i/>
          <w:sz w:val="20"/>
        </w:rPr>
      </w:pPr>
      <w:r>
        <w:rPr>
          <w:rFonts w:ascii="Arial;sans-serif" w:hAnsi="Arial;sans-serif"/>
          <w:b/>
          <w:i/>
          <w:sz w:val="20"/>
        </w:rPr>
        <w:t>We completed a reverse stock split in order to regain compliance with the listing requirements of the Nasdaq Global Select Market, but there is no assurance that the reverse stock split will result in us remaining compliant with such listing requirements.</w:t>
      </w:r>
    </w:p>
    <w:p>
      <w:pPr>
        <w:pStyle w:val="TextBody"/>
        <w:spacing w:before="180" w:after="0"/>
        <w:jc w:val="both"/>
        <w:rPr>
          <w:rFonts w:ascii="Arial;sans-serif" w:hAnsi="Arial;sans-serif"/>
          <w:b w:val="false"/>
          <w:sz w:val="20"/>
        </w:rPr>
      </w:pPr>
      <w:r>
        <w:rPr>
          <w:rFonts w:ascii="Arial;sans-serif" w:hAnsi="Arial;sans-serif"/>
          <w:b w:val="false"/>
          <w:sz w:val="20"/>
        </w:rPr>
        <w:t>Our Class A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pStyle w:val="TextBody"/>
        <w:spacing w:before="180" w:after="0"/>
        <w:jc w:val="both"/>
        <w:rPr>
          <w:rFonts w:ascii="Arial;sans-serif" w:hAnsi="Arial;sans-serif"/>
          <w:b w:val="false"/>
          <w:sz w:val="20"/>
        </w:rPr>
      </w:pPr>
      <w:r>
        <w:rPr>
          <w:rFonts w:ascii="Arial;sans-serif" w:hAnsi="Arial;sans-serif"/>
          <w:b w:val="false"/>
          <w:sz w:val="20"/>
        </w:rPr>
        <w:t>On April 10, 2023, following stockholder approval, our Board of Directors approved a 1-for-30 reverse stock split of our issued and outstanding shares of common stock. On April 12, 2023, our common stock began trading on a split-adjusted basis on the Nasdaq Global Select Market.</w:t>
      </w:r>
    </w:p>
    <w:p>
      <w:pPr>
        <w:pStyle w:val="TextBody"/>
        <w:spacing w:before="180" w:after="0"/>
        <w:jc w:val="both"/>
        <w:rPr>
          <w:rFonts w:ascii="Arial;sans-serif" w:hAnsi="Arial;sans-serif"/>
          <w:b w:val="false"/>
          <w:sz w:val="20"/>
        </w:rPr>
      </w:pPr>
      <w:r>
        <w:rPr>
          <w:rFonts w:ascii="Arial;sans-serif" w:hAnsi="Arial;sans-serif"/>
          <w:b w:val="false"/>
          <w:sz w:val="20"/>
        </w:rPr>
        <w:t>Although as of April 26, 2023, we regained compliance with the Minimum Bid Price Requirement, there can be no assurance that we will remain in compliance with the Minimum Bid Price Requirement or will otherwise be in compliance with other Nasdaq listing rules.</w:t>
      </w:r>
    </w:p>
    <w:p>
      <w:pPr>
        <w:pStyle w:val="TextBody"/>
        <w:spacing w:before="24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i/>
          <w:sz w:val="20"/>
        </w:rPr>
      </w:pPr>
      <w:r>
        <w:rPr>
          <w:rFonts w:ascii="Arial;sans-serif" w:hAnsi="Arial;sans-serif"/>
          <w:b/>
          <w:i/>
          <w:sz w:val="20"/>
        </w:rPr>
        <w:t>We completed a 1-for-30 reverse stock split of our shares of common stock, which may reduce and limit the market trading liquidity of the shares due to the reduced number of shares outstanding.</w:t>
      </w:r>
    </w:p>
    <w:p>
      <w:pPr>
        <w:pStyle w:val="TextBody"/>
        <w:spacing w:before="180" w:after="0"/>
        <w:jc w:val="both"/>
        <w:rPr>
          <w:rFonts w:ascii="Arial;sans-serif" w:hAnsi="Arial;sans-serif"/>
          <w:b w:val="false"/>
          <w:sz w:val="20"/>
        </w:rPr>
      </w:pPr>
      <w:r>
        <w:rPr>
          <w:rFonts w:ascii="Arial;sans-serif" w:hAnsi="Arial;sans-serif"/>
          <w:b w:val="false"/>
          <w:sz w:val="20"/>
        </w:rPr>
        <w:t>Effective April 11, 2023, we completed a reverse stock split of our common stock by a ratio of 1-for-30. As a result, the liquidity of our Class A common stock may be adversely affected by the reverse stock split due to the reduced number of shares outstanding following such reverse stock split. Absent other factors, reducing the number of outstanding shares of our common stock through the reverse stock split is intended to increase the per-share market price of our Class A common stock. However, a reduction in the liquidity of our Class A common stock as well as other factors, including our financial and operating results, strategic direction, market conditions, and market perception may adversely affect the market price of our Class A common stock. As such, there can be no assurance that the reverse stock split will result in an increase in the market price of our Class A common stock, and such market price may also decrease in the future.</w:t>
      </w:r>
    </w:p>
    <w:p>
      <w:pPr>
        <w:pStyle w:val="TextBody"/>
        <w:spacing w:before="180" w:after="0"/>
        <w:jc w:val="both"/>
        <w:rPr>
          <w:rFonts w:ascii="Arial;sans-serif" w:hAnsi="Arial;sans-serif"/>
          <w:b/>
          <w:i/>
          <w:sz w:val="20"/>
        </w:rPr>
      </w:pPr>
      <w:r>
        <w:rPr>
          <w:rFonts w:ascii="Arial;sans-serif" w:hAnsi="Arial;sans-serif"/>
          <w:b/>
          <w:i/>
          <w:sz w:val="20"/>
        </w:rPr>
        <w:t>We cannot guarantee that our share repurchase program will be fully implemented or that it will result in an increase in the market price of our Class A common stock. To the extent we repurchase any shares, such repurchases could affect the price of our Class A common stock, increase the volatility of the trading price, and would diminish our cash reserves.</w:t>
      </w:r>
    </w:p>
    <w:p>
      <w:pPr>
        <w:pStyle w:val="TextBody"/>
        <w:spacing w:before="180" w:after="0"/>
        <w:jc w:val="both"/>
        <w:rPr>
          <w:rFonts w:ascii="Times New Roman" w:hAnsi="Times New Roman"/>
          <w:sz w:val="20"/>
        </w:rPr>
      </w:pPr>
      <w:r>
        <w:rPr>
          <w:rFonts w:ascii="Arial;sans-serif" w:hAnsi="Arial;sans-serif"/>
          <w:b w:val="false"/>
          <w:sz w:val="20"/>
        </w:rPr>
        <w:t>In April 2023, our Board of Directors authorized a share repurchase program to repurchase up to $50 million of our outstanding Class A common stock through the end of 2023 (the “Program”). Under the Program, repurchases may be made through open market purchases, privately negotiated transactions, or by other means, and are subject to market and business conditions, liquidity, alternative cash requirements, and other relevant factors. The actual timing and amount of repurchases remain subject to a variety of factors, including stock price, trading volume, market conditions, corporate and regulatory requirements, market and economic conditions, and general business considerations.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Program may be modified, suspended, or terminated at any time, which may result in a decrease in the price of our Class A common stock, and we cannot guarantee that the Program will be fully implemented or that it will result in an increase in the market price of our Class A common stock. The Program does not obligate us to repurchase any specific dollar amount or to acquire any specific number of shares.</w:t>
      </w:r>
      <w:r>
        <w:rPr>
          <w:rFonts w:ascii="Times New Roman" w:hAnsi="Times New Roman"/>
          <w:sz w:val="20"/>
        </w:rPr>
        <w:t xml:space="preserve"> </w:t>
      </w:r>
    </w:p>
    <w:p>
      <w:pPr>
        <w:pStyle w:val="TextBody"/>
        <w:spacing w:before="180" w:after="0"/>
        <w:jc w:val="both"/>
        <w:rPr>
          <w:rFonts w:ascii="Arial;sans-serif" w:hAnsi="Arial;sans-serif"/>
          <w:b w:val="false"/>
          <w:sz w:val="20"/>
        </w:rPr>
      </w:pPr>
      <w:r>
        <w:rPr>
          <w:rFonts w:ascii="Arial;sans-serif" w:hAnsi="Arial;sans-serif"/>
          <w:b w:val="false"/>
          <w:sz w:val="20"/>
        </w:rPr>
        <w:t>To the extent we make repurchases under the Program, such repurchases will decrease the number of outstanding shares of our Class A common stock and could affect the trading price of our Class A common stock and increase its volatility. The implementation of our Program could also cause the price of our Class A common stock to be higher than it would be in the absence of such a program and could reduce the market liquidity for our stock. Additionally, repurchases under the Program would diminish our cash reserves or marketable securities, which could impact our ability to further develop our business.</w:t>
      </w:r>
    </w:p>
    <w:p>
      <w:pPr>
        <w:pStyle w:val="TextBody"/>
        <w:spacing w:before="180" w:after="0"/>
        <w:jc w:val="both"/>
        <w:rPr>
          <w:rFonts w:ascii="Arial;sans-serif" w:hAnsi="Arial;sans-serif"/>
          <w:b w:val="false"/>
          <w:sz w:val="20"/>
        </w:rPr>
      </w:pPr>
      <w:r>
        <w:rPr>
          <w:rFonts w:ascii="Arial;sans-serif" w:hAnsi="Arial;sans-serif"/>
          <w:b w:val="false"/>
          <w:sz w:val="20"/>
        </w:rPr>
        <w:t>In August 2022, President Joseph R. Biden signed the Inflation Reduction Act of 2022 (the “IRA”) into law. The IRA includes a 1% excise tax on certain stock repurchases, which certain U.S. officials have proposed raising to 4%. We will continue to evaluate the impacts of the excise tax on the Program, but we do not currently expect the IRA to have a material impact on our operating results.</w:t>
      </w:r>
    </w:p>
    <w:p>
      <w:pPr>
        <w:pStyle w:val="TextBody"/>
        <w:spacing w:before="180" w:after="0"/>
        <w:jc w:val="both"/>
        <w:rPr>
          <w:rFonts w:ascii="Times New Roman" w:hAnsi="Times New Roman"/>
          <w:sz w:val="20"/>
        </w:rPr>
      </w:pPr>
      <w:r>
        <w:rPr>
          <w:rFonts w:ascii="Arial;sans-serif" w:hAnsi="Arial;sans-serif"/>
          <w:b/>
          <w:i/>
          <w:sz w:val="20"/>
        </w:rPr>
        <w:t>The price of our Class A common stock has been and continues to be volatile. Declines in the price of our Class A common stock has resulted in and could subject us to future litigation.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Arial;sans-serif" w:hAnsi="Arial;sans-serif"/>
          <w:b w:val="false"/>
          <w:sz w:val="20"/>
        </w:rPr>
        <w:t>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variations in our operating results and other financial and operational metrics, including the key financial and operating metrics disclosed in this report, as well as how those results and metrics compare to analyst and investor expectations;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speculation about our operating results in the absence of our own financial projections;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failure of analysts to initiate or maintain coverage of our company, changes in their estimates of our operating results or changes in recommendations by analysts that follow our Class A common stock;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announcements of new services or enhancements, strategic alliances or significant agreements or other developments by us or our competitors; </w:t>
      </w:r>
    </w:p>
    <w:p>
      <w:pPr>
        <w:pStyle w:val="TextBody"/>
        <w:spacing w:before="24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announcements by us or our competitors of mergers or acquisitions or rumors of such transactions involving us or our competitors;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changes in our senior management or other key personnel;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disruptions in our platform due to hardware, software or network problems, security breaches or other issues;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the strength of the global economy or the economy in the jurisdictions in which we operate, and market conditions in our industry and those affecting our merchants and users;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trading activity by our principal stockholders and other market participants, in whom ownership of our Class A common stock may be concentrated following our IPO;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changes in legal or regulatory requirements relating to our business;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litigation or other claims against us;</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the impact or perceived impact of our 30-for-1 reverse stock split;</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announcements about any share repurchase program and purchases under the program;</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the number of shares of our Class A common stock that are available for public trading;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any other factors discussed in this report. </w:t>
      </w:r>
    </w:p>
    <w:p>
      <w:pPr>
        <w:pStyle w:val="TextBody"/>
        <w:spacing w:before="120" w:after="0"/>
        <w:jc w:val="both"/>
        <w:rPr>
          <w:rFonts w:ascii="Arial;sans-serif" w:hAnsi="Arial;sans-serif"/>
          <w:b w:val="false"/>
          <w:sz w:val="20"/>
        </w:rPr>
      </w:pPr>
      <w:r>
        <w:rPr>
          <w:rFonts w:ascii="Arial;sans-serif" w:hAnsi="Arial;sans-serif"/>
          <w:b w:val="false"/>
          <w:sz w:val="20"/>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 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pStyle w:val="TextBody"/>
        <w:spacing w:before="180" w:after="0"/>
        <w:jc w:val="both"/>
        <w:rPr>
          <w:rFonts w:ascii="Arial;sans-serif" w:hAnsi="Arial;sans-serif"/>
          <w:b/>
          <w:sz w:val="20"/>
        </w:rPr>
      </w:pPr>
      <w:bookmarkStart w:id="17" w:name="item_2_equity_securities"/>
      <w:bookmarkEnd w:id="17"/>
      <w:r>
        <w:rPr>
          <w:rFonts w:ascii="Arial;sans-serif" w:hAnsi="Arial;sans-serif"/>
          <w:b/>
          <w:sz w:val="20"/>
        </w:rPr>
        <w:t>Item 2. Unregistered Sales of Equity Securities and Use of Proceeds.</w:t>
      </w:r>
    </w:p>
    <w:p>
      <w:pPr>
        <w:pStyle w:val="TextBody"/>
        <w:spacing w:before="180" w:after="0"/>
        <w:jc w:val="both"/>
        <w:rPr>
          <w:rFonts w:ascii="Times New Roman" w:hAnsi="Times New Roman"/>
          <w:sz w:val="20"/>
        </w:rPr>
      </w:pPr>
      <w:r>
        <w:rPr>
          <w:rFonts w:ascii="Arial;sans-serif" w:hAnsi="Arial;sans-serif"/>
          <w:b w:val="false"/>
          <w:i/>
          <w:sz w:val="20"/>
        </w:rPr>
        <w:t>(c)</w:t>
      </w:r>
      <w:r>
        <w:rPr>
          <w:rFonts w:ascii="Times New Roman" w:hAnsi="Times New Roman"/>
          <w:sz w:val="20"/>
        </w:rPr>
        <w:t xml:space="preserve"> </w:t>
      </w:r>
      <w:r>
        <w:rPr>
          <w:rFonts w:ascii="Arial;sans-serif" w:hAnsi="Arial;sans-serif"/>
          <w:b w:val="false"/>
          <w:i/>
          <w:sz w:val="20"/>
        </w:rPr>
        <w:t>Issuer Purchases of Equity Securities</w:t>
      </w:r>
    </w:p>
    <w:p>
      <w:pPr>
        <w:pStyle w:val="TextBody"/>
        <w:spacing w:before="180" w:after="0"/>
        <w:jc w:val="both"/>
        <w:rPr>
          <w:rFonts w:ascii="Times New Roman" w:hAnsi="Times New Roman"/>
          <w:sz w:val="20"/>
        </w:rPr>
      </w:pPr>
      <w:r>
        <w:rPr>
          <w:rFonts w:ascii="Arial;sans-serif" w:hAnsi="Arial;sans-serif"/>
          <w:b w:val="false"/>
          <w:sz w:val="19"/>
        </w:rPr>
        <w:t xml:space="preserve">On April 20, 2023, we announced that our board of directors authorized us to repurchase up to $50 million of our common stock, effective through December 31, 2023. Under the share repurchase program, we may repurchase shares of our common stock through open market transactions, in privately negotiated transactions, or by other means, including through the use of trading plans, each in accordance with applicable securities laws and other restrictions. </w:t>
      </w:r>
      <w:r>
        <w:rPr>
          <w:rFonts w:ascii="Arial;sans-serif" w:hAnsi="Arial;sans-serif"/>
          <w:b w:val="false"/>
          <w:sz w:val="20"/>
        </w:rPr>
        <w:t>The manner, timing, and amount of any purchase will be based on an assessment of business, economic and market conditions, corporate and regulatory requirements, prevailing stock prices, and other considerations. The repurchase program may be suspended, terminated, or modified at any time for any reason.</w:t>
      </w:r>
    </w:p>
    <w:p>
      <w:pPr>
        <w:pStyle w:val="TextBody"/>
        <w:spacing w:before="180" w:after="0"/>
        <w:jc w:val="both"/>
        <w:rPr>
          <w:rFonts w:ascii="Arial;sans-serif" w:hAnsi="Arial;sans-serif"/>
          <w:b w:val="false"/>
          <w:sz w:val="20"/>
        </w:rPr>
      </w:pPr>
      <w:r>
        <w:rPr>
          <w:rFonts w:ascii="Arial;sans-serif" w:hAnsi="Arial;sans-serif"/>
          <w:b w:val="false"/>
          <w:sz w:val="20"/>
        </w:rPr>
        <w:t>We have not made any repurchases for the three months ended March 31, 2023.</w:t>
      </w:r>
    </w:p>
    <w:p>
      <w:pPr>
        <w:pStyle w:val="TextBody"/>
        <w:spacing w:before="24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0" w:after="0"/>
        <w:jc w:val="left"/>
        <w:rPr/>
      </w:pPr>
      <w:r>
        <w:rPr/>
        <w:t> </w:t>
      </w:r>
    </w:p>
    <w:p>
      <w:pPr>
        <w:pStyle w:val="TextBody"/>
        <w:spacing w:before="180" w:after="0"/>
        <w:jc w:val="both"/>
        <w:rPr>
          <w:rFonts w:ascii="Arial;sans-serif" w:hAnsi="Arial;sans-serif"/>
          <w:b/>
          <w:sz w:val="20"/>
        </w:rPr>
      </w:pPr>
      <w:bookmarkStart w:id="18" w:name="item_6_exhibits"/>
      <w:bookmarkEnd w:id="18"/>
      <w:r>
        <w:rPr>
          <w:rFonts w:ascii="Arial;sans-serif" w:hAnsi="Arial;sans-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57"/>
        <w:gridCol w:w="146"/>
        <w:gridCol w:w="9202"/>
      </w:tblGrid>
      <w:tr>
        <w:trPr/>
        <w:tc>
          <w:tcPr>
            <w:tcW w:w="8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02" w:type="dxa"/>
            <w:tcBorders/>
            <w:shd w:fill="auto" w:val="clear"/>
            <w:vAlign w:val="center"/>
          </w:tcPr>
          <w:p>
            <w:pPr>
              <w:pStyle w:val="TableContents"/>
              <w:spacing w:before="0" w:after="283"/>
              <w:rPr>
                <w:sz w:val="4"/>
                <w:szCs w:val="4"/>
              </w:rPr>
            </w:pPr>
            <w:r>
              <w:rPr>
                <w:sz w:val="4"/>
                <w:szCs w:val="4"/>
              </w:rPr>
            </w:r>
          </w:p>
        </w:tc>
      </w:tr>
      <w:tr>
        <w:trPr/>
        <w:tc>
          <w:tcPr>
            <w:tcW w:w="85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Description</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wish-ex3_1.htm">
              <w:r>
                <w:rPr>
                  <w:rStyle w:val="InternetLink"/>
                  <w:rFonts w:ascii="Arial;sans-serif" w:hAnsi="Arial;sans-serif"/>
                  <w:b w:val="false"/>
                  <w:sz w:val="20"/>
                  <w:u w:val="single"/>
                </w:rPr>
                <w:t>3.1*</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wish-ex3_1.htm">
              <w:r>
                <w:rPr>
                  <w:rStyle w:val="InternetLink"/>
                  <w:rFonts w:ascii="Arial;sans-serif" w:hAnsi="Arial;sans-serif"/>
                  <w:b w:val="false"/>
                  <w:sz w:val="20"/>
                  <w:u w:val="single"/>
                </w:rPr>
                <w:t>Restated Certificate of Incorporation, as amended through April 11, 2023</w:t>
              </w:r>
            </w:hyperlink>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wish-ex31_1.htm">
              <w:r>
                <w:rPr>
                  <w:rStyle w:val="InternetLink"/>
                  <w:rFonts w:ascii="Arial;sans-serif" w:hAnsi="Arial;sans-serif"/>
                  <w:b w:val="false"/>
                  <w:sz w:val="20"/>
                  <w:u w:val="single"/>
                </w:rPr>
                <w:t>31.1*</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wish-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wish-ex31_2.htm">
              <w:r>
                <w:rPr>
                  <w:rStyle w:val="InternetLink"/>
                  <w:rFonts w:ascii="Arial;sans-serif" w:hAnsi="Arial;sans-serif"/>
                  <w:b w:val="false"/>
                  <w:sz w:val="20"/>
                  <w:u w:val="single"/>
                </w:rPr>
                <w:t>31.2*</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wish-ex31_2.htm">
              <w:r>
                <w:rPr>
                  <w:rStyle w:val="InternetLink"/>
                  <w:rFonts w:ascii="Arial;sans-serif" w:hAnsi="Arial;sans-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wish-ex32_1.htm">
              <w:r>
                <w:rPr>
                  <w:rStyle w:val="InternetLink"/>
                  <w:rFonts w:ascii="Arial;sans-serif" w:hAnsi="Arial;sans-serif"/>
                  <w:b w:val="false"/>
                  <w:sz w:val="20"/>
                  <w:u w:val="single"/>
                </w:rPr>
                <w:t>32.1**</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wish-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wish-ex32_2.htm">
              <w:r>
                <w:rPr>
                  <w:rStyle w:val="InternetLink"/>
                  <w:rFonts w:ascii="Arial;sans-serif" w:hAnsi="Arial;sans-serif"/>
                  <w:b w:val="false"/>
                  <w:sz w:val="20"/>
                  <w:u w:val="single"/>
                </w:rPr>
                <w:t>32.2**</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wish-ex32_2.htm">
              <w:r>
                <w:rPr>
                  <w:rStyle w:val="InternetLink"/>
                  <w:rFonts w:ascii="Arial;sans-serif" w:hAnsi="Arial;sans-serif"/>
                  <w:b w:val="false"/>
                  <w:sz w:val="20"/>
                  <w:u w:val="single"/>
                </w:rPr>
                <w:t>Certification of Principal Financial Officer Pursuant to 18 U.S.C. Section 1350, as Adopted Pursuant to Section 906 of the Sarbanes-Oxley Act of 2002.</w:t>
              </w:r>
            </w:hyperlink>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Instance Document – the instance document does not appear in the Interactive Data File because XBRL tags are embedded within the Inline XBRL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r>
      <w:tr>
        <w:trPr/>
        <w:tc>
          <w:tcPr>
            <w:tcW w:w="85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0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(embedded within the Inline XBRL document)</w:t>
            </w:r>
          </w:p>
        </w:tc>
      </w:tr>
    </w:tbl>
    <w:p>
      <w:pPr>
        <w:pStyle w:val="TextBody"/>
        <w:pBdr>
          <w:bottom w:val="single" w:sz="4" w:space="1" w:color="000000"/>
        </w:pBdr>
        <w:spacing w:before="0" w:after="0"/>
        <w:jc w:val="left"/>
        <w:rPr/>
      </w:pPr>
      <w:r>
        <w:rPr/>
        <w:t> </w:t>
      </w:r>
    </w:p>
    <w:p>
      <w:pPr>
        <w:pStyle w:val="TextBody"/>
        <w:spacing w:before="120" w:after="0"/>
        <w:jc w:val="left"/>
        <w:rPr>
          <w:rFonts w:ascii="Arial;sans-serif" w:hAnsi="Arial;sans-serif"/>
          <w:b w:val="false"/>
          <w:sz w:val="20"/>
        </w:rPr>
      </w:pPr>
      <w:r>
        <w:rPr>
          <w:rFonts w:ascii="Arial;sans-serif" w:hAnsi="Arial;sans-serif"/>
          <w:b w:val="false"/>
          <w:sz w:val="20"/>
        </w:rPr>
        <w:t>* Filed herewith.</w:t>
      </w:r>
    </w:p>
    <w:p>
      <w:pPr>
        <w:pStyle w:val="TextBody"/>
        <w:spacing w:before="120" w:after="0"/>
        <w:jc w:val="left"/>
        <w:rPr>
          <w:rFonts w:ascii="Arial;sans-serif" w:hAnsi="Arial;sans-serif"/>
          <w:b w:val="false"/>
          <w:sz w:val="20"/>
        </w:rPr>
      </w:pPr>
      <w:r>
        <w:rPr>
          <w:rFonts w:ascii="Arial;sans-serif" w:hAnsi="Arial;sans-serif"/>
          <w:b w:val="false"/>
          <w:sz w:val="20"/>
        </w:rPr>
        <w:t>** Furnished herewith.</w:t>
      </w:r>
    </w:p>
    <w:p>
      <w:pPr>
        <w:pStyle w:val="TextBody"/>
        <w:spacing w:before="12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bookmarkStart w:id="19" w:name="signatures"/>
      <w:bookmarkEnd w:id="19"/>
      <w:r>
        <w:rPr>
          <w:rFonts w:ascii="Arial;sans-serif" w:hAnsi="Arial;sans-serif"/>
          <w:b/>
          <w:sz w:val="20"/>
        </w:rPr>
        <w:t>SIGNATURES</w:t>
      </w:r>
    </w:p>
    <w:p>
      <w:pPr>
        <w:pStyle w:val="TextBody"/>
        <w:spacing w:before="240" w:after="0"/>
        <w:jc w:val="both"/>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6794" w:type="dxa"/>
        <w:jc w:val="left"/>
        <w:tblInd w:w="0" w:type="dxa"/>
        <w:tblCellMar>
          <w:top w:w="28" w:type="dxa"/>
          <w:left w:w="28" w:type="dxa"/>
          <w:bottom w:w="28" w:type="dxa"/>
          <w:right w:w="28" w:type="dxa"/>
        </w:tblCellMar>
      </w:tblPr>
      <w:tblGrid>
        <w:gridCol w:w="1726"/>
        <w:gridCol w:w="146"/>
        <w:gridCol w:w="406"/>
        <w:gridCol w:w="451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51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9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ContextLogic Inc.</w:t>
            </w:r>
            <w:r>
              <w:rPr>
                <w:rFonts w:ascii="Times New Roman" w:hAnsi="Times New Roman"/>
                <w:sz w:val="20"/>
              </w:rPr>
              <w:t xml:space="preserve"> </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4,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Jun Yan</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top w:val="single" w:sz="2" w:space="0" w:color="000000"/>
            </w:tcBorders>
            <w:shd w:fill="auto" w:val="clear"/>
            <w:tcMar>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Jun Yan</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Executive Officer and Director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Executive Officer)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Vivian Liu</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Vivian Liu</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Financial Officer and Chief Operating Officer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Financial Officer)</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41</w:t>
      </w:r>
    </w:p>
    <w:p>
      <w:pPr>
        <w:pStyle w:val="HorizontalLine"/>
        <w:rPr/>
      </w:pPr>
      <w:r>
        <w:rPr/>
      </w:r>
      <w:r>
        <w:br w:type="page"/>
      </w:r>
    </w:p>
    <w:p>
      <w:pPr>
        <w:pStyle w:val="TextBody"/>
        <w:spacing w:before="0" w:after="0"/>
        <w:jc w:val="right"/>
        <w:rPr>
          <w:rFonts w:ascii="Times New Roman" w:hAnsi="Times New Roman"/>
          <w:sz w:val="20"/>
        </w:rPr>
      </w:pPr>
      <w:bookmarkStart w:id="20" w:name="wish-ex3_1.htm"/>
      <w:bookmarkStart w:id="21" w:name="kswishex3_1"/>
      <w:bookmarkEnd w:id="20"/>
      <w:bookmarkEnd w:id="21"/>
      <w:r>
        <w:rPr>
          <w:rFonts w:ascii="Arial;sans-serif" w:hAnsi="Arial;sans-serif"/>
          <w:b/>
          <w:sz w:val="20"/>
        </w:rPr>
        <w:t>Exhibit</w:t>
      </w:r>
      <w:r>
        <w:rPr>
          <w:rFonts w:ascii="Times New Roman" w:hAnsi="Times New Roman"/>
          <w:caps/>
          <w:sz w:val="20"/>
        </w:rPr>
        <w:t xml:space="preserve"> </w:t>
      </w:r>
      <w:r>
        <w:rPr>
          <w:rFonts w:ascii="Arial;sans-serif" w:hAnsi="Arial;sans-serif"/>
          <w:b/>
          <w:caps/>
          <w:sz w:val="20"/>
        </w:rPr>
        <w:t>3.1</w:t>
      </w:r>
    </w:p>
    <w:p>
      <w:pPr>
        <w:pStyle w:val="TextBody"/>
        <w:spacing w:before="0" w:after="0"/>
        <w:jc w:val="center"/>
        <w:rPr/>
      </w:pPr>
      <w:r>
        <w:rPr/>
        <w:t> </w:t>
      </w:r>
    </w:p>
    <w:p>
      <w:pPr>
        <w:pStyle w:val="TextBody"/>
        <w:spacing w:before="0" w:after="480"/>
        <w:jc w:val="center"/>
        <w:rPr>
          <w:rFonts w:ascii="Times New Roman" w:hAnsi="Times New Roman"/>
          <w:sz w:val="20"/>
        </w:rPr>
      </w:pPr>
      <w:r>
        <w:rPr>
          <w:rFonts w:ascii="Times New Roman;serif" w:hAnsi="Times New Roman;serif"/>
          <w:b/>
          <w:caps/>
          <w:sz w:val="24"/>
        </w:rPr>
        <w:t>CONTEXTLOGIC INC.</w:t>
        <w:br/>
        <w:br/>
        <w:t>RESTATED CERTIFICATE OF INCORPORATION</w:t>
      </w:r>
      <w:r>
        <w:rPr>
          <w:rFonts w:ascii="Times New Roman" w:hAnsi="Times New Roman"/>
          <w:caps/>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ContextLogic Inc., a Delaware corporation, hereby certifies as follows:</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1. The name of this corporation is ContextLogic Inc. The date of the filing of its original Certificate of Incorporation with the Secretary of State was June 25, 2010.</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 xml:space="preserve">2. The Restated Certificate of Incorporation of this corporation is attached hereto as </w:t>
      </w:r>
      <w:r>
        <w:rPr>
          <w:rFonts w:ascii="Times New Roman;serif" w:hAnsi="Times New Roman;serif"/>
          <w:b w:val="false"/>
          <w:sz w:val="24"/>
          <w:u w:val="single"/>
        </w:rPr>
        <w:t>Exhibit A</w:t>
      </w:r>
      <w:r>
        <w:rPr>
          <w:rFonts w:ascii="Times New Roman;serif" w:hAnsi="Times New Roman;serif"/>
          <w:b w:val="false"/>
          <w:sz w:val="24"/>
        </w:rPr>
        <w:t>, which is incorporated herein by this reference, and which restates, integrates and further amends the provisions of the Certificate of Incorporation of this corporation, as previously amended and/or restated. The Restated Certificate of Incorporation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IN WITNESS WHEREOF, this corporation has caused this Restated Certificate of Incorporation to be signed by its duly authorized officer and the foregoing facts stated herein are true and correct.</w:t>
      </w:r>
      <w:r>
        <w:rPr>
          <w:rFonts w:ascii="Times New Roman" w:hAnsi="Times New Roman"/>
          <w:sz w:val="20"/>
        </w:rPr>
        <w:t xml:space="preserve"> </w:t>
      </w:r>
    </w:p>
    <w:p>
      <w:pPr>
        <w:pStyle w:val="TextBody"/>
        <w:spacing w:before="0" w:after="240"/>
        <w:jc w:val="both"/>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Dated: December 17, 2020</w:t>
      </w:r>
    </w:p>
    <w:p>
      <w:pPr>
        <w:pStyle w:val="TextBody"/>
        <w:spacing w:before="0" w:after="480"/>
        <w:jc w:val="left"/>
        <w:rPr>
          <w:rFonts w:ascii="Times New Roman;serif" w:hAnsi="Times New Roman;serif"/>
          <w:b/>
          <w:caps/>
          <w:sz w:val="24"/>
        </w:rPr>
      </w:pPr>
      <w:r>
        <w:rPr>
          <w:rFonts w:ascii="Times New Roman;serif" w:hAnsi="Times New Roman;serif"/>
          <w:b/>
          <w:caps/>
          <w:sz w:val="24"/>
        </w:rPr>
        <w:t>ContextLogic Inc.</w:t>
      </w:r>
    </w:p>
    <w:p>
      <w:pPr>
        <w:pStyle w:val="TextBody"/>
        <w:spacing w:before="0" w:after="48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Piotr Szulczewski </w:t>
        <w:br/>
      </w:r>
      <w:r>
        <w:rPr>
          <w:rFonts w:ascii="Times New Roman;serif" w:hAnsi="Times New Roman;serif"/>
          <w:b w:val="false"/>
          <w:sz w:val="24"/>
        </w:rPr>
        <w:t>Name: Piotr Szulczewski</w:t>
        <w:br/>
        <w:t>Title: President</w:t>
      </w:r>
    </w:p>
    <w:p>
      <w:pPr>
        <w:pStyle w:val="TextBody"/>
        <w:spacing w:before="0" w:after="240"/>
        <w:jc w:val="both"/>
        <w:rPr/>
      </w:pPr>
      <w:r>
        <w:rPr/>
        <w:t> </w:t>
      </w:r>
    </w:p>
    <w:p>
      <w:pPr>
        <w:pStyle w:val="TextBody"/>
        <w:spacing w:before="0" w:after="240"/>
        <w:jc w:val="both"/>
        <w:rPr/>
      </w:pPr>
      <w:r>
        <w:rPr/>
        <w:t> </w:t>
      </w:r>
    </w:p>
    <w:p>
      <w:pPr>
        <w:pStyle w:val="TextBody"/>
        <w:spacing w:before="0" w:after="24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480"/>
        <w:jc w:val="center"/>
        <w:rPr>
          <w:rFonts w:ascii="Times New Roman" w:hAnsi="Times New Roman"/>
          <w:sz w:val="20"/>
        </w:rPr>
      </w:pPr>
      <w:r>
        <w:rPr>
          <w:rFonts w:ascii="Times New Roman;serif" w:hAnsi="Times New Roman;serif"/>
          <w:b/>
          <w:caps/>
          <w:sz w:val="24"/>
          <w:u w:val="single"/>
        </w:rPr>
        <w:t>EXHIBIT A</w:t>
      </w:r>
      <w:r>
        <w:rPr>
          <w:rFonts w:ascii="Times New Roman" w:hAnsi="Times New Roman"/>
          <w:caps/>
          <w:sz w:val="20"/>
        </w:rPr>
        <w:t xml:space="preserve"> </w:t>
      </w:r>
    </w:p>
    <w:p>
      <w:pPr>
        <w:pStyle w:val="TextBody"/>
        <w:spacing w:before="0" w:after="480"/>
        <w:jc w:val="center"/>
        <w:rPr>
          <w:rFonts w:ascii="Times New Roman" w:hAnsi="Times New Roman"/>
          <w:sz w:val="20"/>
        </w:rPr>
      </w:pPr>
      <w:r>
        <w:rPr>
          <w:rFonts w:ascii="Times New Roman;serif" w:hAnsi="Times New Roman;serif"/>
          <w:b/>
          <w:caps/>
          <w:sz w:val="24"/>
        </w:rPr>
        <w:t>CONTEXTLOGIC INC.</w:t>
        <w:br/>
        <w:t>RESTATED CERTIFICATE OF INCORPORATION</w:t>
      </w:r>
      <w:r>
        <w:rPr>
          <w:rFonts w:ascii="Times New Roman" w:hAnsi="Times New Roman"/>
          <w:caps/>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NAME </w:t>
      </w:r>
    </w:p>
    <w:p>
      <w:pPr>
        <w:pStyle w:val="TextBody"/>
        <w:spacing w:before="0" w:after="240"/>
        <w:jc w:val="both"/>
        <w:rPr>
          <w:rFonts w:ascii="Times New Roman" w:hAnsi="Times New Roman"/>
          <w:sz w:val="20"/>
        </w:rPr>
      </w:pPr>
      <w:r>
        <w:rPr>
          <w:rFonts w:ascii="Times New Roman;serif" w:hAnsi="Times New Roman;serif"/>
          <w:b w:val="false"/>
          <w:sz w:val="24"/>
        </w:rPr>
        <w:t>The name of this corporation is ContextLogic Inc. (the “</w:t>
      </w:r>
      <w:r>
        <w:rPr>
          <w:rFonts w:ascii="Times New Roman;serif" w:hAnsi="Times New Roman;serif"/>
          <w:b/>
          <w:i/>
          <w:sz w:val="24"/>
        </w:rPr>
        <w:t>Corporation</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II: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AGENT FOR SERVICE OF PROCESS </w:t>
      </w:r>
    </w:p>
    <w:p>
      <w:pPr>
        <w:pStyle w:val="TextBody"/>
        <w:spacing w:before="0" w:after="240"/>
        <w:jc w:val="both"/>
        <w:rPr>
          <w:rFonts w:ascii="Times New Roman" w:hAnsi="Times New Roman"/>
          <w:sz w:val="20"/>
        </w:rPr>
      </w:pPr>
      <w:r>
        <w:rPr>
          <w:rFonts w:ascii="Times New Roman;serif" w:hAnsi="Times New Roman;serif"/>
          <w:b w:val="false"/>
          <w:sz w:val="24"/>
        </w:rPr>
        <w:t>The address of the registered office of the Corporation in the State of Delaware is 251 Little Falls Drive, Wilmington, New Castle County, DE 19808, and the name of the registered agent of the Corporation in the State of Delaware at such address is Corporation Service Company.</w:t>
      </w:r>
      <w:r>
        <w:rPr>
          <w:rFonts w:ascii="Times New Roman" w:hAnsi="Times New Roman"/>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III: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PURPOSE </w:t>
      </w:r>
    </w:p>
    <w:p>
      <w:pPr>
        <w:pStyle w:val="TextBody"/>
        <w:spacing w:before="0" w:after="240"/>
        <w:jc w:val="both"/>
        <w:rPr>
          <w:rFonts w:ascii="Times New Roman" w:hAnsi="Times New Roman"/>
          <w:sz w:val="20"/>
        </w:rPr>
      </w:pPr>
      <w:r>
        <w:rPr>
          <w:rFonts w:ascii="Times New Roman;serif" w:hAnsi="Times New Roman;serif"/>
          <w:b w:val="false"/>
          <w:sz w:val="24"/>
        </w:rPr>
        <w:t>The purpose of the Corporation is to engage in any lawful act or activity for which corporations may be organized under the General Corporation Law of the State of Delaware, as the same exists or may hereafter be amended (the “</w:t>
      </w:r>
      <w:r>
        <w:rPr>
          <w:rFonts w:ascii="Times New Roman;serif" w:hAnsi="Times New Roman;serif"/>
          <w:b/>
          <w:i/>
          <w:sz w:val="24"/>
        </w:rPr>
        <w:t>General Corporation Law</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IV:</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AUTHORIZED STOCK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Total Authorized</w:t>
      </w:r>
      <w:r>
        <w:rPr>
          <w:rFonts w:ascii="Times New Roman;serif" w:hAnsi="Times New Roman;serif"/>
          <w:b w:val="false"/>
          <w:sz w:val="24"/>
        </w:rPr>
        <w:t xml:space="preserve">. </w:t>
      </w:r>
    </w:p>
    <w:p>
      <w:pPr>
        <w:pStyle w:val="TextBody"/>
        <w:spacing w:before="0" w:after="240"/>
        <w:jc w:val="both"/>
        <w:rPr>
          <w:rFonts w:ascii="Times New Roman" w:hAnsi="Times New Roman"/>
          <w:b/>
          <w:sz w:val="24"/>
        </w:rPr>
      </w:pPr>
      <w:r>
        <w:rPr>
          <w:rFonts w:ascii="Times New Roman" w:hAnsi="Times New Roman"/>
          <w:b/>
          <w:sz w:val="24"/>
        </w:rPr>
        <w:t>1.1</w:t>
      </w:r>
    </w:p>
    <w:p>
      <w:pPr>
        <w:pStyle w:val="TextBody"/>
        <w:spacing w:before="0" w:after="240"/>
        <w:jc w:val="both"/>
        <w:rPr/>
      </w:pPr>
      <w:r>
        <w:rPr>
          <w:rFonts w:ascii="Times New Roman;serif" w:hAnsi="Times New Roman;serif"/>
          <w:b w:val="false"/>
          <w:sz w:val="24"/>
        </w:rPr>
        <w:t>The total number of shares of all classes of stock that the Corporation has authority to issue is 3,600,000,000 shares, consisting of three classes: 3,000,000,000 shares of Class A Common Stock, $0.0001 par value per share (“</w:t>
      </w:r>
      <w:r>
        <w:rPr>
          <w:rFonts w:ascii="Times New Roman;serif" w:hAnsi="Times New Roman;serif"/>
          <w:b/>
          <w:i/>
          <w:sz w:val="24"/>
        </w:rPr>
        <w:t>Class A Common Stock</w:t>
      </w:r>
      <w:r>
        <w:rPr/>
        <w:t>”</w:t>
      </w:r>
      <w:r>
        <w:rPr>
          <w:rFonts w:ascii="Times New Roman;serif" w:hAnsi="Times New Roman;serif"/>
          <w:b w:val="false"/>
          <w:sz w:val="24"/>
        </w:rPr>
        <w:t>), 500,000,000 shares of Class B Common Stock, $0.0001 par value per share (“</w:t>
      </w:r>
      <w:r>
        <w:rPr>
          <w:rFonts w:ascii="Times New Roman;serif" w:hAnsi="Times New Roman;serif"/>
          <w:b/>
          <w:i/>
          <w:sz w:val="24"/>
        </w:rPr>
        <w:t>Class B Common Stock</w:t>
      </w:r>
      <w:r>
        <w:rPr/>
        <w:t xml:space="preserve">” </w:t>
      </w:r>
      <w:r>
        <w:rPr>
          <w:rFonts w:ascii="Times New Roman;serif" w:hAnsi="Times New Roman;serif"/>
          <w:b w:val="false"/>
          <w:sz w:val="24"/>
        </w:rPr>
        <w:t>and together with the Class A Common Stock, the “</w:t>
      </w:r>
      <w:r>
        <w:rPr>
          <w:rFonts w:ascii="Times New Roman;serif" w:hAnsi="Times New Roman;serif"/>
          <w:b/>
          <w:i/>
          <w:sz w:val="24"/>
        </w:rPr>
        <w:t>Common Stock</w:t>
      </w:r>
      <w:r>
        <w:rPr/>
        <w:t>”</w:t>
      </w:r>
      <w:r>
        <w:rPr>
          <w:rFonts w:ascii="Times New Roman;serif" w:hAnsi="Times New Roman;serif"/>
          <w:b w:val="false"/>
          <w:sz w:val="24"/>
        </w:rPr>
        <w:t>), and 100,000,000 shares of Preferred Stock, $0.0001 par value per share (the “</w:t>
      </w:r>
      <w:r>
        <w:rPr>
          <w:rFonts w:ascii="Times New Roman;serif" w:hAnsi="Times New Roman;serif"/>
          <w:b/>
          <w:i/>
          <w:sz w:val="24"/>
        </w:rPr>
        <w:t>Preferred Stock</w:t>
      </w:r>
      <w:r>
        <w:rPr/>
        <w:t>”</w:t>
      </w:r>
      <w:r>
        <w:rPr>
          <w:rFonts w:ascii="Times New Roman;serif" w:hAnsi="Times New Roman;serif"/>
          <w:b w:val="false"/>
          <w:sz w:val="24"/>
        </w:rPr>
        <w:t>).</w:t>
      </w:r>
    </w:p>
    <w:p>
      <w:pPr>
        <w:pStyle w:val="TextBody"/>
        <w:spacing w:before="0" w:after="240"/>
        <w:jc w:val="both"/>
        <w:rPr>
          <w:rFonts w:ascii="Times New Roman" w:hAnsi="Times New Roman"/>
          <w:b/>
          <w:sz w:val="24"/>
        </w:rPr>
      </w:pPr>
      <w:r>
        <w:rPr>
          <w:rFonts w:ascii="Times New Roman" w:hAnsi="Times New Roman"/>
          <w:b/>
          <w:sz w:val="24"/>
        </w:rPr>
        <w:t>1.2</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number of authorized shares of Class A Common Stock or Class B Common Stock may be increased or decreased (but not below the number of shares thereof then outstanding) by the affirmative vote (or written consent if action by written consent of stockholders is permitted at such time under this Restated Certificate of Incorporation) of the holders of capital stock representing a majority of the voting power of all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Preferred Stock</w:t>
      </w:r>
      <w:r>
        <w:rPr>
          <w:rFonts w:ascii="Times New Roman;serif" w:hAnsi="Times New Roman;serif"/>
          <w:b w:val="false"/>
          <w:sz w:val="24"/>
        </w:rPr>
        <w:t xml:space="preserve">. </w:t>
      </w:r>
    </w:p>
    <w:p>
      <w:pPr>
        <w:pStyle w:val="TextBody"/>
        <w:spacing w:before="0" w:after="240"/>
        <w:jc w:val="both"/>
        <w:rPr>
          <w:rFonts w:ascii="Times New Roman" w:hAnsi="Times New Roman"/>
          <w:b/>
          <w:sz w:val="24"/>
        </w:rPr>
      </w:pPr>
      <w:r>
        <w:rPr>
          <w:rFonts w:ascii="Times New Roman" w:hAnsi="Times New Roman"/>
          <w:b/>
          <w:sz w:val="24"/>
        </w:rPr>
        <w:t>2.1</w:t>
      </w:r>
    </w:p>
    <w:p>
      <w:pPr>
        <w:pStyle w:val="TextBody"/>
        <w:spacing w:before="0" w:after="240"/>
        <w:jc w:val="both"/>
        <w:rPr/>
      </w:pPr>
      <w:r>
        <w:rPr>
          <w:rFonts w:ascii="Times New Roman;serif" w:hAnsi="Times New Roman;serif"/>
          <w:b w:val="false"/>
          <w:sz w:val="24"/>
        </w:rPr>
        <w:t>The Corporation’s Board of Directors (“</w:t>
      </w:r>
      <w:r>
        <w:rPr>
          <w:rFonts w:ascii="Times New Roman;serif" w:hAnsi="Times New Roman;serif"/>
          <w:b/>
          <w:i/>
          <w:sz w:val="24"/>
        </w:rPr>
        <w:t>Board of Directors</w:t>
      </w:r>
      <w:r>
        <w:rPr/>
        <w:t>”</w:t>
      </w:r>
      <w:r>
        <w:rPr>
          <w:rFonts w:ascii="Times New Roman;serif" w:hAnsi="Times New Roman;serif"/>
          <w:b w:val="false"/>
          <w:sz w:val="24"/>
        </w:rPr>
        <w:t>)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w:t>
      </w:r>
      <w:r>
        <w:rPr>
          <w:rFonts w:ascii="Times New Roman;serif" w:hAnsi="Times New Roman;serif"/>
          <w:b/>
          <w:i/>
          <w:sz w:val="24"/>
        </w:rPr>
        <w:t>Certificate of Designation</w:t>
      </w:r>
      <w:r>
        <w:rPr/>
        <w:t>”</w:t>
      </w:r>
      <w:r>
        <w:rPr>
          <w:rFonts w:ascii="Times New Roman;serif" w:hAnsi="Times New Roman;serif"/>
          <w:b w:val="false"/>
          <w:sz w:val="24"/>
        </w:rPr>
        <w:t xml:space="preserve">), to establish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DOCPROPERTY"SWDocID" GDSVF&amp;H\8899872.4</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from time to time the number of shares to be included in each such series, to fix the designation, powers (including voting powers), preferences and relative, participating, optional or other special rights (and the qualifications, limitations or restrictions thereof) of the shares of each such series and, except where otherwise provided in the applicable Certificate of Designation, to increase (but not above the total number of authorized shares of the Preferred Stock) or decrease (but not below the number of shares of such series then outstanding) the number of shares of any such series. The number of authorized shares of Preferred Stock may be increased or decreased (but not below the number of shares thereof then outstanding) by the affirmative vote (or written consent if action by written consent of stockholders is permitted at such time under this Restated Certificate of Incorporation) of the holders of a majority of the voting power of all the then-outstanding shares of capital stock of the Corporation entitled to vote thereon, without a separate vote of the holders of the Preferred Stock, irrespective of the provisions of Section 242(b)(2) of the General Corporation Law, unless a separate vote of the holders of one or more series of Preferred Stock is required pursuant to the terms of any Certificate of Designation.</w:t>
      </w:r>
    </w:p>
    <w:p>
      <w:pPr>
        <w:pStyle w:val="TextBody"/>
        <w:spacing w:before="0" w:after="240"/>
        <w:jc w:val="both"/>
        <w:rPr>
          <w:rFonts w:ascii="Times New Roman" w:hAnsi="Times New Roman"/>
          <w:b/>
          <w:sz w:val="24"/>
        </w:rPr>
      </w:pPr>
      <w:r>
        <w:rPr>
          <w:rFonts w:ascii="Times New Roman" w:hAnsi="Times New Roman"/>
          <w:b/>
          <w:sz w:val="24"/>
        </w:rPr>
        <w:t>2.2</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Except as otherwise expressly provided in any Certificate of Designation designating any series of Preferred Stock pursuant to the foregoing provisions of this Article IV, (i) any new series of Preferred Stock may be designated, fixed and determined as provided herein by the Board of Directors without approval of the holders of Common Stock or the holders of Preferred Stock, or any series thereof, and (ii) any such new series may have powers, preferences and rights, including, without limitation, voting powers, dividend rights, liquidation rights, redemption rights and conversion rights, senior to, junior to or pari passu with the rights of the Common Stock, any series of the Preferred Stock, or any future class or series of capital stock of the Corporation.</w:t>
      </w:r>
    </w:p>
    <w:p>
      <w:pPr>
        <w:pStyle w:val="TextBody"/>
        <w:spacing w:before="0" w:after="240"/>
        <w:jc w:val="both"/>
        <w:rPr>
          <w:rFonts w:ascii="Times New Roman" w:hAnsi="Times New Roman"/>
          <w:b/>
          <w:sz w:val="24"/>
        </w:rPr>
      </w:pPr>
      <w:r>
        <w:rPr>
          <w:rFonts w:ascii="Times New Roman" w:hAnsi="Times New Roman"/>
          <w:b/>
          <w:sz w:val="24"/>
        </w:rPr>
        <w:t>3.</w:t>
      </w:r>
    </w:p>
    <w:p>
      <w:pPr>
        <w:pStyle w:val="TextBody"/>
        <w:spacing w:before="0" w:after="240"/>
        <w:jc w:val="both"/>
        <w:rPr/>
      </w:pPr>
      <w:r>
        <w:rPr>
          <w:rFonts w:ascii="Times New Roman;serif" w:hAnsi="Times New Roman;serif"/>
          <w:b/>
          <w:sz w:val="24"/>
          <w:u w:val="single"/>
        </w:rPr>
        <w:t>Rights of Class A Common Stock and Class B Common Stock</w:t>
      </w:r>
      <w:r>
        <w:rPr>
          <w:rFonts w:ascii="Times New Roman;serif" w:hAnsi="Times New Roman;serif"/>
          <w:b w:val="false"/>
          <w:sz w:val="24"/>
        </w:rPr>
        <w:t xml:space="preserve">. </w:t>
      </w:r>
    </w:p>
    <w:p>
      <w:pPr>
        <w:pStyle w:val="TextBody"/>
        <w:spacing w:before="0" w:after="240"/>
        <w:jc w:val="both"/>
        <w:rPr>
          <w:rFonts w:ascii="Times New Roman" w:hAnsi="Times New Roman"/>
          <w:b/>
          <w:sz w:val="24"/>
        </w:rPr>
      </w:pPr>
      <w:r>
        <w:rPr>
          <w:rFonts w:ascii="Times New Roman" w:hAnsi="Times New Roman"/>
          <w:b/>
          <w:sz w:val="24"/>
        </w:rPr>
        <w:t>3.1</w:t>
      </w:r>
    </w:p>
    <w:p>
      <w:pPr>
        <w:pStyle w:val="TextBody"/>
        <w:spacing w:before="0" w:after="240"/>
        <w:jc w:val="both"/>
        <w:rPr/>
      </w:pPr>
      <w:r>
        <w:rPr>
          <w:rFonts w:ascii="Times New Roman;serif" w:hAnsi="Times New Roman;serif"/>
          <w:b/>
          <w:sz w:val="24"/>
          <w:u w:val="single"/>
        </w:rPr>
        <w:t>Equal Status</w:t>
      </w:r>
      <w:r>
        <w:rPr>
          <w:rFonts w:ascii="Times New Roman;serif" w:hAnsi="Times New Roman;serif"/>
          <w:b w:val="false"/>
          <w:sz w:val="24"/>
        </w:rPr>
        <w:t>. Except as otherwise provided in this Restated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pStyle w:val="TextBody"/>
        <w:spacing w:before="0" w:after="240"/>
        <w:jc w:val="both"/>
        <w:rPr>
          <w:rFonts w:ascii="Times New Roman" w:hAnsi="Times New Roman"/>
          <w:b/>
          <w:sz w:val="24"/>
        </w:rPr>
      </w:pPr>
      <w:r>
        <w:rPr>
          <w:rFonts w:ascii="Times New Roman" w:hAnsi="Times New Roman"/>
          <w:b/>
          <w:sz w:val="24"/>
        </w:rPr>
        <w:t>3.2</w:t>
      </w:r>
    </w:p>
    <w:p>
      <w:pPr>
        <w:pStyle w:val="TextBody"/>
        <w:spacing w:before="0" w:after="240"/>
        <w:jc w:val="both"/>
        <w:rPr/>
      </w:pPr>
      <w:r>
        <w:rPr>
          <w:rFonts w:ascii="Times New Roman;serif" w:hAnsi="Times New Roman;serif"/>
          <w:b/>
          <w:sz w:val="24"/>
          <w:u w:val="single"/>
        </w:rPr>
        <w:t>Voting Rights</w:t>
      </w:r>
      <w:r>
        <w:rPr>
          <w:rFonts w:ascii="Times New Roman;serif" w:hAnsi="Times New Roman;serif"/>
          <w:b w:val="false"/>
          <w:sz w:val="24"/>
        </w:rPr>
        <w:t>. Except as otherwise expressly provided by this Restated Certificate of Incorporation or as provided by applicable law, the holders of shares of Class A Common Stock and Class B Common Stock shall (a) at all times vote together as a single class on all matters (including the election of directors) submitted to a vote or for the consent (if action by written consent of stockholders is permitted at such time under this Restated Certificate of Incorporation) of the stockholders of the Corporation, (b) be entitled to notice of any stockholders’ meeting in accordance with the Bylaws of the Corporation (as the same may be amended and/or restated from time to time, the “</w:t>
      </w:r>
      <w:r>
        <w:rPr>
          <w:rFonts w:ascii="Times New Roman;serif" w:hAnsi="Times New Roman;serif"/>
          <w:b/>
          <w:i/>
          <w:sz w:val="24"/>
        </w:rPr>
        <w:t>Bylaws</w:t>
      </w:r>
      <w:r>
        <w:rPr/>
        <w:t>”</w:t>
      </w:r>
      <w:r>
        <w:rPr>
          <w:rFonts w:ascii="Times New Roman;serif" w:hAnsi="Times New Roman;serif"/>
          <w:b w:val="false"/>
          <w:sz w:val="24"/>
        </w:rPr>
        <w:t xml:space="preserve">) and (c) be entitled to vote upon such matters and in such manner as may be provided by applicable law; provided, however, that, except as otherwise required by applicable law, holders of shares of Class A Common Stock and Class B Common Stock shall not be entitled to vote on any amendment to this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of Incorporation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and each holder of Class B Common Stock shall have the right to twenty (20) votes per share of Class B Common Stock held of record by such holder. </w:t>
      </w:r>
    </w:p>
    <w:p>
      <w:pPr>
        <w:pStyle w:val="TextBody"/>
        <w:spacing w:before="0" w:after="240"/>
        <w:jc w:val="both"/>
        <w:rPr>
          <w:rFonts w:ascii="Times New Roman" w:hAnsi="Times New Roman"/>
          <w:b/>
          <w:sz w:val="24"/>
        </w:rPr>
      </w:pPr>
      <w:r>
        <w:rPr>
          <w:rFonts w:ascii="Times New Roman" w:hAnsi="Times New Roman"/>
          <w:b/>
          <w:sz w:val="24"/>
        </w:rPr>
        <w:t>3.3</w:t>
      </w:r>
    </w:p>
    <w:p>
      <w:pPr>
        <w:pStyle w:val="TextBody"/>
        <w:spacing w:before="0" w:after="240"/>
        <w:jc w:val="both"/>
        <w:rPr/>
      </w:pPr>
      <w:r>
        <w:rPr>
          <w:rFonts w:ascii="Times New Roman;serif" w:hAnsi="Times New Roman;serif"/>
          <w:b/>
          <w:sz w:val="24"/>
          <w:u w:val="single"/>
        </w:rPr>
        <w:t>Dividends and Distribution Rights</w:t>
      </w:r>
      <w:r>
        <w:rPr>
          <w:rFonts w:ascii="Times New Roman;serif" w:hAnsi="Times New Roman;serif"/>
          <w:b w:val="false"/>
          <w:sz w:val="24"/>
        </w:rPr>
        <w:t xml:space="preserve">. Shares of Class A Common Stock and Class B Common Stock shall be treated equally, identically and ratably, on a per share basis, with respect to any dividends or distributions as may be declared and paid from time to time by the Board of Directors out of any assets of the Corporation legally available therefor; provided, however, that in the event a dividend is paid in the form of shares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of Class A Common Stock or Class B Common Stock (or rights to acquire such shares), then holders of Class A Common Stock shall receive shares of Class A Common Stock (or rights to acquire 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of Directors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(or written consent if action by written consent of stockholders is permitted at such time under this Restated Certificate of Incorporation) of the holders of a majority of the outstanding shares of Class A Common Stock and Class B Common Stock, each voting separately as a class.</w:t>
      </w:r>
    </w:p>
    <w:p>
      <w:pPr>
        <w:pStyle w:val="TextBody"/>
        <w:spacing w:before="0" w:after="240"/>
        <w:jc w:val="both"/>
        <w:rPr>
          <w:rFonts w:ascii="Times New Roman" w:hAnsi="Times New Roman"/>
          <w:b/>
          <w:sz w:val="24"/>
        </w:rPr>
      </w:pPr>
      <w:r>
        <w:rPr>
          <w:rFonts w:ascii="Times New Roman" w:hAnsi="Times New Roman"/>
          <w:b/>
          <w:sz w:val="24"/>
        </w:rPr>
        <w:t>3.4</w:t>
      </w:r>
    </w:p>
    <w:p>
      <w:pPr>
        <w:pStyle w:val="TextBody"/>
        <w:spacing w:before="0" w:after="240"/>
        <w:jc w:val="both"/>
        <w:rPr/>
      </w:pPr>
      <w:r>
        <w:rPr>
          <w:rFonts w:ascii="Times New Roman;serif" w:hAnsi="Times New Roman;serif"/>
          <w:b/>
          <w:sz w:val="24"/>
          <w:u w:val="single"/>
        </w:rPr>
        <w:t>Subdivisions, Combinations or Reclassifications</w:t>
      </w:r>
      <w:r>
        <w:rPr>
          <w:rFonts w:ascii="Times New Roman;serif" w:hAnsi="Times New Roman;serif"/>
          <w:b w:val="false"/>
          <w:sz w:val="24"/>
        </w:rPr>
        <w:t>.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(or written consent if action by written consent of stockholders is permitted at such time under this Restated Certificate of Incorporation) of the holders of a majority of the outstanding shares of Class A Common Stock and Class B Common Stock, each voting separately as a class.</w:t>
      </w:r>
    </w:p>
    <w:p>
      <w:pPr>
        <w:pStyle w:val="TextBody"/>
        <w:spacing w:before="0" w:after="240"/>
        <w:jc w:val="both"/>
        <w:rPr>
          <w:rFonts w:ascii="Times New Roman" w:hAnsi="Times New Roman"/>
          <w:b/>
          <w:sz w:val="24"/>
        </w:rPr>
      </w:pPr>
      <w:r>
        <w:rPr>
          <w:rFonts w:ascii="Times New Roman" w:hAnsi="Times New Roman"/>
          <w:b/>
          <w:sz w:val="24"/>
        </w:rPr>
        <w:t>3.5</w:t>
      </w:r>
    </w:p>
    <w:p>
      <w:pPr>
        <w:pStyle w:val="TextBody"/>
        <w:spacing w:before="0" w:after="240"/>
        <w:jc w:val="both"/>
        <w:rPr/>
      </w:pPr>
      <w:r>
        <w:rPr>
          <w:rFonts w:ascii="Times New Roman;serif" w:hAnsi="Times New Roman;serif"/>
          <w:b/>
          <w:sz w:val="24"/>
          <w:u w:val="single"/>
        </w:rPr>
        <w:t>Liquidation, Dissolution or Winding Up</w:t>
      </w:r>
      <w:r>
        <w:rPr>
          <w:rFonts w:ascii="Times New Roman;serif" w:hAnsi="Times New Roman;serif"/>
          <w:b w:val="false"/>
          <w:sz w:val="24"/>
        </w:rPr>
        <w:t>. Subject to the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(or written consent if action by written consent of stockholders is permitted at such time under this Restated Certificate of Incorporation) of the holders of a majority of the outstanding shares of Class A Common Stock and Class B Common Stock, each voting separately as a class.</w:t>
      </w:r>
    </w:p>
    <w:p>
      <w:pPr>
        <w:pStyle w:val="TextBody"/>
        <w:spacing w:before="0" w:after="240"/>
        <w:jc w:val="both"/>
        <w:rPr>
          <w:rFonts w:ascii="Times New Roman" w:hAnsi="Times New Roman"/>
          <w:b/>
          <w:sz w:val="24"/>
        </w:rPr>
      </w:pPr>
      <w:r>
        <w:rPr>
          <w:rFonts w:ascii="Times New Roman" w:hAnsi="Times New Roman"/>
          <w:b/>
          <w:sz w:val="24"/>
        </w:rPr>
        <w:t>3.6</w:t>
      </w:r>
    </w:p>
    <w:p>
      <w:pPr>
        <w:pStyle w:val="TextBody"/>
        <w:spacing w:before="0" w:after="240"/>
        <w:jc w:val="both"/>
        <w:rPr/>
      </w:pPr>
      <w:r>
        <w:rPr>
          <w:rFonts w:ascii="Times New Roman;serif" w:hAnsi="Times New Roman;serif"/>
          <w:b/>
          <w:sz w:val="24"/>
          <w:u w:val="single"/>
        </w:rPr>
        <w:t>Merger or Consolidation</w:t>
      </w:r>
      <w:r>
        <w:rPr>
          <w:rFonts w:ascii="Times New Roman;serif" w:hAnsi="Times New Roman;serif"/>
          <w:b w:val="false"/>
          <w:sz w:val="24"/>
        </w:rPr>
        <w:t>.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(i) the only difference in the per share distribution to the holders of the Class A Common Stock and Class B Common Stock is that any securities distributed to the holder of a share Class B Common Stock have twenty times the voting power of any securities distributed to the holder of a share of Class A Common Stock, or (ii) such merger, consolidation or other transaction is approved by the affirmative vote (or written consent if action by written consent of stockholders is permitted at such time under this Restated Certificate of Incorporation) of the holders of a majority of the outstanding shares of Class A Common Stock and Class B Common Stock, each voting separately as a class.</w:t>
      </w:r>
    </w:p>
    <w:p>
      <w:pPr>
        <w:pStyle w:val="TextBody"/>
        <w:spacing w:before="0" w:after="240"/>
        <w:jc w:val="both"/>
        <w:rPr>
          <w:rFonts w:ascii="Times New Roman" w:hAnsi="Times New Roman"/>
          <w:b/>
          <w:sz w:val="24"/>
        </w:rPr>
      </w:pPr>
      <w:r>
        <w:rPr>
          <w:rFonts w:ascii="Times New Roman" w:hAnsi="Times New Roman"/>
          <w:b/>
          <w:sz w:val="24"/>
        </w:rPr>
        <w:t>3.7</w:t>
      </w:r>
    </w:p>
    <w:p>
      <w:pPr>
        <w:pStyle w:val="TextBody"/>
        <w:spacing w:before="0" w:after="240"/>
        <w:jc w:val="both"/>
        <w:rPr/>
      </w:pPr>
      <w:r>
        <w:rPr>
          <w:rFonts w:ascii="Times New Roman;serif" w:hAnsi="Times New Roman;serif"/>
          <w:b/>
          <w:sz w:val="24"/>
          <w:u w:val="single"/>
        </w:rPr>
        <w:t>Change in Control Class B Vote</w:t>
      </w:r>
      <w:r>
        <w:rPr>
          <w:rFonts w:ascii="Times New Roman;serif" w:hAnsi="Times New Roman;serif"/>
          <w:b w:val="false"/>
          <w:sz w:val="24"/>
        </w:rPr>
        <w:t xml:space="preserve">. Until the first date on which the outstanding shares of Class B Common Stock represent less than twenty-five percent (25%) of the total voting power of the then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outstanding shares of capital stock of the Corporation then entitled to vote generally in the election of directors, the Corporation shall not consummate a Change in Control Transaction (as defined in Section 5 of Article V) without first obtaining the affirmative vote (or written consent if action by written consent of stockholders is permitted at such time under this Restated Certificate of Incorporation) of the holders of a majority of the then outstanding shares of Class B Common Stock, voting as a separate class, in addition to any other vote required by applicable law, this Restated Certificate of Incorporation or the Bylaws.</w:t>
      </w:r>
    </w:p>
    <w:p>
      <w:pPr>
        <w:pStyle w:val="TextBody"/>
        <w:spacing w:before="0" w:after="240"/>
        <w:jc w:val="both"/>
        <w:rPr>
          <w:rFonts w:ascii="Times New Roman" w:hAnsi="Times New Roman"/>
          <w:b/>
          <w:sz w:val="24"/>
        </w:rPr>
      </w:pPr>
      <w:r>
        <w:rPr>
          <w:rFonts w:ascii="Times New Roman" w:hAnsi="Times New Roman"/>
          <w:b/>
          <w:sz w:val="24"/>
        </w:rPr>
        <w:t>3.8</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So long as any shares of Class B Common Stock remain outstanding, the Corporation shall not, without the approval by vote or written consent of the holders of a majority of the voting power of the Class B Common Stock then outstanding, voting together as a single class, directly or indirectly, or whether by amendment, or through merger, recapitalization, consolidation or otherwise:</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amend, alter, or repeal any provision of the Certificate of Incorporation or the Bylaws hat modifies the voting, conversion or other powers, preferences, or other special rights or privileges, or restrictions of the Class B Common Stock; or</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reclassify any outstanding shares of Class A Common Stock of the Corporation into shares having rights as to dividends or liquidation that are senior to the Class B Common Stock or the right to more than one (1) vote for each share thereof.</w:t>
      </w:r>
    </w:p>
    <w:p>
      <w:pPr>
        <w:pStyle w:val="TextBody"/>
        <w:spacing w:before="0" w:after="240"/>
        <w:jc w:val="center"/>
        <w:rPr>
          <w:rFonts w:ascii="Times New Roman" w:hAnsi="Times New Roman"/>
          <w:b/>
          <w:sz w:val="24"/>
        </w:rPr>
      </w:pPr>
      <w:r>
        <w:rPr>
          <w:rFonts w:ascii="Times New Roman" w:hAnsi="Times New Roman"/>
          <w:b/>
          <w:sz w:val="24"/>
        </w:rPr>
        <w:t>ARTICLE V:</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CLASS B COMMON STOCK CONVERSION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Optional Conversion</w:t>
      </w:r>
      <w:r>
        <w:rPr>
          <w:rFonts w:ascii="Times New Roman;serif" w:hAnsi="Times New Roman;serif"/>
          <w:b w:val="false"/>
          <w:sz w:val="24"/>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the Corporation, and the person or persons entitled to receive the shares of Class A Common Stock issuable upon such conversion shall be treated for all purposes as the record holder or holders of such shares of Class A Common Stock as of such date.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Automatic Conversion of all Outstanding Class B Common Stock</w:t>
      </w:r>
      <w:r>
        <w:rPr>
          <w:rFonts w:ascii="Times New Roman;serif" w:hAnsi="Times New Roman;serif"/>
          <w:b w:val="false"/>
          <w:sz w:val="24"/>
        </w:rPr>
        <w:t xml:space="preserve">. Each share of Class B Common Stock shall automatically, without further action by the Corporation or the holder thereof, be converted into one (1) fully paid and nonassessable share of Class A Common Stock immediately prior to the close of business on the earliest to occur of (i) the date that is seven (7) years after the Initial Public Offering Closing (as defined below), (ii) the date on which the outstanding shares of Class B Common Stock represent less than five percent (5%) of the aggregate number of shares of Class A Common Stock and Class B Common Stock then outstanding, (iii) the date specified by the affirmative vote (or written consent if action by written consent of stockholders is permitted at such time under this Restated Certificate of Incorporation) of the holders of Class B Common Stock representing a majority of the outstanding shares of Class B Common Stock, voting as a separate class, or (iv) the date that is (A) ninety (90) days after the date of the death or Incapacity of the Founder or (B)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such later date, not to exceed a total period of two hundred and seventy (270) days after the date of the death or Incapacity of the Founder, as may be approved prior to the date that is ninety (90) days after the date of death or Incapacity of the Founder by a majority of the Independent Directors then in office, with such later date, if any, maintained by the secretary of the Corporation in writing as part of the books and records of the Corporation, a copy of which shall be furnished, without cost, to any stockholder who makes a request therefor (each event referred to in (i), (ii), (iii) and (iv) is referred to herein as a “</w:t>
      </w:r>
      <w:r>
        <w:rPr>
          <w:rFonts w:ascii="Times New Roman;serif" w:hAnsi="Times New Roman;serif"/>
          <w:b/>
          <w:i/>
          <w:sz w:val="24"/>
        </w:rPr>
        <w:t>Final Automatic Conversion</w:t>
      </w:r>
      <w:r>
        <w:rPr/>
        <w:t>”</w:t>
      </w:r>
      <w:r>
        <w:rPr>
          <w:rFonts w:ascii="Times New Roman;serif" w:hAnsi="Times New Roman;serif"/>
          <w:b w:val="false"/>
          <w:sz w:val="24"/>
        </w:rPr>
        <w:t>). The Corporation shall provide notice of the Final Automatic Conversion of shares of Class B Common Stock pursuant to this Section 2 of Article V to record holders of such shares of Class B Common Stock as soon as practicable following the Final Automatic Conversion. Such notice shall be provided by any means then permitted by the General Corporation Law; provided, however, that no failure to give such notice nor any defect therein shall affect the validity of the Final Automatic Conversion. Upon and after the Final Automatic Conversion, the person registered on the Corporation’s books as the record holder of the shares of Class B Common Stock so converted immediately prior to the Final Automatic Conversion shall be registered on the Corporation’s books as the record holder of the shares of Class A Common Stock issued upon the Final Automatic Conversion of such shares of Class B Common Stock, without further action on the part of the record holder thereof. Immediately upon the effectiveness of the Final Automatic Conversion, the rights of the holders of shares of Class B Common Stock as such shall cease, and the holders shall be treated for all purposes as having become the record holder or holders of such shares of Class A Common Stock into which such shares of Class B Common Stock were converted.</w:t>
      </w:r>
      <w:r>
        <w:rPr/>
        <w:t xml:space="preserve"> </w:t>
      </w:r>
    </w:p>
    <w:p>
      <w:pPr>
        <w:pStyle w:val="TextBody"/>
        <w:spacing w:before="0" w:after="240"/>
        <w:jc w:val="both"/>
        <w:rPr>
          <w:rFonts w:ascii="Times New Roman" w:hAnsi="Times New Roman"/>
          <w:b/>
          <w:sz w:val="24"/>
        </w:rPr>
      </w:pPr>
      <w:r>
        <w:rPr>
          <w:rFonts w:ascii="Times New Roman" w:hAnsi="Times New Roman"/>
          <w:b/>
          <w:sz w:val="24"/>
        </w:rPr>
        <w:t>3.</w:t>
      </w:r>
    </w:p>
    <w:p>
      <w:pPr>
        <w:pStyle w:val="TextBody"/>
        <w:spacing w:before="0" w:after="240"/>
        <w:jc w:val="both"/>
        <w:rPr/>
      </w:pPr>
      <w:r>
        <w:rPr>
          <w:rFonts w:ascii="Times New Roman;serif" w:hAnsi="Times New Roman;serif"/>
          <w:b/>
          <w:sz w:val="24"/>
          <w:u w:val="single"/>
        </w:rPr>
        <w:t>Conversion on Transfer</w:t>
      </w:r>
      <w:r>
        <w:rPr>
          <w:rFonts w:ascii="Times New Roman;serif" w:hAnsi="Times New Roman;serif"/>
          <w:b w:val="false"/>
          <w:sz w:val="24"/>
        </w:rPr>
        <w:t xml:space="preserve">. Each share of Class B Common Stock shall automatically, without further action by the Corporation or the holder thereof, be converted into one (1) fully paid and nonassessable share of Class A Common Stock, upon the occurrence of (i) a Transfer (as defined below), other than a Permitted Transfer (as defined below), of such share of Class B Common Stock or (ii) other than with respect to the Founder, the death of the holder of such share if such holder is a natural person. </w:t>
      </w:r>
    </w:p>
    <w:p>
      <w:pPr>
        <w:pStyle w:val="TextBody"/>
        <w:spacing w:before="0" w:after="240"/>
        <w:jc w:val="both"/>
        <w:rPr>
          <w:rFonts w:ascii="Times New Roman" w:hAnsi="Times New Roman"/>
          <w:b/>
          <w:sz w:val="24"/>
        </w:rPr>
      </w:pPr>
      <w:r>
        <w:rPr>
          <w:rFonts w:ascii="Times New Roman" w:hAnsi="Times New Roman"/>
          <w:b/>
          <w:sz w:val="24"/>
        </w:rPr>
        <w:t>4.</w:t>
      </w:r>
    </w:p>
    <w:p>
      <w:pPr>
        <w:pStyle w:val="TextBody"/>
        <w:spacing w:before="0" w:after="240"/>
        <w:jc w:val="both"/>
        <w:rPr/>
      </w:pPr>
      <w:r>
        <w:rPr>
          <w:rFonts w:ascii="Times New Roman;serif" w:hAnsi="Times New Roman;serif"/>
          <w:b/>
          <w:sz w:val="24"/>
          <w:u w:val="single"/>
        </w:rPr>
        <w:t>Policies and Procedures</w:t>
      </w:r>
      <w:r>
        <w:rPr>
          <w:rFonts w:ascii="Times New Roman;serif" w:hAnsi="Times New Roman;serif"/>
          <w:b w:val="false"/>
          <w:sz w:val="24"/>
        </w:rPr>
        <w:t>. The Corporation may, from time to time, as it may deem necessary or advisable, establish such policies and procedures, not in violation of applicable law or this Restated Certificate of Incorporation or the Bylaws, relating to the conversion of shares of the Class B Common Stock into shares of Class A Common Stock.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at the close of business on the tenth (10</w:t>
      </w:r>
      <w:r>
        <w:rPr>
          <w:rFonts w:ascii="Times New Roman;serif" w:hAnsi="Times New Roman;serif"/>
          <w:b w:val="false"/>
          <w:sz w:val="16"/>
        </w:rPr>
        <w:t>th</w:t>
      </w:r>
      <w:r>
        <w:rPr>
          <w:rFonts w:ascii="Times New Roman;serif" w:hAnsi="Times New Roman;serif"/>
          <w:b w:val="false"/>
          <w:sz w:val="24"/>
        </w:rPr>
        <w:t xml:space="preserve">) day following such request, and such conversion shall thereupon be registered on the books and records of the Corporation. In connection with any action of stockholders taken at a meeting or by written consent (if action by written consent of stockholders is permitted at such time under this Restated Certificate of Incorporation), the stock ledger of the Corporation shall be presumptive evidence as to who are the stockholders entitled to vote in person or by proxy at any meeting of stockholders or in connection with any such written consent and the classes of shares held by each such stockholder and the number of shares of each class held by such stockholder. </w:t>
      </w:r>
    </w:p>
    <w:p>
      <w:pPr>
        <w:pStyle w:val="TextBody"/>
        <w:spacing w:before="0" w:after="240"/>
        <w:jc w:val="both"/>
        <w:rPr>
          <w:rFonts w:ascii="Times New Roman" w:hAnsi="Times New Roman"/>
          <w:b/>
          <w:sz w:val="24"/>
        </w:rPr>
      </w:pPr>
      <w:r>
        <w:rPr>
          <w:rFonts w:ascii="Times New Roman" w:hAnsi="Times New Roman"/>
          <w:b/>
          <w:sz w:val="24"/>
        </w:rPr>
        <w:t>5.</w:t>
      </w:r>
    </w:p>
    <w:p>
      <w:pPr>
        <w:pStyle w:val="TextBody"/>
        <w:spacing w:before="0" w:after="240"/>
        <w:jc w:val="both"/>
        <w:rPr/>
      </w:pPr>
      <w:r>
        <w:rPr>
          <w:rFonts w:ascii="Times New Roman;serif" w:hAnsi="Times New Roman;serif"/>
          <w:b/>
          <w:sz w:val="24"/>
          <w:u w:val="single"/>
        </w:rPr>
        <w:t>Definitions</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t>“</w:t>
      </w:r>
      <w:r>
        <w:rPr>
          <w:rFonts w:ascii="Times New Roman;serif" w:hAnsi="Times New Roman;serif"/>
          <w:b/>
          <w:i/>
          <w:sz w:val="24"/>
        </w:rPr>
        <w:t>Change in Control Transaction</w:t>
      </w:r>
      <w:r>
        <w:rPr/>
        <w:t xml:space="preserve">” </w:t>
      </w:r>
      <w:r>
        <w:rPr>
          <w:rFonts w:ascii="Times New Roman;serif" w:hAnsi="Times New Roman;serif"/>
          <w:b w:val="false"/>
          <w:sz w:val="24"/>
        </w:rPr>
        <w:t xml:space="preserve">shall mean the occurrence of any of the following events: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sale, lease, exchange, encumbrance or other disposition (other than licenses that do not constitute an effective disposition of all or substantially all of the assets of the Corporation and its subsidiaries taken as a whole, and the grant of security interests in the ordinary course of business) by the Corporation of all or substantially all of the Corporation’s assets; or</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merger or consolidation of the Corporation with or into any other entity, other than a merger or consolidation that would result in the Class B Common Stock of the Corporation outstanding immediately prior thereto representing (either by remaining outstanding or by being converted into voting securities of the surviving entity or its sole parent entity) more than fifty percent (50%) of the total voting power represented by the voting securities of the Corporation or such surviving entity or its sole parent entity outstanding immediately after such merger or consolidation.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t>“</w:t>
      </w:r>
      <w:r>
        <w:rPr>
          <w:rFonts w:ascii="Times New Roman;serif" w:hAnsi="Times New Roman;serif"/>
          <w:b/>
          <w:i/>
          <w:sz w:val="24"/>
        </w:rPr>
        <w:t>Convertible Security</w:t>
      </w:r>
      <w:r>
        <w:rPr/>
        <w:t xml:space="preserve">” </w:t>
      </w:r>
      <w:r>
        <w:rPr>
          <w:rFonts w:ascii="Times New Roman;serif" w:hAnsi="Times New Roman;serif"/>
          <w:b w:val="false"/>
          <w:sz w:val="24"/>
        </w:rPr>
        <w:t xml:space="preserve">shall mean any evidences of indebtedness or other securities (other than shares of Class B Common Stock) convertible into or exchangeable for Class B Common Stock, either directly or indirectly.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t>“</w:t>
      </w:r>
      <w:r>
        <w:rPr>
          <w:rFonts w:ascii="Times New Roman;serif" w:hAnsi="Times New Roman;serif"/>
          <w:b/>
          <w:i/>
          <w:sz w:val="24"/>
        </w:rPr>
        <w:t>Securities Act</w:t>
      </w:r>
      <w:r>
        <w:rPr/>
        <w:t xml:space="preserve">” </w:t>
      </w:r>
      <w:r>
        <w:rPr>
          <w:rFonts w:ascii="Times New Roman;serif" w:hAnsi="Times New Roman;serif"/>
          <w:b w:val="false"/>
          <w:sz w:val="24"/>
        </w:rPr>
        <w:t>shall mean the Securities Act of 1933, as amended.</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t>“</w:t>
      </w:r>
      <w:r>
        <w:rPr>
          <w:rFonts w:ascii="Times New Roman;serif" w:hAnsi="Times New Roman;serif"/>
          <w:b/>
          <w:i/>
          <w:sz w:val="24"/>
        </w:rPr>
        <w:t>Family Member</w:t>
      </w:r>
      <w:r>
        <w:rPr/>
        <w:t xml:space="preserve">” </w:t>
      </w:r>
      <w:r>
        <w:rPr>
          <w:rFonts w:ascii="Times New Roman;serif" w:hAnsi="Times New Roman;serif"/>
          <w:b w:val="false"/>
          <w:sz w:val="24"/>
        </w:rPr>
        <w:t xml:space="preserve">shall mean with respect to any natural person who is a Qualified Stockholder, the spouse, domestic partner, parents, grandparents, lineal descendants, siblings and lineal descendants of siblings of such Qualified Stockholder. Lineal descendants shall include adopted persons, but only so long as they are adopted while a minor.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t>“</w:t>
      </w:r>
      <w:r>
        <w:rPr>
          <w:rFonts w:ascii="Times New Roman;serif" w:hAnsi="Times New Roman;serif"/>
          <w:b/>
          <w:i/>
          <w:sz w:val="24"/>
        </w:rPr>
        <w:t>Founder</w:t>
      </w:r>
      <w:r>
        <w:rPr/>
        <w:t xml:space="preserve">” </w:t>
      </w:r>
      <w:r>
        <w:rPr>
          <w:rFonts w:ascii="Times New Roman;serif" w:hAnsi="Times New Roman;serif"/>
          <w:b w:val="false"/>
          <w:sz w:val="24"/>
        </w:rPr>
        <w:t>shall mean Piotr Szulczewski, an individual.</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t>“</w:t>
      </w:r>
      <w:r>
        <w:rPr>
          <w:rFonts w:ascii="Times New Roman;serif" w:hAnsi="Times New Roman;serif"/>
          <w:b/>
          <w:i/>
          <w:sz w:val="24"/>
        </w:rPr>
        <w:t>Incapacity</w:t>
      </w:r>
      <w:r>
        <w:rPr/>
        <w:t xml:space="preserve">” </w:t>
      </w:r>
      <w:r>
        <w:rPr>
          <w:rFonts w:ascii="Times New Roman;serif" w:hAnsi="Times New Roman;serif"/>
          <w:b w:val="false"/>
          <w:sz w:val="24"/>
        </w:rPr>
        <w:t>shall mean, with respect to an individual, that such individual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pPr>
      <w:r>
        <w:rPr/>
        <w:t>“</w:t>
      </w:r>
      <w:r>
        <w:rPr>
          <w:rFonts w:ascii="Times New Roman;serif" w:hAnsi="Times New Roman;serif"/>
          <w:b/>
          <w:i/>
          <w:sz w:val="24"/>
        </w:rPr>
        <w:t>Independent Directors</w:t>
      </w:r>
      <w:r>
        <w:rPr/>
        <w:t xml:space="preserve">” </w:t>
      </w:r>
      <w:r>
        <w:rPr>
          <w:rFonts w:ascii="Times New Roman;serif" w:hAnsi="Times New Roman;serif"/>
          <w:b w:val="false"/>
          <w:sz w:val="24"/>
        </w:rPr>
        <w:t>shall mean members of the Board of Directors that are not officers or otherwise employees of the Corporation or its subsidiaries; provided that a director shall not be considered an officer or employee of the Corporation solely due to such director’s position as a member of the Board of Directors or the board of directors or similar governing body of one or more subsidiaries of the Corporation or such director’s service as a non-executive chairman, lead independent director or in any similar capacity.</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pPr>
      <w:r>
        <w:rPr/>
        <w:t>“</w:t>
      </w:r>
      <w:r>
        <w:rPr>
          <w:rFonts w:ascii="Times New Roman;serif" w:hAnsi="Times New Roman;serif"/>
          <w:b/>
          <w:i/>
          <w:sz w:val="24"/>
        </w:rPr>
        <w:t>Initial Public Offering Closing</w:t>
      </w:r>
      <w:r>
        <w:rPr/>
        <w:t xml:space="preserve">” </w:t>
      </w:r>
      <w:r>
        <w:rPr>
          <w:rFonts w:ascii="Times New Roman;serif" w:hAnsi="Times New Roman;serif"/>
          <w:b w:val="false"/>
          <w:sz w:val="24"/>
        </w:rPr>
        <w:t>shall mean the closing of the Corporation’s initial public offering pursuant to an effective registration statement under the Securities Act covering the offer and sale of Class A Common Stock to the public.</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pPr>
      <w:r>
        <w:rPr/>
        <w:t>“</w:t>
      </w:r>
      <w:r>
        <w:rPr>
          <w:rFonts w:ascii="Times New Roman;serif" w:hAnsi="Times New Roman;serif"/>
          <w:b/>
          <w:i/>
          <w:sz w:val="24"/>
        </w:rPr>
        <w:t>IPO Date</w:t>
      </w:r>
      <w:r>
        <w:rPr/>
        <w:t xml:space="preserve">” </w:t>
      </w:r>
      <w:r>
        <w:rPr>
          <w:rFonts w:ascii="Times New Roman;serif" w:hAnsi="Times New Roman;serif"/>
          <w:b w:val="false"/>
          <w:sz w:val="24"/>
        </w:rPr>
        <w:t xml:space="preserve">means December 18, 2020. </w:t>
      </w:r>
    </w:p>
    <w:p>
      <w:pPr>
        <w:pStyle w:val="TextBody"/>
        <w:spacing w:before="0" w:after="240"/>
        <w:jc w:val="both"/>
        <w:rPr>
          <w:rFonts w:ascii="Times New Roman" w:hAnsi="Times New Roman"/>
          <w:b w:val="false"/>
          <w:sz w:val="24"/>
        </w:rPr>
      </w:pPr>
      <w:r>
        <w:rPr>
          <w:rFonts w:ascii="Times New Roman" w:hAnsi="Times New Roman"/>
          <w:b w:val="false"/>
          <w:sz w:val="24"/>
        </w:rPr>
        <w:t>(j)</w:t>
      </w:r>
    </w:p>
    <w:p>
      <w:pPr>
        <w:pStyle w:val="TextBody"/>
        <w:spacing w:before="0" w:after="240"/>
        <w:jc w:val="both"/>
        <w:rPr/>
      </w:pPr>
      <w:r>
        <w:rPr/>
        <w:t>“</w:t>
      </w:r>
      <w:r>
        <w:rPr>
          <w:rFonts w:ascii="Times New Roman;serif" w:hAnsi="Times New Roman;serif"/>
          <w:b/>
          <w:i/>
          <w:sz w:val="24"/>
        </w:rPr>
        <w:t>Option</w:t>
      </w:r>
      <w:r>
        <w:rPr/>
        <w:t xml:space="preserve">” </w:t>
      </w:r>
      <w:r>
        <w:rPr>
          <w:rFonts w:ascii="Times New Roman;serif" w:hAnsi="Times New Roman;serif"/>
          <w:b w:val="false"/>
          <w:sz w:val="24"/>
        </w:rPr>
        <w:t xml:space="preserve">shall mean rights, options, restricted stock units or warrants to subscribe for, purchase or otherwise acquire Class B Common Stock or Convertible Securities (as defined above). </w:t>
      </w:r>
    </w:p>
    <w:p>
      <w:pPr>
        <w:pStyle w:val="TextBody"/>
        <w:spacing w:before="0" w:after="240"/>
        <w:jc w:val="both"/>
        <w:rPr>
          <w:rFonts w:ascii="Times New Roman" w:hAnsi="Times New Roman"/>
          <w:b w:val="false"/>
          <w:sz w:val="24"/>
        </w:rPr>
      </w:pPr>
      <w:r>
        <w:rPr>
          <w:rFonts w:ascii="Times New Roman" w:hAnsi="Times New Roman"/>
          <w:b w:val="false"/>
          <w:sz w:val="24"/>
        </w:rPr>
        <w:t>(k)</w:t>
      </w:r>
    </w:p>
    <w:p>
      <w:pPr>
        <w:pStyle w:val="TextBody"/>
        <w:spacing w:before="0" w:after="240"/>
        <w:jc w:val="both"/>
        <w:rPr/>
      </w:pPr>
      <w:r>
        <w:rPr/>
        <w:t>“</w:t>
      </w:r>
      <w:r>
        <w:rPr>
          <w:rFonts w:ascii="Times New Roman;serif" w:hAnsi="Times New Roman;serif"/>
          <w:b/>
          <w:i/>
          <w:sz w:val="24"/>
        </w:rPr>
        <w:t>Parent</w:t>
      </w:r>
      <w:r>
        <w:rPr/>
        <w:t xml:space="preserve">” </w:t>
      </w:r>
      <w:r>
        <w:rPr>
          <w:rFonts w:ascii="Times New Roman;serif" w:hAnsi="Times New Roman;serif"/>
          <w:b w:val="false"/>
          <w:sz w:val="24"/>
        </w:rPr>
        <w:t xml:space="preserve">of an entity shall mean any entity that directly or indirectly owns or controls a majority of the voting power of the voting securities of such entity. </w:t>
      </w:r>
    </w:p>
    <w:p>
      <w:pPr>
        <w:pStyle w:val="TextBody"/>
        <w:spacing w:before="0" w:after="240"/>
        <w:jc w:val="both"/>
        <w:rPr>
          <w:rFonts w:ascii="Times New Roman" w:hAnsi="Times New Roman"/>
          <w:b w:val="false"/>
          <w:sz w:val="24"/>
        </w:rPr>
      </w:pPr>
      <w:r>
        <w:rPr>
          <w:rFonts w:ascii="Times New Roman" w:hAnsi="Times New Roman"/>
          <w:b w:val="false"/>
          <w:sz w:val="24"/>
        </w:rPr>
        <w:t>(l)</w:t>
      </w:r>
    </w:p>
    <w:p>
      <w:pPr>
        <w:pStyle w:val="TextBody"/>
        <w:spacing w:before="0" w:after="240"/>
        <w:jc w:val="both"/>
        <w:rPr/>
      </w:pPr>
      <w:r>
        <w:rPr/>
        <w:t>“</w:t>
      </w:r>
      <w:r>
        <w:rPr>
          <w:rFonts w:ascii="Times New Roman;serif" w:hAnsi="Times New Roman;serif"/>
          <w:b/>
          <w:i/>
          <w:sz w:val="24"/>
        </w:rPr>
        <w:t>Permitted Entity</w:t>
      </w:r>
      <w:r>
        <w:rPr/>
        <w:t xml:space="preserve">” </w:t>
      </w:r>
      <w:r>
        <w:rPr>
          <w:rFonts w:ascii="Times New Roman;serif" w:hAnsi="Times New Roman;serif"/>
          <w:b w:val="false"/>
          <w:sz w:val="24"/>
        </w:rPr>
        <w:t xml:space="preserve">shall mean with respect to a Qualified Stockholder: (a) a Permitted Trust solely for the benefit of (1) such Qualified Stockholder, (2) one or more Family Members of such Qualified Stockholder, or (3) any other Permitted Entity of such Qualified Stockholder; or (b) any general partnership, limited partnership, limited liability company, corporation or other entity exclusively owned by (1) such Qualified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Stockholder, (2) one or more Family Members of such Qualified Stockholder, or (3) any other Permitted Entity of such Qualified Stockholder.</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(m)</w:t>
      </w:r>
    </w:p>
    <w:p>
      <w:pPr>
        <w:pStyle w:val="TextBody"/>
        <w:spacing w:before="0" w:after="240"/>
        <w:jc w:val="both"/>
        <w:rPr/>
      </w:pPr>
      <w:r>
        <w:rPr/>
        <w:t>“</w:t>
      </w:r>
      <w:r>
        <w:rPr>
          <w:rFonts w:ascii="Times New Roman;serif" w:hAnsi="Times New Roman;serif"/>
          <w:b/>
          <w:i/>
          <w:sz w:val="24"/>
        </w:rPr>
        <w:t>Permitted Transfer</w:t>
      </w:r>
      <w:r>
        <w:rPr/>
        <w:t xml:space="preserve">” </w:t>
      </w:r>
      <w:r>
        <w:rPr>
          <w:rFonts w:ascii="Times New Roman;serif" w:hAnsi="Times New Roman;serif"/>
          <w:b w:val="false"/>
          <w:sz w:val="24"/>
        </w:rPr>
        <w:t xml:space="preserve">shall mean, and be restricted to, any Transfer of a share of Class B Common Stock: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by a Qualified Stockholder to (A) one or more Family Members of such Qualified Stockholder, (B) any Permitted Entity of such Qualified Stockholder, (C) to such Qualified Stockholder’s revocable living trust, which revocable living trust is itself both a Permitted Trust and a Qualified Stockholder or (D) the Founder; or </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by a Permitted Entity of a Qualified Stockholder to (A) such Qualified Stockholder or one or more Family Members of such Qualified Stockholder, or (B) any other Permitted Entity of such Qualified Stockholder. </w:t>
      </w:r>
    </w:p>
    <w:p>
      <w:pPr>
        <w:pStyle w:val="TextBody"/>
        <w:spacing w:before="0" w:after="240"/>
        <w:jc w:val="both"/>
        <w:rPr>
          <w:rFonts w:ascii="Times New Roman" w:hAnsi="Times New Roman"/>
          <w:b w:val="false"/>
          <w:sz w:val="24"/>
        </w:rPr>
      </w:pPr>
      <w:r>
        <w:rPr>
          <w:rFonts w:ascii="Times New Roman" w:hAnsi="Times New Roman"/>
          <w:b w:val="false"/>
          <w:sz w:val="24"/>
        </w:rPr>
        <w:t>(n)</w:t>
      </w:r>
    </w:p>
    <w:p>
      <w:pPr>
        <w:pStyle w:val="TextBody"/>
        <w:spacing w:before="0" w:after="240"/>
        <w:jc w:val="both"/>
        <w:rPr/>
      </w:pPr>
      <w:r>
        <w:rPr/>
        <w:t>“</w:t>
      </w:r>
      <w:r>
        <w:rPr>
          <w:rFonts w:ascii="Times New Roman;serif" w:hAnsi="Times New Roman;serif"/>
          <w:b/>
          <w:i/>
          <w:sz w:val="24"/>
        </w:rPr>
        <w:t>Permitted Transferee</w:t>
      </w:r>
      <w:r>
        <w:rPr/>
        <w:t xml:space="preserve">” </w:t>
      </w:r>
      <w:r>
        <w:rPr>
          <w:rFonts w:ascii="Times New Roman;serif" w:hAnsi="Times New Roman;serif"/>
          <w:b w:val="false"/>
          <w:sz w:val="24"/>
        </w:rPr>
        <w:t xml:space="preserve">shall mean a transferee of shares of Class B Common Stock received in a Permitted Transfer. </w:t>
      </w:r>
    </w:p>
    <w:p>
      <w:pPr>
        <w:pStyle w:val="TextBody"/>
        <w:spacing w:before="0" w:after="240"/>
        <w:jc w:val="both"/>
        <w:rPr>
          <w:rFonts w:ascii="Times New Roman" w:hAnsi="Times New Roman"/>
          <w:b w:val="false"/>
          <w:sz w:val="24"/>
        </w:rPr>
      </w:pPr>
      <w:r>
        <w:rPr>
          <w:rFonts w:ascii="Times New Roman" w:hAnsi="Times New Roman"/>
          <w:b w:val="false"/>
          <w:sz w:val="24"/>
        </w:rPr>
        <w:t>(o)</w:t>
      </w:r>
    </w:p>
    <w:p>
      <w:pPr>
        <w:pStyle w:val="TextBody"/>
        <w:spacing w:before="0" w:after="240"/>
        <w:jc w:val="both"/>
        <w:rPr/>
      </w:pPr>
      <w:r>
        <w:rPr/>
        <w:t>“</w:t>
      </w:r>
      <w:r>
        <w:rPr>
          <w:rFonts w:ascii="Times New Roman;serif" w:hAnsi="Times New Roman;serif"/>
          <w:b/>
          <w:i/>
          <w:sz w:val="24"/>
        </w:rPr>
        <w:t>Permitted Trust</w:t>
      </w:r>
      <w:r>
        <w:rPr/>
        <w:t xml:space="preserve">” </w:t>
      </w:r>
      <w:r>
        <w:rPr>
          <w:rFonts w:ascii="Times New Roman;serif" w:hAnsi="Times New Roman;serif"/>
          <w:b w:val="false"/>
          <w:sz w:val="24"/>
        </w:rPr>
        <w:t xml:space="preserve">shall mean a bona fide trust where each trustee is (i) a Qualified Stockholder, (ii) a Family Member, or (iii) a professional in the business of providing trustee services, including private professional fiduciaries, trust companies and bank trust departments. </w:t>
      </w:r>
    </w:p>
    <w:p>
      <w:pPr>
        <w:pStyle w:val="TextBody"/>
        <w:spacing w:before="0" w:after="240"/>
        <w:jc w:val="both"/>
        <w:rPr>
          <w:rFonts w:ascii="Times New Roman" w:hAnsi="Times New Roman"/>
          <w:b w:val="false"/>
          <w:sz w:val="24"/>
        </w:rPr>
      </w:pPr>
      <w:r>
        <w:rPr>
          <w:rFonts w:ascii="Times New Roman" w:hAnsi="Times New Roman"/>
          <w:b w:val="false"/>
          <w:sz w:val="24"/>
        </w:rPr>
        <w:t>(p)</w:t>
      </w:r>
    </w:p>
    <w:p>
      <w:pPr>
        <w:pStyle w:val="TextBody"/>
        <w:spacing w:before="0" w:after="240"/>
        <w:jc w:val="both"/>
        <w:rPr/>
      </w:pPr>
      <w:r>
        <w:rPr/>
        <w:t>“</w:t>
      </w:r>
      <w:r>
        <w:rPr>
          <w:rFonts w:ascii="Times New Roman;serif" w:hAnsi="Times New Roman;serif"/>
          <w:b/>
          <w:i/>
          <w:sz w:val="24"/>
        </w:rPr>
        <w:t>Person</w:t>
      </w:r>
      <w:r>
        <w:rPr/>
        <w:t xml:space="preserve">” </w:t>
      </w:r>
      <w:r>
        <w:rPr>
          <w:rFonts w:ascii="Times New Roman;serif" w:hAnsi="Times New Roman;serif"/>
          <w:b w:val="false"/>
          <w:sz w:val="24"/>
        </w:rPr>
        <w:t>shall mean a natural person, corporation, limited liability company, partnership, joint venture, trust, unincorporated association or other legal entity.</w:t>
      </w:r>
    </w:p>
    <w:p>
      <w:pPr>
        <w:pStyle w:val="TextBody"/>
        <w:spacing w:before="0" w:after="240"/>
        <w:jc w:val="both"/>
        <w:rPr>
          <w:rFonts w:ascii="Times New Roman" w:hAnsi="Times New Roman"/>
          <w:b w:val="false"/>
          <w:sz w:val="24"/>
        </w:rPr>
      </w:pPr>
      <w:r>
        <w:rPr>
          <w:rFonts w:ascii="Times New Roman" w:hAnsi="Times New Roman"/>
          <w:b w:val="false"/>
          <w:sz w:val="24"/>
        </w:rPr>
        <w:t>(q)</w:t>
      </w:r>
    </w:p>
    <w:p>
      <w:pPr>
        <w:pStyle w:val="TextBody"/>
        <w:spacing w:before="0" w:after="240"/>
        <w:jc w:val="both"/>
        <w:rPr/>
      </w:pPr>
      <w:r>
        <w:rPr/>
        <w:t>“</w:t>
      </w:r>
      <w:r>
        <w:rPr>
          <w:rFonts w:ascii="Times New Roman;serif" w:hAnsi="Times New Roman;serif"/>
          <w:b/>
          <w:i/>
          <w:sz w:val="24"/>
        </w:rPr>
        <w:t>Qualified Stockholder</w:t>
      </w:r>
      <w:r>
        <w:rPr/>
        <w:t xml:space="preserve">” </w:t>
      </w:r>
      <w:r>
        <w:rPr>
          <w:rFonts w:ascii="Times New Roman;serif" w:hAnsi="Times New Roman;serif"/>
          <w:b w:val="false"/>
          <w:sz w:val="24"/>
        </w:rPr>
        <w:t xml:space="preserve">shall mean: (a) the record holder of a share of Class B Common Stock as of the IPO Date; (b) the initial registered holder of any shares of Class B Common Stock that are originally issued by the Corporation after the IPO Date pursuant to the exercise or conversion of any Option or Convertible Security that, in each case, was outstanding as of the IPO Date; (c) each natural person who, prior to the IPO Date, Transferred shares of capital stock of the Corporation to a Permitted Entity that is or becomes a Qualified Stockholder; (d) each natural person who Transferred shares of, or equity awards for, Class B Common Stock (including any Option exercisable or Convertible Security exchangeable for or convertible into shares of Class B Common Stock) to a Permitted Entity that is or becomes a Qualified Stockholder; and (e) a Permitted Transferee. </w:t>
      </w:r>
    </w:p>
    <w:p>
      <w:pPr>
        <w:pStyle w:val="TextBody"/>
        <w:spacing w:before="0" w:after="240"/>
        <w:jc w:val="both"/>
        <w:rPr>
          <w:rFonts w:ascii="Times New Roman" w:hAnsi="Times New Roman"/>
          <w:b w:val="false"/>
          <w:sz w:val="24"/>
        </w:rPr>
      </w:pPr>
      <w:r>
        <w:rPr>
          <w:rFonts w:ascii="Times New Roman" w:hAnsi="Times New Roman"/>
          <w:b w:val="false"/>
          <w:sz w:val="24"/>
        </w:rPr>
        <w:t>(r)</w:t>
      </w:r>
    </w:p>
    <w:p>
      <w:pPr>
        <w:pStyle w:val="TextBody"/>
        <w:spacing w:before="0" w:after="240"/>
        <w:jc w:val="both"/>
        <w:rPr/>
      </w:pPr>
      <w:r>
        <w:rPr/>
        <w:t>“</w:t>
      </w:r>
      <w:r>
        <w:rPr>
          <w:rFonts w:ascii="Times New Roman;serif" w:hAnsi="Times New Roman;serif"/>
          <w:b/>
          <w:i/>
          <w:sz w:val="24"/>
        </w:rPr>
        <w:t>Transfer</w:t>
      </w:r>
      <w:r>
        <w:rPr/>
        <w:t xml:space="preserve">” </w:t>
      </w:r>
      <w:r>
        <w:rPr>
          <w:rFonts w:ascii="Times New Roman;serif" w:hAnsi="Times New Roman;serif"/>
          <w:b w:val="false"/>
          <w:sz w:val="24"/>
        </w:rPr>
        <w:t>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serif" w:hAnsi="Times New Roman;serif"/>
          <w:b/>
          <w:i/>
          <w:sz w:val="24"/>
        </w:rPr>
        <w:t>Transfer</w:t>
      </w:r>
      <w:r>
        <w:rPr/>
        <w:t xml:space="preserve">” </w:t>
      </w:r>
      <w:r>
        <w:rPr>
          <w:rFonts w:ascii="Times New Roman;serif" w:hAnsi="Times New Roman;serif"/>
          <w:b w:val="false"/>
          <w:sz w:val="24"/>
        </w:rPr>
        <w:t xml:space="preserve">within the meaning of this Section 5 of Article V: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granting of a revocable proxy to officers or directors of the Corporation at the request of the Board of Directors in connection with actions to be taken at an annual or special meeting of stockholders or in connection with any action by written consent of the stockholders solicited by the Board of Directors (if action by written consent of stockholders is permitted at such time under this Restated Certificate of Incorporation);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 </w:t>
      </w:r>
    </w:p>
    <w:p>
      <w:pPr>
        <w:pStyle w:val="TextBody"/>
        <w:spacing w:before="0" w:after="240"/>
        <w:jc w:val="both"/>
        <w:rPr>
          <w:rFonts w:ascii="Times New Roman" w:hAnsi="Times New Roman"/>
          <w:b w:val="false"/>
          <w:sz w:val="24"/>
        </w:rPr>
      </w:pPr>
      <w:r>
        <w:rPr>
          <w:rFonts w:ascii="Times New Roman" w:hAnsi="Times New Roman"/>
          <w:b w:val="false"/>
          <w:sz w:val="24"/>
        </w:rPr>
        <w:t>(iii)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entering into a voting trust, agreement or arrangement (with or without granting a proxy) pursuant to a written agreement to which the Corporation is a party; </w:t>
      </w:r>
    </w:p>
    <w:p>
      <w:pPr>
        <w:pStyle w:val="TextBody"/>
        <w:spacing w:before="0" w:after="240"/>
        <w:jc w:val="both"/>
        <w:rPr>
          <w:rFonts w:ascii="Times New Roman" w:hAnsi="Times New Roman"/>
          <w:b w:val="false"/>
          <w:sz w:val="24"/>
        </w:rPr>
      </w:pPr>
      <w:r>
        <w:rPr>
          <w:rFonts w:ascii="Times New Roman" w:hAnsi="Times New Roman"/>
          <w:b w:val="false"/>
          <w:sz w:val="24"/>
        </w:rPr>
        <w:t>(iv)</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 </w:t>
      </w:r>
    </w:p>
    <w:p>
      <w:pPr>
        <w:pStyle w:val="TextBody"/>
        <w:spacing w:before="0" w:after="240"/>
        <w:jc w:val="both"/>
        <w:rPr>
          <w:rFonts w:ascii="Times New Roman" w:hAnsi="Times New Roman"/>
          <w:b w:val="false"/>
          <w:sz w:val="24"/>
        </w:rPr>
      </w:pPr>
      <w:r>
        <w:rPr>
          <w:rFonts w:ascii="Times New Roman" w:hAnsi="Times New Roman"/>
          <w:b w:val="false"/>
          <w:sz w:val="24"/>
        </w:rPr>
        <w:t>(v)</w:t>
      </w:r>
    </w:p>
    <w:p>
      <w:pPr>
        <w:pStyle w:val="TextBody"/>
        <w:spacing w:before="0" w:after="240"/>
        <w:jc w:val="both"/>
        <w:rPr/>
      </w:pPr>
      <w:r>
        <w:rPr>
          <w:rFonts w:ascii="Times New Roman;serif" w:hAnsi="Times New Roman;serif"/>
          <w:b w:val="false"/>
          <w:sz w:val="24"/>
        </w:rPr>
        <w:t>the fact that, as of the IPO Date or at any time after the IPO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provided that any transfer of shares by any holder of shares of Class B Common Stock to such holder’s spouse, including a transfer in connection with a divorce proceeding, domestic relations order or similar legal requirement, shall constitute a “</w:t>
      </w:r>
      <w:r>
        <w:rPr>
          <w:rFonts w:ascii="Times New Roman;serif" w:hAnsi="Times New Roman;serif"/>
          <w:b/>
          <w:i/>
          <w:sz w:val="24"/>
        </w:rPr>
        <w:t>Transfer</w:t>
      </w:r>
      <w:r>
        <w:rPr/>
        <w:t xml:space="preserve">” </w:t>
      </w:r>
      <w:r>
        <w:rPr>
          <w:rFonts w:ascii="Times New Roman;serif" w:hAnsi="Times New Roman;serif"/>
          <w:b w:val="false"/>
          <w:sz w:val="24"/>
        </w:rPr>
        <w:t xml:space="preserve">of such shares of Class B Common Stock unless otherwise exempt from the definition of Transfer; </w:t>
      </w:r>
    </w:p>
    <w:p>
      <w:pPr>
        <w:pStyle w:val="TextBody"/>
        <w:spacing w:before="0" w:after="240"/>
        <w:jc w:val="both"/>
        <w:rPr>
          <w:rFonts w:ascii="Times New Roman" w:hAnsi="Times New Roman"/>
          <w:b w:val="false"/>
          <w:sz w:val="24"/>
        </w:rPr>
      </w:pPr>
      <w:r>
        <w:rPr>
          <w:rFonts w:ascii="Times New Roman" w:hAnsi="Times New Roman"/>
          <w:b w:val="false"/>
          <w:sz w:val="24"/>
        </w:rPr>
        <w:t>(vi)</w:t>
      </w:r>
    </w:p>
    <w:p>
      <w:pPr>
        <w:pStyle w:val="TextBody"/>
        <w:spacing w:before="0" w:after="240"/>
        <w:jc w:val="both"/>
        <w:rPr/>
      </w:pPr>
      <w:r>
        <w:rPr>
          <w:rFonts w:ascii="Times New Roman;serif" w:hAnsi="Times New Roman;serif"/>
          <w:b w:val="false"/>
          <w:sz w:val="24"/>
        </w:rPr>
        <w:t>entering into a trading plan pursuant to Rule 10b5-1 under the Securities Exchange Act of 1934, as amended (the “</w:t>
      </w:r>
      <w:r>
        <w:rPr>
          <w:rFonts w:ascii="Times New Roman;serif" w:hAnsi="Times New Roman;serif"/>
          <w:b/>
          <w:i/>
          <w:sz w:val="24"/>
        </w:rPr>
        <w:t>Exchange Act</w:t>
      </w:r>
      <w:r>
        <w:rPr/>
        <w:t>”</w:t>
      </w:r>
      <w:r>
        <w:rPr>
          <w:rFonts w:ascii="Times New Roman;serif" w:hAnsi="Times New Roman;serif"/>
          <w:b w:val="false"/>
          <w:sz w:val="24"/>
        </w:rPr>
        <w:t>), with a broker or other nominee; provided, however, that a sale of such shares of Class B Common Stock pursuant to such plan shall constitute a “</w:t>
      </w:r>
      <w:r>
        <w:rPr>
          <w:rFonts w:ascii="Times New Roman;serif" w:hAnsi="Times New Roman;serif"/>
          <w:b/>
          <w:i/>
          <w:sz w:val="24"/>
        </w:rPr>
        <w:t>Transfer</w:t>
      </w:r>
      <w:r>
        <w:rPr/>
        <w:t xml:space="preserve">” </w:t>
      </w:r>
      <w:r>
        <w:rPr>
          <w:rFonts w:ascii="Times New Roman;serif" w:hAnsi="Times New Roman;serif"/>
          <w:b w:val="false"/>
          <w:sz w:val="24"/>
        </w:rPr>
        <w:t xml:space="preserve">at the time of such sale; </w:t>
      </w:r>
    </w:p>
    <w:p>
      <w:pPr>
        <w:pStyle w:val="TextBody"/>
        <w:spacing w:before="0" w:after="240"/>
        <w:jc w:val="both"/>
        <w:rPr>
          <w:rFonts w:ascii="Times New Roman" w:hAnsi="Times New Roman"/>
          <w:b w:val="false"/>
          <w:sz w:val="24"/>
        </w:rPr>
      </w:pPr>
      <w:r>
        <w:rPr>
          <w:rFonts w:ascii="Times New Roman" w:hAnsi="Times New Roman"/>
          <w:b w:val="false"/>
          <w:sz w:val="24"/>
        </w:rPr>
        <w:t>(vii)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of Directors, the entering into a support, voting, tender or similar agreement or arrangement (in each case, with or without the grant of a proxy) that has also been approved by the Board of Directors; or</w:t>
      </w:r>
    </w:p>
    <w:p>
      <w:pPr>
        <w:pStyle w:val="TextBody"/>
        <w:spacing w:before="0" w:after="240"/>
        <w:jc w:val="both"/>
        <w:rPr>
          <w:rFonts w:ascii="Times New Roman" w:hAnsi="Times New Roman"/>
          <w:b w:val="false"/>
          <w:sz w:val="24"/>
        </w:rPr>
      </w:pPr>
      <w:r>
        <w:rPr>
          <w:rFonts w:ascii="Times New Roman" w:hAnsi="Times New Roman"/>
          <w:b w:val="false"/>
          <w:sz w:val="24"/>
        </w:rPr>
        <w:t>(viii)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granting a proxy by the Founder or the Founder’s Permitted Transferees to a Person designated by the Founder and approved, in advance, by a majority of the Independent Directors then in office to exercise dispositive power and/or Voting Control of shares of Class B Common Stock owned directly or indirectly, beneficially and of record, by the Founder, the Founder’s Permitted Transferees, the Founder’s estate or the Founder’s heirs, effective either (A) upon the death of the Founder or (B) during or following any Incapacity of the Founder, including the exercise of such proxy by such Person.</w:t>
      </w:r>
    </w:p>
    <w:p>
      <w:pPr>
        <w:pStyle w:val="TextBody"/>
        <w:spacing w:before="0" w:after="240"/>
        <w:jc w:val="both"/>
        <w:rPr>
          <w:rFonts w:ascii="Times New Roman" w:hAnsi="Times New Roman"/>
          <w:sz w:val="20"/>
        </w:rPr>
      </w:pPr>
      <w:r>
        <w:rPr>
          <w:rFonts w:ascii="Times New Roman;serif" w:hAnsi="Times New Roman;serif"/>
          <w:b w:val="false"/>
          <w:sz w:val="24"/>
        </w:rPr>
        <w:t>A Transfer shall also be deemed to have occurred with respect to a share of Class B Common Stock beneficially held by (i) an entity that is a Permitted Entity, if there occurs any act or circumstance that causes such entity to no longer be a Permitted Entity or (ii) an entity that is a Qualified Stockholder, if, in either case, there occurs a Transfer on a cumulative basis, from and after the IPO Date, of a majority of the voting power of the voting securities of such entity or any direct or indirect Parent of such entity, other than a Transfer to parties that are, as of the IPO Date, holders of voting securities of any such entity or Parent of such entity.</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(s)</w:t>
      </w:r>
    </w:p>
    <w:p>
      <w:pPr>
        <w:pStyle w:val="TextBody"/>
        <w:spacing w:before="0" w:after="240"/>
        <w:jc w:val="both"/>
        <w:rPr/>
      </w:pPr>
      <w:r>
        <w:rPr/>
        <w:t>“</w:t>
      </w:r>
      <w:r>
        <w:rPr>
          <w:rFonts w:ascii="Times New Roman;serif" w:hAnsi="Times New Roman;serif"/>
          <w:b/>
          <w:i/>
          <w:sz w:val="24"/>
        </w:rPr>
        <w:t>Voting Control</w:t>
      </w:r>
      <w:r>
        <w:rPr/>
        <w:t xml:space="preserve">” </w:t>
      </w:r>
      <w:r>
        <w:rPr>
          <w:rFonts w:ascii="Times New Roman;serif" w:hAnsi="Times New Roman;serif"/>
          <w:b w:val="false"/>
          <w:sz w:val="24"/>
        </w:rPr>
        <w:t xml:space="preserve">shall mean, with respect to a share of Class B Common Stock, the power (whether exclusive or shared) to vote or direct the voting of such share by proxy, voting agreement or otherwise. </w:t>
      </w:r>
    </w:p>
    <w:p>
      <w:pPr>
        <w:pStyle w:val="TextBody"/>
        <w:spacing w:before="0" w:after="240"/>
        <w:jc w:val="both"/>
        <w:rPr>
          <w:rFonts w:ascii="Times New Roman" w:hAnsi="Times New Roman"/>
          <w:b w:val="false"/>
          <w:sz w:val="24"/>
        </w:rPr>
      </w:pPr>
      <w:r>
        <w:rPr>
          <w:rFonts w:ascii="Times New Roman" w:hAnsi="Times New Roman"/>
          <w:b w:val="false"/>
          <w:sz w:val="24"/>
        </w:rPr>
        <w:t>(t)</w:t>
      </w:r>
    </w:p>
    <w:p>
      <w:pPr>
        <w:pStyle w:val="TextBody"/>
        <w:spacing w:before="0" w:after="240"/>
        <w:jc w:val="both"/>
        <w:rPr/>
      </w:pPr>
      <w:r>
        <w:rPr/>
        <w:t>“</w:t>
      </w:r>
      <w:r>
        <w:rPr>
          <w:rFonts w:ascii="Times New Roman;serif" w:hAnsi="Times New Roman;serif"/>
          <w:b/>
          <w:i/>
          <w:sz w:val="24"/>
        </w:rPr>
        <w:t>Voting Threshold Date</w:t>
      </w:r>
      <w:r>
        <w:rPr/>
        <w:t xml:space="preserve">” </w:t>
      </w:r>
      <w:r>
        <w:rPr>
          <w:rFonts w:ascii="Times New Roman;serif" w:hAnsi="Times New Roman;serif"/>
          <w:b w:val="false"/>
          <w:sz w:val="24"/>
        </w:rPr>
        <w:t>shall mean 11:59 p.m. Pacific Time on the first day following the Corporation’s 2021 Annual Meeting of Stockholders falling on or after the date on which the outstanding shares of Class B Common Stock represent less than forty percent (40%) of the total voting power of the then-outstanding shares of the Corporation then entitled to vote generally in the election of directors.</w:t>
      </w:r>
    </w:p>
    <w:p>
      <w:pPr>
        <w:pStyle w:val="TextBody"/>
        <w:spacing w:before="0" w:after="240"/>
        <w:jc w:val="both"/>
        <w:rPr>
          <w:rFonts w:ascii="Times New Roman" w:hAnsi="Times New Roman"/>
          <w:b/>
          <w:sz w:val="24"/>
        </w:rPr>
      </w:pPr>
      <w:r>
        <w:rPr>
          <w:rFonts w:ascii="Times New Roman" w:hAnsi="Times New Roman"/>
          <w:b/>
          <w:sz w:val="24"/>
        </w:rPr>
        <w:t>6.</w:t>
      </w:r>
    </w:p>
    <w:p>
      <w:pPr>
        <w:pStyle w:val="TextBody"/>
        <w:spacing w:before="0" w:after="240"/>
        <w:jc w:val="both"/>
        <w:rPr/>
      </w:pPr>
      <w:r>
        <w:rPr>
          <w:rFonts w:ascii="Times New Roman;serif" w:hAnsi="Times New Roman;serif"/>
          <w:b/>
          <w:sz w:val="24"/>
          <w:u w:val="single"/>
        </w:rPr>
        <w:t>Immediate Effect and Status of Converted Stock</w:t>
      </w:r>
      <w:r>
        <w:rPr>
          <w:rFonts w:ascii="Times New Roman;serif" w:hAnsi="Times New Roman;serif"/>
          <w:b w:val="false"/>
          <w:sz w:val="24"/>
        </w:rPr>
        <w:t xml:space="preserve">. In the event of a conversion of shares of Class B Common Stock into shares of Class A Common Stock pursuant to Section 3 of this Article V, or upon the date of the Final Automatic Conversion, such conversion(s) shall be deemed to have been made at the time that the Transfer of shares occurred or immediately at 11:59 p.m. Pacific Time on the date of the Final Automatic Conversion, as applicable. In the event any shares of Class B Common Stock are converted into shares of Class A Common Stock pursuant to this Article V, the shares of Class B Common Stock so converted shall be retired and shall not be reissued by the Corporation. </w:t>
      </w:r>
    </w:p>
    <w:p>
      <w:pPr>
        <w:pStyle w:val="TextBody"/>
        <w:spacing w:before="0" w:after="240"/>
        <w:jc w:val="both"/>
        <w:rPr>
          <w:rFonts w:ascii="Times New Roman" w:hAnsi="Times New Roman"/>
          <w:b/>
          <w:sz w:val="24"/>
        </w:rPr>
      </w:pPr>
      <w:r>
        <w:rPr>
          <w:rFonts w:ascii="Times New Roman" w:hAnsi="Times New Roman"/>
          <w:b/>
          <w:sz w:val="24"/>
        </w:rPr>
        <w:t>7.</w:t>
      </w:r>
    </w:p>
    <w:p>
      <w:pPr>
        <w:pStyle w:val="TextBody"/>
        <w:spacing w:before="0" w:after="240"/>
        <w:jc w:val="both"/>
        <w:rPr/>
      </w:pPr>
      <w:r>
        <w:rPr>
          <w:rFonts w:ascii="Times New Roman;serif" w:hAnsi="Times New Roman;serif"/>
          <w:b/>
          <w:sz w:val="24"/>
          <w:u w:val="single"/>
        </w:rPr>
        <w:t>Effect of Conversion on Payment of Dividends</w:t>
      </w:r>
      <w:r>
        <w:rPr>
          <w:rFonts w:ascii="Times New Roman;serif" w:hAnsi="Times New Roman;serif"/>
          <w:b w:val="false"/>
          <w:sz w:val="24"/>
        </w:rPr>
        <w:t xml:space="preserve">. Notwithstanding anything to the contrary in Sections 1, 2 or 3 of this Article V, if the date on which any share of Class B Common Stock is converted into Class A Common Stock pursuant to the provisions of Sections 1, 2 or 3 of this Article V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Restated Certificate of Incorporation,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 </w:t>
      </w:r>
    </w:p>
    <w:p>
      <w:pPr>
        <w:pStyle w:val="TextBody"/>
        <w:spacing w:before="0" w:after="240"/>
        <w:jc w:val="both"/>
        <w:rPr>
          <w:rFonts w:ascii="Times New Roman" w:hAnsi="Times New Roman"/>
          <w:b/>
          <w:sz w:val="24"/>
        </w:rPr>
      </w:pPr>
      <w:r>
        <w:rPr>
          <w:rFonts w:ascii="Times New Roman" w:hAnsi="Times New Roman"/>
          <w:b/>
          <w:sz w:val="24"/>
        </w:rPr>
        <w:t>8.</w:t>
      </w:r>
    </w:p>
    <w:p>
      <w:pPr>
        <w:pStyle w:val="TextBody"/>
        <w:spacing w:before="0" w:after="240"/>
        <w:jc w:val="both"/>
        <w:rPr/>
      </w:pPr>
      <w:r>
        <w:rPr>
          <w:rFonts w:ascii="Times New Roman;serif" w:hAnsi="Times New Roman;serif"/>
          <w:b/>
          <w:sz w:val="24"/>
          <w:u w:val="single"/>
        </w:rPr>
        <w:t>Reservation</w:t>
      </w:r>
      <w:r>
        <w:rPr>
          <w:rFonts w:ascii="Times New Roman;serif" w:hAnsi="Times New Roman;serif"/>
          <w:b w:val="false"/>
          <w:sz w:val="24"/>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Restated Certificate of Incorporation.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 </w:t>
      </w:r>
    </w:p>
    <w:p>
      <w:pPr>
        <w:pStyle w:val="TextBody"/>
        <w:spacing w:before="0" w:after="240"/>
        <w:jc w:val="both"/>
        <w:rPr>
          <w:rFonts w:ascii="Times New Roman" w:hAnsi="Times New Roman"/>
          <w:b/>
          <w:sz w:val="24"/>
        </w:rPr>
      </w:pPr>
      <w:r>
        <w:rPr>
          <w:rFonts w:ascii="Times New Roman" w:hAnsi="Times New Roman"/>
          <w:b/>
          <w:sz w:val="24"/>
        </w:rPr>
        <w:t>9.</w:t>
      </w:r>
    </w:p>
    <w:p>
      <w:pPr>
        <w:pStyle w:val="TextBody"/>
        <w:spacing w:before="0" w:after="240"/>
        <w:jc w:val="both"/>
        <w:rPr/>
      </w:pPr>
      <w:r>
        <w:rPr>
          <w:rFonts w:ascii="Times New Roman;serif" w:hAnsi="Times New Roman;serif"/>
          <w:b/>
          <w:sz w:val="24"/>
          <w:u w:val="single"/>
        </w:rPr>
        <w:t>No Further Issuances</w:t>
      </w:r>
      <w:r>
        <w:rPr>
          <w:rFonts w:ascii="Times New Roman;serif" w:hAnsi="Times New Roman;serif"/>
          <w:b w:val="false"/>
          <w:sz w:val="24"/>
        </w:rPr>
        <w:t xml:space="preserve">. Except for the issuance of Class B Common Stock issuable upon exercise of Rights outstanding at the Effective Time or a dividend payable in accordance with </w:t>
      </w:r>
      <w:r>
        <w:rPr>
          <w:rFonts w:ascii="Times New Roman;serif" w:hAnsi="Times New Roman;serif"/>
          <w:b w:val="false"/>
          <w:sz w:val="24"/>
          <w:u w:val="single"/>
        </w:rPr>
        <w:t>Article IV</w:t>
      </w:r>
      <w:r>
        <w:rPr>
          <w:rFonts w:ascii="Times New Roman;serif" w:hAnsi="Times New Roman;serif"/>
          <w:b w:val="false"/>
          <w:sz w:val="24"/>
        </w:rPr>
        <w:t>, Section 3.3,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center"/>
        <w:rPr>
          <w:rFonts w:ascii="Times New Roman" w:hAnsi="Times New Roman"/>
          <w:b/>
          <w:sz w:val="24"/>
        </w:rPr>
      </w:pPr>
      <w:r>
        <w:rPr>
          <w:rFonts w:ascii="Times New Roman" w:hAnsi="Times New Roman"/>
          <w:b/>
          <w:sz w:val="24"/>
        </w:rPr>
        <w:t>ARTICLE VI: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AMENDMENT OF BYLAWS </w:t>
      </w:r>
    </w:p>
    <w:p>
      <w:pPr>
        <w:pStyle w:val="TextBody"/>
        <w:spacing w:before="0" w:after="240"/>
        <w:jc w:val="both"/>
        <w:rPr>
          <w:rFonts w:ascii="Times New Roman" w:hAnsi="Times New Roman"/>
          <w:sz w:val="20"/>
        </w:rPr>
      </w:pPr>
      <w:r>
        <w:rPr>
          <w:rFonts w:ascii="Times New Roman;serif" w:hAnsi="Times New Roman;serif"/>
          <w:b w:val="false"/>
          <w:sz w:val="24"/>
        </w:rPr>
        <w:t>The Board of Directors shall have the power to adopt, amend or repeal the Bylaws. Any adoption, amendment or repeal of the Bylaws by the Board of Directors shall require the approval of a majority of the Whole Board. For purposes of this Restated Certificate of Incorporation, the term “</w:t>
      </w:r>
      <w:r>
        <w:rPr>
          <w:rFonts w:ascii="Times New Roman;serif" w:hAnsi="Times New Roman;serif"/>
          <w:b/>
          <w:i/>
          <w:sz w:val="24"/>
        </w:rPr>
        <w:t>Whole Board</w:t>
      </w:r>
      <w:r>
        <w:rPr>
          <w:rFonts w:ascii="Times New Roman" w:hAnsi="Times New Roman"/>
          <w:sz w:val="20"/>
        </w:rPr>
        <w:t xml:space="preserve">” </w:t>
      </w:r>
      <w:r>
        <w:rPr>
          <w:rFonts w:ascii="Times New Roman;serif" w:hAnsi="Times New Roman;serif"/>
          <w:b w:val="false"/>
          <w:sz w:val="24"/>
        </w:rPr>
        <w:t>shall mean the total number of authorized directors whether or not there exist any vacancies in previously authorized directorships. The stockholders shall also have power to adopt, amend or repeal the Bylaws; provided, however, that, notwithstanding any other provision of this Restated Certificate of Incorporation or any provision of law that might otherwise permit a lesser or no vote, but in addition to any vote of the holders of any class or series of stock of the Corporation required by applicable law or by this Restated Certificate of Incorporation, the affirmative vote (or written consent if action by written consent of stockholders is permitted at such time under this Restated Certificate of Incorporation) of the holders of at least two-thirds (2/3) of the voting power of all of the then-outstanding shares of the capital stock of the Corporation entitled to vote generally in the election of directors, voting together as a single class, shall be required for the stockholders to adopt, amend or repeal any provision of the Bylaws; provided, further, however, that, in the case of any proposed adoption, amendment or repeal of any provisions of the Bylaws that is approved by the Board of Directors and submitted to the stockholders for adoption thereby, if directors representing two-thirds (2/3) of the Whole Board have approved such adoption, amendment or repeal of any provisions of the Bylaws, then, in addition to any vote of the holders of any class or series of stock of the Corporation required by applicable law or by this Restated Certificate of Incorporation, only the affirmative vote (or written consent if action by written consent of stockholders is permitted at such time under this Restated Certificate of Incorporation) of the holders of at least a majority of the voting power of all of the then-outstanding shares of the capital stock of the Corporation entitled to vote generally in the election of directors, voting together as a single class, shall be required to adopt, amend or repeal such provision of the Bylaws.</w:t>
      </w:r>
      <w:r>
        <w:rPr>
          <w:rFonts w:ascii="Times New Roman" w:hAnsi="Times New Roman"/>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VII: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MATTERS RELATING TO THE BOARD OF DIRECTORS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Director Powers</w:t>
      </w:r>
      <w:r>
        <w:rPr>
          <w:rFonts w:ascii="Times New Roman;serif" w:hAnsi="Times New Roman;serif"/>
          <w:b w:val="false"/>
          <w:sz w:val="24"/>
        </w:rPr>
        <w:t xml:space="preserve">. Except as otherwise provided by the General Corporation Law or this Certificate of Incorporation, the business and affairs of the Corporation shall be managed by or under the direction of the Board of Directors.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Number of Directors</w:t>
      </w:r>
      <w:r>
        <w:rPr>
          <w:rFonts w:ascii="Times New Roman;serif" w:hAnsi="Times New Roman;serif"/>
          <w:b w:val="false"/>
          <w:sz w:val="24"/>
        </w:rPr>
        <w:t>. Subject to the special rights of the holders of any series of Preferred Stock to elect additional directors under specified circumstances, the total number of directors constituting the Whole Board shall be fixed from time to time exclusively by resolution adopted by a majority of the Whole Board.</w:t>
      </w:r>
    </w:p>
    <w:p>
      <w:pPr>
        <w:pStyle w:val="TextBody"/>
        <w:spacing w:before="0" w:after="240"/>
        <w:jc w:val="both"/>
        <w:rPr>
          <w:rFonts w:ascii="Times New Roman" w:hAnsi="Times New Roman"/>
          <w:b/>
          <w:sz w:val="24"/>
        </w:rPr>
      </w:pPr>
      <w:r>
        <w:rPr>
          <w:rFonts w:ascii="Times New Roman" w:hAnsi="Times New Roman"/>
          <w:b/>
          <w:sz w:val="24"/>
        </w:rPr>
        <w:t>3.</w:t>
      </w:r>
    </w:p>
    <w:p>
      <w:pPr>
        <w:pStyle w:val="TextBody"/>
        <w:spacing w:before="0" w:after="240"/>
        <w:jc w:val="both"/>
        <w:rPr/>
      </w:pPr>
      <w:r>
        <w:rPr>
          <w:rFonts w:ascii="Times New Roman;serif" w:hAnsi="Times New Roman;serif"/>
          <w:b/>
          <w:sz w:val="24"/>
          <w:u w:val="single"/>
        </w:rPr>
        <w:t>Classified Board</w:t>
      </w:r>
      <w:r>
        <w:rPr>
          <w:rFonts w:ascii="Times New Roman;serif" w:hAnsi="Times New Roman;serif"/>
          <w:b w:val="false"/>
          <w:sz w:val="24"/>
        </w:rPr>
        <w:t>. Subject to the special rights of the holders of one or more series of Preferred Stock to elect directors, immediately following the Voting Threshold Date, the directors shall be divided, with respect to the time for which they severally hold office, into three classes designated as Class I, Class II and Class III, respectively (the “</w:t>
      </w:r>
      <w:r>
        <w:rPr>
          <w:rFonts w:ascii="Times New Roman;serif" w:hAnsi="Times New Roman;serif"/>
          <w:b/>
          <w:i/>
          <w:sz w:val="24"/>
        </w:rPr>
        <w:t>Classified Board</w:t>
      </w:r>
      <w:r>
        <w:rPr/>
        <w:t>”</w:t>
      </w:r>
      <w:r>
        <w:rPr>
          <w:rFonts w:ascii="Times New Roman;serif" w:hAnsi="Times New Roman;serif"/>
          <w:b w:val="false"/>
          <w:sz w:val="24"/>
        </w:rPr>
        <w:t xml:space="preserve">). The Board of Directors is authorized to assign members of the Board of Directors already in office immediately prior to the Voting Threshold Date to such classes of the Classified Board. The number of directors in each class shall be divided as nearly equal as is practicable. The initial term of office of the Class I directors shall expire at the Corporation’s first annual meeting of stockholders following the Voting Threshold Date, the initial term of office of the Class II directors shall expire at the Corporation’s second annual meeting of stockholders following the Voting Threshold Date, and the initial term of office of the Class III directors shall expire at the Corporation’s third annual meeting of stockholders following the Voting Threshold Date. At each annual meeting of stockholders following the Voting Threshold Date, directors elected to succeed those directors of the class whose terms then expire shall be elected for a term of office expiring at the third succeeding annual meeting of stockholders after their election.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sz w:val="24"/>
        </w:rPr>
      </w:pPr>
      <w:r>
        <w:rPr>
          <w:rFonts w:ascii="Times New Roman" w:hAnsi="Times New Roman"/>
          <w:b/>
          <w:sz w:val="24"/>
        </w:rPr>
        <w:t>4.</w:t>
      </w:r>
    </w:p>
    <w:p>
      <w:pPr>
        <w:pStyle w:val="TextBody"/>
        <w:spacing w:before="0" w:after="240"/>
        <w:jc w:val="both"/>
        <w:rPr/>
      </w:pPr>
      <w:r>
        <w:rPr>
          <w:rFonts w:ascii="Times New Roman;serif" w:hAnsi="Times New Roman;serif"/>
          <w:b/>
          <w:sz w:val="24"/>
          <w:u w:val="single"/>
        </w:rPr>
        <w:t>Term and Removal</w:t>
      </w:r>
      <w:r>
        <w:rPr>
          <w:rFonts w:ascii="Times New Roman;serif" w:hAnsi="Times New Roman;serif"/>
          <w:b w:val="false"/>
          <w:sz w:val="24"/>
        </w:rPr>
        <w:t xml:space="preserve">. Each director shall hold office until the annual meeting at which such director’s term expires and until such director’s successor is duly elected and qualified, or until such director’s earlier death, resignation, disqualification or removal. Any director may resign at any time upon notice to the Corporation given in writing or by any electronic transmission. Prior to the Voting Threshold Date, subject to the special rights of the holders of any series of Preferred Stock to elect directors, directors may be removed with or without cause by the affirmative vote (or written consent if action by written consent of stockholders is permitted at such time under this Restated Certificate of Incorporation) of the holders of a majority of the voting power of the then-outstanding shares of capital stock of the Corporation entitled to vote generally in the election of directors, voting together as a single class. From and after the Voting Threshold Date, subject to the special rights of the holders of any series of Preferred Stock to elect directors, no director may be removed from the Board of Directors except for cause and only by the affirmative vote of the holders of at least two-thirds (2/3) of the voting power of the then-outstanding shares of capital stock of the Corporation entitled to vote thereon, voting together as a single class. Subject to the special rights of the holders of any series of Preferred Stock to elect directors, in the event of any increase or decrease in the authorized number of directors occurring after the Voting Threshold Date, (a) each director then serving as such shall nevertheless continue as a director of the class of which he or she is a member and (b) the newly created or eliminated directorships resulting from such increase or decrease shall be apportioned by the Board of Directors among the classes of directors so as to make all classes as nearly equal in number as is practicable. No decrease in the number of directors constituting the Board of Directors shall shorten the term of any incumbent director. </w:t>
      </w:r>
    </w:p>
    <w:p>
      <w:pPr>
        <w:pStyle w:val="TextBody"/>
        <w:spacing w:before="0" w:after="240"/>
        <w:jc w:val="both"/>
        <w:rPr>
          <w:rFonts w:ascii="Times New Roman" w:hAnsi="Times New Roman"/>
          <w:b/>
          <w:sz w:val="24"/>
        </w:rPr>
      </w:pPr>
      <w:r>
        <w:rPr>
          <w:rFonts w:ascii="Times New Roman" w:hAnsi="Times New Roman"/>
          <w:b/>
          <w:sz w:val="24"/>
        </w:rPr>
        <w:t>5.</w:t>
      </w:r>
    </w:p>
    <w:p>
      <w:pPr>
        <w:pStyle w:val="TextBody"/>
        <w:spacing w:before="0" w:after="240"/>
        <w:jc w:val="both"/>
        <w:rPr/>
      </w:pPr>
      <w:r>
        <w:rPr>
          <w:rFonts w:ascii="Times New Roman;serif" w:hAnsi="Times New Roman;serif"/>
          <w:b/>
          <w:sz w:val="24"/>
          <w:u w:val="single"/>
        </w:rPr>
        <w:t>Vacancies and Newly Created Directorships</w:t>
      </w:r>
      <w:r>
        <w:rPr>
          <w:rFonts w:ascii="Times New Roman;serif" w:hAnsi="Times New Roman;serif"/>
          <w:b w:val="false"/>
          <w:sz w:val="24"/>
        </w:rPr>
        <w:t xml:space="preserve">. Subject to the special rights of the holders of any series of Preferred Stock to elect directors, any vacancy occurring in the Board of Directors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if any, to which the director has been assigned expires and until such director’s successor shall have been duly elected and qualified, or until such director’s earlier death, resignation, disqualification or removal. </w:t>
      </w:r>
    </w:p>
    <w:p>
      <w:pPr>
        <w:pStyle w:val="TextBody"/>
        <w:spacing w:before="0" w:after="240"/>
        <w:jc w:val="both"/>
        <w:rPr>
          <w:rFonts w:ascii="Times New Roman" w:hAnsi="Times New Roman"/>
          <w:b/>
          <w:sz w:val="24"/>
        </w:rPr>
      </w:pPr>
      <w:r>
        <w:rPr>
          <w:rFonts w:ascii="Times New Roman" w:hAnsi="Times New Roman"/>
          <w:b/>
          <w:sz w:val="24"/>
        </w:rPr>
        <w:t>6.</w:t>
      </w:r>
    </w:p>
    <w:p>
      <w:pPr>
        <w:pStyle w:val="TextBody"/>
        <w:spacing w:before="0" w:after="240"/>
        <w:jc w:val="both"/>
        <w:rPr/>
      </w:pPr>
      <w:r>
        <w:rPr>
          <w:rFonts w:ascii="Times New Roman;serif" w:hAnsi="Times New Roman;serif"/>
          <w:b/>
          <w:sz w:val="24"/>
          <w:u w:val="single"/>
        </w:rPr>
        <w:t>Additional Directors Elected by the Preferred Stock</w:t>
      </w:r>
      <w:r>
        <w:rPr>
          <w:rFonts w:ascii="Times New Roman;serif" w:hAnsi="Times New Roman;serif"/>
          <w:b/>
          <w:sz w:val="24"/>
        </w:rPr>
        <w:t xml:space="preserve">. </w:t>
      </w:r>
      <w:r>
        <w:rPr>
          <w:rFonts w:ascii="Times New Roman;serif" w:hAnsi="Times New Roman;serif"/>
          <w:b w:val="false"/>
          <w:sz w:val="24"/>
        </w:rPr>
        <w:t>During any period when the holders of any series of Preferred Stock have the right to elect additional directors as provided for or fixed pursuant to the provisions of Article IV hereof (including any Certificate of Designation) (any such director, a “</w:t>
      </w:r>
      <w:r>
        <w:rPr>
          <w:rFonts w:ascii="Times New Roman;serif" w:hAnsi="Times New Roman;serif"/>
          <w:b/>
          <w:sz w:val="24"/>
        </w:rPr>
        <w:t>Preferred Stock Director</w:t>
      </w:r>
      <w:r>
        <w:rPr/>
        <w:t>”</w:t>
      </w:r>
      <w:r>
        <w:rPr>
          <w:rFonts w:ascii="Times New Roman;serif" w:hAnsi="Times New Roman;serif"/>
          <w:b w:val="false"/>
          <w:sz w:val="24"/>
        </w:rPr>
        <w:t xml:space="preserve">), and upon commencement and for the duration of the period during which such right continues: (i) the then otherwise total authorized number of directors of the Corporation shall automatically be increased by such number of Preferred Stock Directors that the holders of any series of Preferred Stock have a right to elect, and the holders of such Preferred Stock shall be entitled to elect the additional Preferred Stock Directors so provided for or fixed pursuant to said provisions; and (ii) each such Preferred Stock Director shall serve until his or her successor shall have been duly elected and qualified, or until his or her right to hold such office terminates pursuant to said provisions, whichever occurs earlier, subject to his or her earlier death, disqualification, resignation or removal. In case any vacancy shall occur among the Preferred Stock Directors, a successor Preferred Stock Director may be elected by the holders of Preferred Stock pursuant to said provisions. Except as otherwise provided for or fixed pursuant to the provisions of Article IV hereof (including any Preferred Stock Designation), whenever the holders of any series of Preferred Stock having such right to elect an additional Preferred Stock Director are divested of such right pursuant to said provisions, the terms of office of such Preferred Stock Director elected by the holders of such Preferred Stock, or elected to fill any vacancies resulting from the death, resignation, disqualification or removal of such additional Preferred Stock Director, shall forthwith terminate (in which case such person shall cease to be qualified as a director and shall cease to be a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director) and the total authorized number of directors of the Corporation shall be automatically reduced accordingly.</w:t>
      </w:r>
    </w:p>
    <w:p>
      <w:pPr>
        <w:pStyle w:val="TextBody"/>
        <w:spacing w:before="0" w:after="240"/>
        <w:jc w:val="both"/>
        <w:rPr>
          <w:rFonts w:ascii="Times New Roman" w:hAnsi="Times New Roman"/>
          <w:b/>
          <w:sz w:val="24"/>
        </w:rPr>
      </w:pPr>
      <w:r>
        <w:rPr>
          <w:rFonts w:ascii="Times New Roman" w:hAnsi="Times New Roman"/>
          <w:b/>
          <w:sz w:val="24"/>
        </w:rPr>
        <w:t>7.</w:t>
      </w:r>
    </w:p>
    <w:p>
      <w:pPr>
        <w:pStyle w:val="TextBody"/>
        <w:spacing w:before="0" w:after="240"/>
        <w:jc w:val="both"/>
        <w:rPr/>
      </w:pPr>
      <w:r>
        <w:rPr>
          <w:rFonts w:ascii="Times New Roman;serif" w:hAnsi="Times New Roman;serif"/>
          <w:b/>
          <w:sz w:val="24"/>
          <w:u w:val="single"/>
        </w:rPr>
        <w:t>Vote by Ballot</w:t>
      </w:r>
      <w:r>
        <w:rPr>
          <w:rFonts w:ascii="Times New Roman;serif" w:hAnsi="Times New Roman;serif"/>
          <w:b w:val="false"/>
          <w:sz w:val="24"/>
        </w:rPr>
        <w:t xml:space="preserve">. Election of directors need not be by written ballot unless the Bylaws shall so provide. </w:t>
      </w:r>
    </w:p>
    <w:p>
      <w:pPr>
        <w:pStyle w:val="TextBody"/>
        <w:spacing w:before="0" w:after="240"/>
        <w:jc w:val="both"/>
        <w:rPr>
          <w:rFonts w:ascii="Times New Roman" w:hAnsi="Times New Roman"/>
          <w:b/>
          <w:sz w:val="24"/>
        </w:rPr>
      </w:pPr>
      <w:r>
        <w:rPr>
          <w:rFonts w:ascii="Times New Roman" w:hAnsi="Times New Roman"/>
          <w:b/>
          <w:sz w:val="24"/>
        </w:rPr>
        <w:t>8.</w:t>
      </w:r>
    </w:p>
    <w:p>
      <w:pPr>
        <w:pStyle w:val="TextBody"/>
        <w:spacing w:before="0" w:after="240"/>
        <w:jc w:val="both"/>
        <w:rPr/>
      </w:pPr>
      <w:r>
        <w:rPr>
          <w:rFonts w:ascii="Times New Roman;serif" w:hAnsi="Times New Roman;serif"/>
          <w:b/>
          <w:sz w:val="24"/>
          <w:u w:val="single"/>
        </w:rPr>
        <w:t>No Cumulative Voting</w:t>
      </w:r>
      <w:r>
        <w:rPr>
          <w:rFonts w:ascii="Times New Roman;serif" w:hAnsi="Times New Roman;serif"/>
          <w:b w:val="false"/>
          <w:sz w:val="24"/>
        </w:rPr>
        <w:t>. No stockholder will be permitted to cumulate votes at any election of directors.</w:t>
      </w:r>
    </w:p>
    <w:p>
      <w:pPr>
        <w:pStyle w:val="TextBody"/>
        <w:spacing w:before="0" w:after="240"/>
        <w:jc w:val="center"/>
        <w:rPr>
          <w:rFonts w:ascii="Times New Roman" w:hAnsi="Times New Roman"/>
          <w:b/>
          <w:sz w:val="24"/>
        </w:rPr>
      </w:pPr>
      <w:r>
        <w:rPr>
          <w:rFonts w:ascii="Times New Roman" w:hAnsi="Times New Roman"/>
          <w:b/>
          <w:sz w:val="24"/>
        </w:rPr>
        <w:t>ARTICLE VIII: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DIRECTOR LIABILITY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Limitation of Liability</w:t>
      </w:r>
      <w:r>
        <w:rPr>
          <w:rFonts w:ascii="Times New Roman;serif" w:hAnsi="Times New Roman;serif"/>
          <w:b w:val="false"/>
          <w:sz w:val="24"/>
        </w:rPr>
        <w:t xml:space="preserve">. To the fullest extent permitted by law, no director of the Corporation shall be personally liable to the Corporation or its 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Change in Rights</w:t>
      </w:r>
      <w:r>
        <w:rPr>
          <w:rFonts w:ascii="Times New Roman;serif" w:hAnsi="Times New Roman;serif"/>
          <w:b w:val="false"/>
          <w:sz w:val="24"/>
        </w:rPr>
        <w:t xml:space="preserve">. Neither any amendment nor repeal of this Article VIII, nor the adoption of any provision of this Restated Certificate of Incorporation inconsistent with this Article VIII, shall eliminate, reduce or otherwise adversely affect any limitation on the personal liability of a director of the Corporation or any rights or protections of any officer or director of the Corporation under this Article VIII with respect to acts or omissions occurring prior to the time of such amendment, repeal or adoption of such an inconsistent provision. </w:t>
      </w:r>
    </w:p>
    <w:p>
      <w:pPr>
        <w:pStyle w:val="TextBody"/>
        <w:spacing w:before="0" w:after="240"/>
        <w:jc w:val="center"/>
        <w:rPr>
          <w:rFonts w:ascii="Times New Roman" w:hAnsi="Times New Roman"/>
          <w:b/>
          <w:sz w:val="24"/>
        </w:rPr>
      </w:pPr>
      <w:r>
        <w:rPr>
          <w:rFonts w:ascii="Times New Roman" w:hAnsi="Times New Roman"/>
          <w:b/>
          <w:sz w:val="24"/>
        </w:rPr>
        <w:t>ARTICLE IX:</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MATTERS RELATING TO STOCKHOLDERS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No Action by Written Consent of Stockholders</w:t>
      </w:r>
      <w:r>
        <w:rPr>
          <w:rFonts w:ascii="Times New Roman;serif" w:hAnsi="Times New Roman;serif"/>
          <w:b w:val="false"/>
          <w:sz w:val="24"/>
        </w:rPr>
        <w:t xml:space="preserve">. Subject to the rights of any series of Preferred Stock then outstanding, from and after the Voting Threshold Date, (i) no action shall be taken by the stockholders of the Corporation except at a duly called annual or special meeting of stockholders and (ii) no action shall be taken by the stockholders of the Corporation by written consent in lieu of a meeting.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Special Meeting of Stockholders</w:t>
      </w:r>
      <w:r>
        <w:rPr>
          <w:rFonts w:ascii="Times New Roman;serif" w:hAnsi="Times New Roman;serif"/>
          <w:b w:val="false"/>
          <w:sz w:val="24"/>
        </w:rPr>
        <w:t xml:space="preserve">. Special meetings of the stockholders of the Corporation may be called only by the Chairperson of the Board, the Chief Executive Officer, the Lead Independent Director (as defined in the Bylaws) or the Board of Directors acting pursuant to a resolution adopted by a majority of the Whole Board, and may not be called by the stockholders or any other person or persons. </w:t>
      </w:r>
    </w:p>
    <w:p>
      <w:pPr>
        <w:pStyle w:val="TextBody"/>
        <w:spacing w:before="0" w:after="240"/>
        <w:jc w:val="both"/>
        <w:rPr>
          <w:rFonts w:ascii="Times New Roman" w:hAnsi="Times New Roman"/>
          <w:b/>
          <w:sz w:val="24"/>
        </w:rPr>
      </w:pPr>
      <w:r>
        <w:rPr>
          <w:rFonts w:ascii="Times New Roman" w:hAnsi="Times New Roman"/>
          <w:b/>
          <w:sz w:val="24"/>
        </w:rPr>
        <w:t>3.</w:t>
      </w:r>
    </w:p>
    <w:p>
      <w:pPr>
        <w:pStyle w:val="TextBody"/>
        <w:spacing w:before="0" w:after="240"/>
        <w:jc w:val="both"/>
        <w:rPr/>
      </w:pPr>
      <w:r>
        <w:rPr>
          <w:rFonts w:ascii="Times New Roman;serif" w:hAnsi="Times New Roman;serif"/>
          <w:b/>
          <w:sz w:val="24"/>
          <w:u w:val="single"/>
        </w:rPr>
        <w:t>Advance Notice of Stockholder Nominations and Business Transacted at Special Meetings</w:t>
      </w:r>
      <w:r>
        <w:rPr>
          <w:rFonts w:ascii="Times New Roman;serif" w:hAnsi="Times New Roman;serif"/>
          <w:b w:val="false"/>
          <w:sz w:val="24"/>
        </w:rPr>
        <w:t xml:space="preserve">. Advance notice 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 </w:t>
      </w:r>
    </w:p>
    <w:p>
      <w:pPr>
        <w:pStyle w:val="TextBody"/>
        <w:spacing w:before="0" w:after="240"/>
        <w:jc w:val="center"/>
        <w:rPr>
          <w:rFonts w:ascii="Times New Roman" w:hAnsi="Times New Roman"/>
          <w:b/>
          <w:sz w:val="24"/>
        </w:rPr>
      </w:pPr>
      <w:r>
        <w:rPr>
          <w:rFonts w:ascii="Times New Roman" w:hAnsi="Times New Roman"/>
          <w:b/>
          <w:sz w:val="24"/>
        </w:rPr>
        <w:t>ARTICLE X:</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SEVERABILITY </w:t>
      </w:r>
    </w:p>
    <w:p>
      <w:pPr>
        <w:pStyle w:val="TextBody"/>
        <w:spacing w:before="0" w:after="240"/>
        <w:jc w:val="both"/>
        <w:rPr>
          <w:rFonts w:ascii="Times New Roman" w:hAnsi="Times New Roman"/>
          <w:sz w:val="20"/>
        </w:rPr>
      </w:pPr>
      <w:r>
        <w:rPr>
          <w:rFonts w:ascii="Times New Roman;serif" w:hAnsi="Times New Roman;serif"/>
          <w:b w:val="false"/>
          <w:sz w:val="24"/>
        </w:rPr>
        <w:t>If any provision of this Restated Certificate of Incorporation shall be held to be invalid, illegal, or unenforceable, then such provision shall nonetheless be enforced to the maximum extent possible consistent with such holding and the remaining provisions of this Restated Certificate of Incorporation (including without limitation, all</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portions of any section of this Restated Certificate of Incorporation containing any such provision held to be invalid, illegal, or unenforceable, which is not invalid, illegal, or unenforceable) shall remain in full force and effect.</w:t>
      </w:r>
      <w:r>
        <w:rPr>
          <w:rFonts w:ascii="Times New Roman" w:hAnsi="Times New Roman"/>
          <w:sz w:val="20"/>
        </w:rPr>
        <w:t xml:space="preserve"> </w:t>
      </w:r>
    </w:p>
    <w:p>
      <w:pPr>
        <w:pStyle w:val="TextBody"/>
        <w:spacing w:before="0" w:after="240"/>
        <w:jc w:val="center"/>
        <w:rPr>
          <w:rFonts w:ascii="Times New Roman" w:hAnsi="Times New Roman"/>
          <w:b/>
          <w:sz w:val="24"/>
        </w:rPr>
      </w:pPr>
      <w:r>
        <w:rPr>
          <w:rFonts w:ascii="Times New Roman" w:hAnsi="Times New Roman"/>
          <w:b/>
          <w:sz w:val="24"/>
        </w:rPr>
        <w:t>ARTICLE XI: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AMENDMENT OF RESTATED CERTIFICATE OF INCORPORATION </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pPr>
      <w:r>
        <w:rPr>
          <w:rFonts w:ascii="Times New Roman;serif" w:hAnsi="Times New Roman;serif"/>
          <w:b/>
          <w:sz w:val="24"/>
          <w:u w:val="single"/>
        </w:rPr>
        <w:t>General</w:t>
      </w:r>
      <w:r>
        <w:rPr>
          <w:rFonts w:ascii="Times New Roman;serif" w:hAnsi="Times New Roman;serif"/>
          <w:b w:val="false"/>
          <w:sz w:val="24"/>
        </w:rPr>
        <w:t>. The Corporation reserves the right to amend or repeal any provision contained in this Restated Certificate of Incorporation in the manner prescribed by the laws of the State of Delaware and all rights conferred upon stockholders are granted subject to this reservation; provided, however, that, notwithstanding any provision of this Restated Certificate of Incorporation (including any Certificate of Designation) or any provision of law that might otherwise permit a lesser vote or no vote (other than Sections 1.2 and 2.1 of Article IV hereof), but in addition to any vote of the holders of any class or series of the stock of the Corporation required by applicable law or by this Restated Certificate of Incorporation (including any Certificate of Designation), and subject to Sections 1.2 and 2.1 of Article IV, the affirmative vote (or written consent if action by written consent of stockholders is permitted at such time under this Restated Certificate of Incorporation) of the holders of at least two-thirds (2/3) of the voting power of all of the then-outstanding shares of the capital stock of the Corporation entitled to vote generally in the election of directors, voting together as a single class, shall be required to amend or repeal, or adopt any provision inconsistent with, this Section 1 of this Article XI, Sections 1.2 and 2 of Article IV, or Article V, Article VI, Article VII, Article VIII, Article IX, Article X or Article XII (the “</w:t>
      </w:r>
      <w:r>
        <w:rPr>
          <w:rFonts w:ascii="Times New Roman;serif" w:hAnsi="Times New Roman;serif"/>
          <w:b/>
          <w:i/>
          <w:sz w:val="24"/>
        </w:rPr>
        <w:t>Specified Provisions</w:t>
      </w:r>
      <w:r>
        <w:rPr/>
        <w:t>”</w:t>
      </w:r>
      <w:r>
        <w:rPr>
          <w:rFonts w:ascii="Times New Roman;serif" w:hAnsi="Times New Roman;serif"/>
          <w:b w:val="false"/>
          <w:sz w:val="24"/>
        </w:rPr>
        <w:t xml:space="preserve">); provided, further, that if directors representing two-thirds (2/3) of the Whole Board have approved such amendment or repeal of, or any provision inconsistent with, the Specified Provisions, then only the affirmative vote (or written consent if action by written consent of stockholders is permitted at such time under this Restated Certificate of Incorporation) of the holders of at least a majority of the voting power of all of the then-outstanding shares of the capital stock of the Corporation entitled to vote generally in the election of directors, voting together as a single class (in addition to any other vote of the holders of any class or series of stock of the Corporation required by applicable law or by this Certificate of Incorporation), shall be required to approve such amendment or repeal of, or the adoption of such provision inconsistent with, the Specified Provisions.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pPr>
      <w:r>
        <w:rPr>
          <w:rFonts w:ascii="Times New Roman;serif" w:hAnsi="Times New Roman;serif"/>
          <w:b/>
          <w:sz w:val="24"/>
          <w:u w:val="single"/>
        </w:rPr>
        <w:t>Changes to or Inconsistent with Section 3 of Article IV</w:t>
      </w:r>
      <w:r>
        <w:rPr>
          <w:rFonts w:ascii="Times New Roman;serif" w:hAnsi="Times New Roman;serif"/>
          <w:b w:val="false"/>
          <w:sz w:val="24"/>
        </w:rPr>
        <w:t xml:space="preserve">. Notwithstanding any other provision of this Restated Certificate of Incorporation (including any Certificate of Designation) or any provision of law that might otherwise permit a lesser vote or no vote, but in addition to any vote of the holders of any class or series of the stock of the Corporation required by law or by this Restated Certificate of Incorporation (including any Certificate of Designation), the affirmative vote (or written consent if action by written consent of stockholders is permitted at such time under this Restated Certificate of Incorporation) of the holders of Class A Common Stock representing at least seventy-five percent (75%) of the voting power of the then-outstanding shares of Class A Common Stock, voting separately as a single class, and the affirmative vote (or written consent if action by written consent of stockholders is permitted at such time under this Restated Certificate of Incorporation) of the holders of Class B Common Stock representing at least seventy-five percent (75%) of the voting power of the then-outstanding shares of Class B Common Stock, each voting separately as single classes, shall be required to amend or repeal, or to adopt any provision inconsistent with, Section 3 of Article IV or this Section 2 of this Article XI. </w:t>
      </w:r>
    </w:p>
    <w:p>
      <w:pPr>
        <w:pStyle w:val="TextBody"/>
        <w:spacing w:before="0" w:after="240"/>
        <w:jc w:val="center"/>
        <w:rPr>
          <w:rFonts w:ascii="Times New Roman" w:hAnsi="Times New Roman"/>
          <w:b/>
          <w:sz w:val="24"/>
        </w:rPr>
      </w:pPr>
      <w:r>
        <w:rPr>
          <w:rFonts w:ascii="Times New Roman" w:hAnsi="Times New Roman"/>
          <w:b/>
          <w:sz w:val="24"/>
        </w:rPr>
        <w:t>ARTICLE XII:</w:t>
      </w:r>
    </w:p>
    <w:p>
      <w:pPr>
        <w:pStyle w:val="TextBody"/>
        <w:spacing w:before="0" w:after="240"/>
        <w:jc w:val="center"/>
        <w:rPr>
          <w:rFonts w:ascii="Times New Roman;serif" w:hAnsi="Times New Roman;serif"/>
          <w:b/>
          <w:sz w:val="24"/>
        </w:rPr>
      </w:pPr>
      <w:r>
        <w:rPr>
          <w:rFonts w:ascii="Times New Roman;serif" w:hAnsi="Times New Roman;serif"/>
          <w:b/>
          <w:sz w:val="24"/>
        </w:rPr>
        <w:br/>
        <w:t xml:space="preserve">CHOICE OF FORUM </w:t>
      </w:r>
    </w:p>
    <w:p>
      <w:pPr>
        <w:pStyle w:val="TextBody"/>
        <w:spacing w:before="0" w:after="240"/>
        <w:jc w:val="both"/>
        <w:rPr>
          <w:rFonts w:ascii="Times New Roman" w:hAnsi="Times New Roman"/>
          <w:sz w:val="20"/>
        </w:rPr>
      </w:pPr>
      <w:r>
        <w:rPr>
          <w:rFonts w:ascii="Times New Roman;serif" w:hAnsi="Times New Roman;serif"/>
          <w:b w:val="false"/>
          <w:sz w:val="24"/>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(a) any derivative</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action or proceeding brought on behalf of the Corporation; (b) any action asserting a claim of breach of a fiduciary duty owed by any current or former director, officer, stockholder, employee or agent of the Corporation to the Corporation or the Corporation’s stockholders; (c) any action asserting a claim against the Corporation arising pursuant to any provision of the General Corporation Law, this Restated Certificate of Incorporation or the Bylaws or as to which the General Corporation Law confers jurisdiction on the Court of Chancery of the State of Delaware; (d) any action to interpret, apply, enforce or determine the validity of this Restated Certificate of Incorporation or the Bylaws; or (e) any action asserting a claim against the Corporation governed by the internal affairs doctrine. This Article XII shall not apply to suits brought to enforce a duty or liability created by the Exchange Act or any other claim for which the federal courts have exclusive jurisdiction.</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To the fullest extent permitted by law, unless the Corporation consents in writing to the selection of an alternative forum, the federal district courts of the United States of America shall be the exclusive forum for the resolution of any complaint asserting a cause of action arising under the Securities Act.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person or entity purchasing or otherwise acquiring or holding any interest in shares of capital stock of the Corporation shall be deemed to have notice of and to have consented to the provisions of this Article XII.</w:t>
      </w:r>
    </w:p>
    <w:p>
      <w:pPr>
        <w:pStyle w:val="TextBody"/>
        <w:spacing w:before="0" w:after="240"/>
        <w:jc w:val="center"/>
        <w:rPr>
          <w:rFonts w:ascii="Times New Roman;serif" w:hAnsi="Times New Roman;serif"/>
          <w:b/>
          <w:sz w:val="24"/>
        </w:rPr>
      </w:pPr>
      <w:r>
        <w:rPr>
          <w:rFonts w:ascii="Times New Roman;serif" w:hAnsi="Times New Roman;serif"/>
          <w:b/>
          <w:sz w:val="24"/>
        </w:rPr>
        <w:t>ARTICLE XIII</w:t>
      </w:r>
    </w:p>
    <w:p>
      <w:pPr>
        <w:pStyle w:val="TextBody"/>
        <w:spacing w:before="0" w:after="240"/>
        <w:jc w:val="center"/>
        <w:rPr>
          <w:rFonts w:ascii="Times New Roman;serif" w:hAnsi="Times New Roman;serif"/>
          <w:b/>
          <w:sz w:val="24"/>
        </w:rPr>
      </w:pPr>
      <w:r>
        <w:rPr>
          <w:rFonts w:ascii="Times New Roman;serif" w:hAnsi="Times New Roman;serif"/>
          <w:b/>
          <w:sz w:val="24"/>
        </w:rPr>
        <w:t>CERTAIN STOCK REPURCHASES</w:t>
      </w:r>
    </w:p>
    <w:p>
      <w:pPr>
        <w:pStyle w:val="TextBody"/>
        <w:spacing w:before="0" w:after="240"/>
        <w:jc w:val="both"/>
        <w:rPr>
          <w:rFonts w:ascii="Times New Roman" w:hAnsi="Times New Roman"/>
          <w:sz w:val="20"/>
        </w:rPr>
      </w:pPr>
      <w:r>
        <w:rPr>
          <w:rFonts w:ascii="Times New Roman;serif" w:hAnsi="Times New Roman;serif"/>
          <w:b w:val="false"/>
          <w:sz w:val="24"/>
        </w:rPr>
        <w:t>In connection with repurchases by the Corporation of shares of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r>
        <w:rPr>
          <w:rFonts w:ascii="Times New Roman" w:hAnsi="Times New Roman"/>
          <w:sz w:val="20"/>
        </w:rPr>
        <w:t xml:space="preserve"> </w:t>
      </w:r>
    </w:p>
    <w:p>
      <w:pPr>
        <w:pStyle w:val="TextBody"/>
        <w:spacing w:before="0" w:after="240"/>
        <w:jc w:val="both"/>
        <w:rPr/>
      </w:pPr>
      <w:r>
        <w:rPr/>
        <w:t> </w:t>
      </w:r>
    </w:p>
    <w:p>
      <w:pPr>
        <w:pStyle w:val="TextBody"/>
        <w:spacing w:before="0" w:after="240"/>
        <w:jc w:val="both"/>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4"/>
        </w:rPr>
        <w:t>CERTIFICATE OF RETIREMENT</w:t>
      </w:r>
      <w:r>
        <w:rPr>
          <w:rFonts w:ascii="Times New Roman" w:hAnsi="Times New Roman"/>
          <w:sz w:val="20"/>
        </w:rPr>
        <w:t xml:space="preserve"> </w:t>
      </w:r>
    </w:p>
    <w:p>
      <w:pPr>
        <w:pStyle w:val="TextBody"/>
        <w:spacing w:before="0" w:after="0"/>
        <w:jc w:val="center"/>
        <w:rPr>
          <w:rFonts w:ascii="Times New Roman;serif" w:hAnsi="Times New Roman;serif"/>
          <w:b/>
          <w:sz w:val="24"/>
        </w:rPr>
      </w:pPr>
      <w:r>
        <w:rPr>
          <w:rFonts w:ascii="Times New Roman;serif" w:hAnsi="Times New Roman;serif"/>
          <w:b/>
          <w:sz w:val="24"/>
        </w:rPr>
        <w:t>OF CLASS B COMMON STOCK</w:t>
        <w:br/>
        <w:t>OF</w:t>
      </w:r>
    </w:p>
    <w:p>
      <w:pPr>
        <w:pStyle w:val="TextBody"/>
        <w:spacing w:before="0" w:after="0"/>
        <w:jc w:val="center"/>
        <w:rPr>
          <w:rFonts w:ascii="Times New Roman;serif" w:hAnsi="Times New Roman;serif"/>
          <w:b/>
          <w:caps/>
          <w:sz w:val="24"/>
        </w:rPr>
      </w:pPr>
      <w:r>
        <w:rPr>
          <w:rFonts w:ascii="Times New Roman;serif" w:hAnsi="Times New Roman;serif"/>
          <w:b/>
          <w:caps/>
          <w:sz w:val="24"/>
        </w:rPr>
        <w:t>CONTEXTLOGIC INC.</w:t>
      </w:r>
    </w:p>
    <w:p>
      <w:pPr>
        <w:pStyle w:val="TextBody"/>
        <w:spacing w:before="0" w:after="0"/>
        <w:jc w:val="both"/>
        <w:rPr>
          <w:rFonts w:ascii="Times New Roman" w:hAnsi="Times New Roman"/>
          <w:sz w:val="20"/>
        </w:rPr>
      </w:pPr>
      <w:r>
        <w:rPr>
          <w:rFonts w:ascii="Times New Roman;serif" w:hAnsi="Times New Roman;serif"/>
          <w:b w:val="false"/>
          <w:sz w:val="24"/>
        </w:rPr>
        <w:t>Pursuant to Section 243(b) of the General Corporation Law of the State of Delaware, ContextLogic Inc., a corporation organized and existing under the laws of the State of Delaware (the “</w:t>
      </w:r>
      <w:r>
        <w:rPr>
          <w:rFonts w:ascii="Times New Roman;serif" w:hAnsi="Times New Roman;serif"/>
          <w:b/>
          <w:i/>
          <w:sz w:val="24"/>
        </w:rPr>
        <w:t>Corporation</w:t>
      </w:r>
      <w:r>
        <w:rPr>
          <w:rFonts w:ascii="Times New Roman" w:hAnsi="Times New Roman"/>
          <w:sz w:val="20"/>
        </w:rPr>
        <w:t>”</w:t>
      </w:r>
      <w:r>
        <w:rPr>
          <w:rFonts w:ascii="Times New Roman;serif" w:hAnsi="Times New Roman;serif"/>
          <w:b w:val="false"/>
          <w:sz w:val="24"/>
        </w:rPr>
        <w:t>), HEREBY CERTIFIES as follows:</w:t>
      </w:r>
    </w:p>
    <w:p>
      <w:pPr>
        <w:pStyle w:val="TextBody"/>
        <w:spacing w:before="240" w:after="0"/>
        <w:jc w:val="both"/>
        <w:rPr>
          <w:rFonts w:ascii="Times New Roman" w:hAnsi="Times New Roman"/>
          <w:sz w:val="20"/>
        </w:rPr>
      </w:pPr>
      <w:r>
        <w:rPr>
          <w:rFonts w:ascii="Times New Roman;serif" w:hAnsi="Times New Roman;serif"/>
          <w:b w:val="false"/>
          <w:sz w:val="24"/>
        </w:rPr>
        <w:t>1. Section 1.1 of Article IV of the Restated Certificate of Incorporation of the Corporation filed with the Secretary of State of the State of Delaware on December 17, 2020 (the “</w:t>
      </w:r>
      <w:r>
        <w:rPr>
          <w:rFonts w:ascii="Times New Roman;serif" w:hAnsi="Times New Roman;serif"/>
          <w:b/>
          <w:i/>
          <w:sz w:val="24"/>
        </w:rPr>
        <w:t>Restated Certificate</w:t>
      </w:r>
      <w:r>
        <w:rPr>
          <w:rFonts w:ascii="Times New Roman" w:hAnsi="Times New Roman"/>
          <w:sz w:val="20"/>
        </w:rPr>
        <w:t>”</w:t>
      </w:r>
      <w:r>
        <w:rPr>
          <w:rFonts w:ascii="Times New Roman;serif" w:hAnsi="Times New Roman;serif"/>
          <w:b w:val="false"/>
          <w:sz w:val="24"/>
        </w:rPr>
        <w:t>) provides that the total number of shares of capital stock that the Corporation shall have authority to issue is 3,600,000,000 shares, consisting of (i) 3,000,000,000 shares of Class A Common Stock, $0.0001 par value per share (“</w:t>
      </w:r>
      <w:r>
        <w:rPr>
          <w:rFonts w:ascii="Times New Roman;serif" w:hAnsi="Times New Roman;serif"/>
          <w:b/>
          <w:i/>
          <w:sz w:val="24"/>
        </w:rPr>
        <w:t>Class A Common Stock</w:t>
      </w:r>
      <w:r>
        <w:rPr>
          <w:rFonts w:ascii="Times New Roman" w:hAnsi="Times New Roman"/>
          <w:sz w:val="20"/>
        </w:rPr>
        <w:t>”</w:t>
      </w:r>
      <w:r>
        <w:rPr>
          <w:rFonts w:ascii="Times New Roman;serif" w:hAnsi="Times New Roman;serif"/>
          <w:b w:val="false"/>
          <w:sz w:val="24"/>
        </w:rPr>
        <w:t>) (ii) 500,000,000 shares of Class B Common Stock, par value $0.0001 per share (“</w:t>
      </w:r>
      <w:r>
        <w:rPr>
          <w:rFonts w:ascii="Times New Roman;serif" w:hAnsi="Times New Roman;serif"/>
          <w:b/>
          <w:i/>
          <w:sz w:val="24"/>
        </w:rPr>
        <w:t>Class B Common Stock</w:t>
      </w:r>
      <w:r>
        <w:rPr>
          <w:rFonts w:ascii="Times New Roman" w:hAnsi="Times New Roman"/>
          <w:sz w:val="20"/>
        </w:rPr>
        <w:t>”</w:t>
      </w:r>
      <w:r>
        <w:rPr>
          <w:rFonts w:ascii="Times New Roman;serif" w:hAnsi="Times New Roman;serif"/>
          <w:b w:val="false"/>
          <w:sz w:val="24"/>
        </w:rPr>
        <w:t>), and (iii) 100,000,000 shares of Preferred Stock, par value $0.0001 per share.</w:t>
      </w:r>
    </w:p>
    <w:p>
      <w:pPr>
        <w:pStyle w:val="TextBody"/>
        <w:spacing w:before="240" w:after="0"/>
        <w:jc w:val="both"/>
        <w:rPr>
          <w:rFonts w:ascii="Times New Roman" w:hAnsi="Times New Roman"/>
          <w:sz w:val="20"/>
        </w:rPr>
      </w:pPr>
      <w:r>
        <w:rPr>
          <w:rFonts w:ascii="Times New Roman;serif" w:hAnsi="Times New Roman;serif"/>
          <w:b w:val="false"/>
          <w:sz w:val="24"/>
        </w:rPr>
        <w:t>2. All outstanding shares of Class B Common Stock have been converted (the “</w:t>
      </w:r>
      <w:r>
        <w:rPr>
          <w:rFonts w:ascii="Times New Roman;serif" w:hAnsi="Times New Roman;serif"/>
          <w:b/>
          <w:i/>
          <w:sz w:val="24"/>
        </w:rPr>
        <w:t>Conversion</w:t>
      </w:r>
      <w:r>
        <w:rPr>
          <w:rFonts w:ascii="Times New Roman" w:hAnsi="Times New Roman"/>
          <w:sz w:val="20"/>
        </w:rPr>
        <w:t>”</w:t>
      </w:r>
      <w:r>
        <w:rPr>
          <w:rFonts w:ascii="Times New Roman;serif" w:hAnsi="Times New Roman;serif"/>
          <w:b w:val="false"/>
          <w:sz w:val="24"/>
        </w:rPr>
        <w:t>) into shares of Class A Common Stock of the Corporation pursuant to the provisions of Article V of the Restated Certificate.</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3. Section 6 of Article V of the Restated Certificate provides that following the Conversion, the shares of Class B Common Stock that have been converted shall be retired and may not be reissued and Section 9 provides that following the Conversion, no additional shares of Class B Common Stock shall be issued.</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5. Upon the effectiveness of this Certificate of Retirement, all references to the Class B Common Stock shall be removed from the Restated Certificate.</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IN WITNESS WHEREOF, ContextLogic Inc. has caused this Certificate of Retirement to be executed, acknowledged and filed by its duly authorized officer as of August 10, 2022.</w:t>
      </w:r>
    </w:p>
    <w:tbl>
      <w:tblPr>
        <w:tblW w:w="2986" w:type="dxa"/>
        <w:jc w:val="left"/>
        <w:tblInd w:w="0" w:type="dxa"/>
        <w:tblCellMar>
          <w:top w:w="28" w:type="dxa"/>
          <w:left w:w="28" w:type="dxa"/>
          <w:bottom w:w="28" w:type="dxa"/>
          <w:right w:w="28" w:type="dxa"/>
        </w:tblCellMar>
      </w:tblPr>
      <w:tblGrid>
        <w:gridCol w:w="2986"/>
      </w:tblGrid>
      <w:tr>
        <w:trPr/>
        <w:tc>
          <w:tcPr>
            <w:tcW w:w="2986" w:type="dxa"/>
            <w:tcBorders/>
            <w:shd w:fill="auto" w:val="clear"/>
            <w:vAlign w:val="center"/>
          </w:tcPr>
          <w:p>
            <w:pPr>
              <w:pStyle w:val="TableContents"/>
              <w:spacing w:before="0" w:after="283"/>
              <w:rPr>
                <w:sz w:val="4"/>
                <w:szCs w:val="4"/>
              </w:rPr>
            </w:pPr>
            <w:r>
              <w:rPr>
                <w:sz w:val="4"/>
                <w:szCs w:val="4"/>
              </w:rPr>
            </w:r>
          </w:p>
        </w:tc>
      </w:tr>
      <w:tr>
        <w:trPr/>
        <w:tc>
          <w:tcPr>
            <w:tcW w:w="29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98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caps/>
                <w:sz w:val="24"/>
              </w:rPr>
            </w:pPr>
            <w:r>
              <w:rPr>
                <w:rFonts w:ascii="Times New Roman;serif" w:hAnsi="Times New Roman;serif"/>
                <w:b/>
                <w:caps/>
                <w:sz w:val="24"/>
              </w:rPr>
              <w:t>CONTEXTLOGIC INC.</w:t>
            </w:r>
          </w:p>
        </w:tc>
      </w:tr>
      <w:tr>
        <w:trPr/>
        <w:tc>
          <w:tcPr>
            <w:tcW w:w="298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4"/>
              </w:rPr>
            </w:pPr>
            <w:r>
              <w:rPr>
                <w:rFonts w:ascii="Times New Roman;serif" w:hAnsi="Times New Roman;serif"/>
                <w:b w:val="false"/>
                <w:sz w:val="24"/>
              </w:rPr>
              <w:t xml:space="preserve">By: </w:t>
            </w:r>
            <w:r>
              <w:rPr>
                <w:rFonts w:ascii="Times New Roman;serif" w:hAnsi="Times New Roman;serif"/>
                <w:b w:val="false"/>
                <w:sz w:val="24"/>
                <w:u w:val="single"/>
              </w:rPr>
              <w:t>/s/ Vijay Talwar</w:t>
            </w:r>
            <w:r>
              <w:rPr>
                <w:rFonts w:ascii="Times New Roman" w:hAnsi="Times New Roman"/>
                <w:sz w:val="24"/>
              </w:rPr>
              <w:t xml:space="preserve"> </w:t>
            </w:r>
          </w:p>
          <w:p>
            <w:pPr>
              <w:pStyle w:val="TableContents"/>
              <w:spacing w:before="0" w:after="0"/>
              <w:ind w:left="0" w:right="0" w:hanging="0"/>
              <w:jc w:val="both"/>
              <w:rPr>
                <w:rFonts w:ascii="Times New Roman;serif" w:hAnsi="Times New Roman;serif"/>
                <w:b w:val="false"/>
                <w:sz w:val="24"/>
              </w:rPr>
            </w:pPr>
            <w:r>
              <w:rPr>
                <w:rFonts w:ascii="Times New Roman;serif" w:hAnsi="Times New Roman;serif"/>
                <w:b w:val="false"/>
                <w:sz w:val="24"/>
              </w:rPr>
              <w:t>Name: Vijay Talwar</w:t>
            </w:r>
          </w:p>
          <w:p>
            <w:pPr>
              <w:pStyle w:val="TableContents"/>
              <w:spacing w:before="0" w:after="0"/>
              <w:ind w:left="0" w:right="0" w:hanging="0"/>
              <w:jc w:val="both"/>
              <w:rPr>
                <w:rFonts w:ascii="Times New Roman;serif" w:hAnsi="Times New Roman;serif"/>
                <w:b w:val="false"/>
                <w:sz w:val="24"/>
              </w:rPr>
            </w:pPr>
            <w:r>
              <w:rPr>
                <w:rFonts w:ascii="Times New Roman;serif" w:hAnsi="Times New Roman;serif"/>
                <w:b w:val="false"/>
                <w:sz w:val="24"/>
              </w:rPr>
              <w:t>Title: Chief Executive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center"/>
        <w:rPr>
          <w:rFonts w:ascii="Times New Roman;serif" w:hAnsi="Times New Roman;serif"/>
          <w:b/>
          <w:sz w:val="22"/>
        </w:rPr>
      </w:pPr>
      <w:r>
        <w:rPr>
          <w:rFonts w:ascii="Times New Roman;serif" w:hAnsi="Times New Roman;serif"/>
          <w:b/>
          <w:sz w:val="22"/>
        </w:rPr>
        <w:t>CERTIFICATE OF AMENDMENT</w:t>
      </w:r>
    </w:p>
    <w:p>
      <w:pPr>
        <w:pStyle w:val="TextBody"/>
        <w:spacing w:before="0" w:after="0"/>
        <w:jc w:val="center"/>
        <w:rPr>
          <w:rFonts w:ascii="Times New Roman;serif" w:hAnsi="Times New Roman;serif"/>
          <w:b/>
          <w:i/>
          <w:sz w:val="22"/>
        </w:rPr>
      </w:pPr>
      <w:r>
        <w:rPr>
          <w:rFonts w:ascii="Times New Roman;serif" w:hAnsi="Times New Roman;serif"/>
          <w:b/>
          <w:i/>
          <w:sz w:val="22"/>
        </w:rPr>
        <w:t>to the</w:t>
      </w:r>
    </w:p>
    <w:p>
      <w:pPr>
        <w:pStyle w:val="TextBody"/>
        <w:spacing w:before="0" w:after="0"/>
        <w:jc w:val="center"/>
        <w:rPr>
          <w:rFonts w:ascii="Times New Roman;serif" w:hAnsi="Times New Roman;serif"/>
          <w:b/>
          <w:sz w:val="22"/>
        </w:rPr>
      </w:pPr>
      <w:r>
        <w:rPr>
          <w:rFonts w:ascii="Times New Roman;serif" w:hAnsi="Times New Roman;serif"/>
          <w:b/>
          <w:sz w:val="22"/>
        </w:rPr>
        <w:t>RESTATED CERTIFICATE OF INCORPORATION</w:t>
      </w:r>
    </w:p>
    <w:p>
      <w:pPr>
        <w:pStyle w:val="TextBody"/>
        <w:spacing w:before="0" w:after="0"/>
        <w:jc w:val="center"/>
        <w:rPr>
          <w:rFonts w:ascii="Times New Roman;serif" w:hAnsi="Times New Roman;serif"/>
          <w:b/>
          <w:i/>
          <w:sz w:val="22"/>
        </w:rPr>
      </w:pPr>
      <w:r>
        <w:rPr>
          <w:rFonts w:ascii="Times New Roman;serif" w:hAnsi="Times New Roman;serif"/>
          <w:b/>
          <w:i/>
          <w:sz w:val="22"/>
        </w:rPr>
        <w:t>of</w:t>
      </w:r>
    </w:p>
    <w:p>
      <w:pPr>
        <w:pStyle w:val="TextBody"/>
        <w:spacing w:before="0" w:after="0"/>
        <w:jc w:val="center"/>
        <w:rPr>
          <w:rFonts w:ascii="Times New Roman;serif" w:hAnsi="Times New Roman;serif"/>
          <w:b/>
          <w:sz w:val="22"/>
        </w:rPr>
      </w:pPr>
      <w:r>
        <w:rPr>
          <w:rFonts w:ascii="Times New Roman;serif" w:hAnsi="Times New Roman;serif"/>
          <w:b/>
          <w:sz w:val="22"/>
        </w:rPr>
        <w:t>CONTEXTLOGIC INC.</w:t>
      </w:r>
    </w:p>
    <w:p>
      <w:pPr>
        <w:pStyle w:val="TextBody"/>
        <w:spacing w:before="240" w:after="0"/>
        <w:jc w:val="both"/>
        <w:rPr>
          <w:rFonts w:ascii="Times New Roman" w:hAnsi="Times New Roman"/>
          <w:sz w:val="20"/>
        </w:rPr>
      </w:pPr>
      <w:r>
        <w:rPr>
          <w:rFonts w:ascii="Times New Roman;serif" w:hAnsi="Times New Roman;serif"/>
          <w:b w:val="false"/>
          <w:sz w:val="22"/>
        </w:rPr>
        <w:t>ContextLogic Inc., a corporation organized and existing under and by virtue of the General Corporation Law of the State of Delaware (the “</w:t>
      </w:r>
      <w:r>
        <w:rPr>
          <w:rFonts w:ascii="Times New Roman;serif" w:hAnsi="Times New Roman;serif"/>
          <w:b w:val="false"/>
          <w:i/>
          <w:sz w:val="22"/>
        </w:rPr>
        <w:t>Corporation</w:t>
      </w:r>
      <w:r>
        <w:rPr>
          <w:rFonts w:ascii="Times New Roman" w:hAnsi="Times New Roman"/>
          <w:sz w:val="20"/>
        </w:rPr>
        <w:t>”</w:t>
      </w:r>
      <w:r>
        <w:rPr>
          <w:rFonts w:ascii="Times New Roman;serif" w:hAnsi="Times New Roman;serif"/>
          <w:b w:val="false"/>
          <w:sz w:val="22"/>
        </w:rPr>
        <w:t>), DOES HEREBY CERTIFY:</w:t>
      </w:r>
    </w:p>
    <w:p>
      <w:pPr>
        <w:pStyle w:val="TextBody"/>
        <w:spacing w:before="240" w:after="0"/>
        <w:jc w:val="both"/>
        <w:rPr>
          <w:rFonts w:ascii="Times New Roman;serif" w:hAnsi="Times New Roman;serif"/>
          <w:b w:val="false"/>
          <w:sz w:val="22"/>
        </w:rPr>
      </w:pPr>
      <w:r>
        <w:rPr>
          <w:rFonts w:ascii="Times New Roman;serif" w:hAnsi="Times New Roman;serif"/>
          <w:b w:val="false"/>
          <w:sz w:val="22"/>
        </w:rPr>
        <w:t>FIRST: The name of the Corporation is ContextLogic Inc. The Restated Certificate of Incorporation was filed with the Secretary of State of the State of Delaware on December 18, 2020.</w:t>
      </w:r>
    </w:p>
    <w:p>
      <w:pPr>
        <w:pStyle w:val="TextBody"/>
        <w:spacing w:before="240" w:after="0"/>
        <w:jc w:val="both"/>
        <w:rPr>
          <w:rFonts w:ascii="Times New Roman" w:hAnsi="Times New Roman"/>
          <w:sz w:val="20"/>
        </w:rPr>
      </w:pPr>
      <w:r>
        <w:rPr>
          <w:rFonts w:ascii="Times New Roman;serif" w:hAnsi="Times New Roman;serif"/>
          <w:b w:val="false"/>
          <w:sz w:val="22"/>
        </w:rPr>
        <w:t>SECOND: That the Board of Directors of the Corporation, at a meeting duly held on March 20, 2023, duly adopted resolutions setting forth a proposed amendment to the Restated Certificate of Incorporation of the Corporation, in the form set forth below (the “</w:t>
      </w:r>
      <w:r>
        <w:rPr>
          <w:rFonts w:ascii="Times New Roman;serif" w:hAnsi="Times New Roman;serif"/>
          <w:b w:val="false"/>
          <w:i/>
          <w:sz w:val="22"/>
        </w:rPr>
        <w:t>Amendment</w:t>
      </w:r>
      <w:r>
        <w:rPr>
          <w:rFonts w:ascii="Times New Roman" w:hAnsi="Times New Roman"/>
          <w:sz w:val="20"/>
        </w:rPr>
        <w:t>”</w:t>
      </w:r>
      <w:r>
        <w:rPr>
          <w:rFonts w:ascii="Times New Roman;serif" w:hAnsi="Times New Roman;serif"/>
          <w:b w:val="false"/>
          <w:sz w:val="22"/>
        </w:rPr>
        <w:t>), declaring the Amendment to be advisable and directing that the Amendment be submitted to the stockholders of the Corporation for consideration thereof at the annual meeting:</w:t>
      </w:r>
    </w:p>
    <w:p>
      <w:pPr>
        <w:pStyle w:val="TextBody"/>
        <w:spacing w:before="120" w:after="0"/>
        <w:jc w:val="both"/>
        <w:rPr>
          <w:rFonts w:ascii="Times New Roman;serif" w:hAnsi="Times New Roman;serif"/>
          <w:b w:val="false"/>
          <w:sz w:val="22"/>
        </w:rPr>
      </w:pPr>
      <w:r>
        <w:rPr>
          <w:rFonts w:ascii="Times New Roman;serif" w:hAnsi="Times New Roman;serif"/>
          <w:b w:val="false"/>
          <w:sz w:val="22"/>
        </w:rPr>
        <w:t>RESOLVED, that Article IV, Section 1, of the Restated Certificate of Incorporation of the Corporation, be, and it hereby is, amended to insert Section 1.3 at the end of such Article IV, Section 1, which section shall read as follows:</w:t>
      </w:r>
    </w:p>
    <w:p>
      <w:pPr>
        <w:pStyle w:val="TextBody"/>
        <w:spacing w:before="120" w:after="0"/>
        <w:jc w:val="both"/>
        <w:rPr>
          <w:rFonts w:ascii="Times New Roman" w:hAnsi="Times New Roman"/>
          <w:sz w:val="20"/>
        </w:rPr>
      </w:pPr>
      <w:r>
        <w:rPr>
          <w:rFonts w:ascii="Times New Roman;serif" w:hAnsi="Times New Roman;serif"/>
          <w:b/>
          <w:sz w:val="22"/>
        </w:rPr>
        <w:t xml:space="preserve">1.3. </w:t>
      </w:r>
      <w:r>
        <w:rPr>
          <w:rFonts w:ascii="Times New Roman;serif" w:hAnsi="Times New Roman;serif"/>
          <w:b w:val="false"/>
          <w:sz w:val="22"/>
        </w:rPr>
        <w:t>As of 4:01 p.m. Eastern Time on April 11, 2023 (the “</w:t>
      </w:r>
      <w:r>
        <w:rPr>
          <w:rFonts w:ascii="Times New Roman;serif" w:hAnsi="Times New Roman;serif"/>
          <w:b/>
          <w:i/>
          <w:sz w:val="22"/>
        </w:rPr>
        <w:t>Effective Time</w:t>
      </w:r>
      <w:r>
        <w:rPr>
          <w:rFonts w:ascii="Times New Roman" w:hAnsi="Times New Roman"/>
          <w:sz w:val="20"/>
        </w:rPr>
        <w:t>”</w:t>
      </w:r>
      <w:r>
        <w:rPr>
          <w:rFonts w:ascii="Times New Roman;serif" w:hAnsi="Times New Roman;serif"/>
          <w:b w:val="false"/>
          <w:sz w:val="22"/>
        </w:rPr>
        <w:t>) of this Certificate of Amendment to the Restated Certificate of Incorporation of the Corporation, pursuant to Section 242 of the General Corporation Law of the State of Delaware, the shares of Class A Common Stock of the Corporation issued and outstanding immediately prior to the Effective Time (the “</w:t>
      </w:r>
      <w:r>
        <w:rPr>
          <w:rFonts w:ascii="Times New Roman;serif" w:hAnsi="Times New Roman;serif"/>
          <w:b/>
          <w:i/>
          <w:sz w:val="22"/>
        </w:rPr>
        <w:t>Old Common Stock</w:t>
      </w:r>
      <w:r>
        <w:rPr>
          <w:rFonts w:ascii="Times New Roman" w:hAnsi="Times New Roman"/>
          <w:sz w:val="20"/>
        </w:rPr>
        <w:t>”</w:t>
      </w:r>
      <w:r>
        <w:rPr>
          <w:rFonts w:ascii="Times New Roman;serif" w:hAnsi="Times New Roman;serif"/>
          <w:b w:val="false"/>
          <w:sz w:val="22"/>
        </w:rPr>
        <w:t>), shall automatically without further action on the part of the Corporation or any holder of Old Common Stock, be reclassified, on a 1-for-30 basis, into fully paid and nonassessable shares of Class A common stock, par value $0.0001 per share (the “</w:t>
      </w:r>
      <w:r>
        <w:rPr>
          <w:rFonts w:ascii="Times New Roman;serif" w:hAnsi="Times New Roman;serif"/>
          <w:b/>
          <w:i/>
          <w:sz w:val="22"/>
        </w:rPr>
        <w:t>New Common Stock</w:t>
      </w:r>
      <w:r>
        <w:rPr>
          <w:rFonts w:ascii="Times New Roman" w:hAnsi="Times New Roman"/>
          <w:sz w:val="20"/>
        </w:rPr>
        <w:t>”</w:t>
      </w:r>
      <w:r>
        <w:rPr>
          <w:rFonts w:ascii="Times New Roman;serif" w:hAnsi="Times New Roman;serif"/>
          <w:b w:val="false"/>
          <w:sz w:val="22"/>
        </w:rPr>
        <w:t>), such that each thirty (30) shares of Old Common Stock will be reclassified as one (1) share of New Common Stock, subject to the treatment of fractional share interests as described below (the “</w:t>
      </w:r>
      <w:r>
        <w:rPr>
          <w:rFonts w:ascii="Times New Roman;serif" w:hAnsi="Times New Roman;serif"/>
          <w:b/>
          <w:i/>
          <w:sz w:val="22"/>
        </w:rPr>
        <w:t>Reverse Stock Split</w:t>
      </w:r>
      <w:r>
        <w:rPr>
          <w:rFonts w:ascii="Times New Roman" w:hAnsi="Times New Roman"/>
          <w:sz w:val="20"/>
        </w:rPr>
        <w:t>”</w:t>
      </w:r>
      <w:r>
        <w:rPr>
          <w:rFonts w:ascii="Times New Roman;serif" w:hAnsi="Times New Roman;serif"/>
          <w:b w:val="false"/>
          <w:sz w:val="22"/>
        </w:rPr>
        <w:t>). From and after the Effective Time, each holder of a certificate or certificates which immediately prior to the Effective Time represented outstanding shares of Old Common Stock (the “</w:t>
      </w:r>
      <w:r>
        <w:rPr>
          <w:rFonts w:ascii="Times New Roman;serif" w:hAnsi="Times New Roman;serif"/>
          <w:b/>
          <w:i/>
          <w:sz w:val="22"/>
        </w:rPr>
        <w:t>Old Certificates</w:t>
      </w:r>
      <w:r>
        <w:rPr>
          <w:rFonts w:ascii="Times New Roman" w:hAnsi="Times New Roman"/>
          <w:sz w:val="20"/>
        </w:rPr>
        <w:t>”</w:t>
      </w:r>
      <w:r>
        <w:rPr>
          <w:rFonts w:ascii="Times New Roman;serif" w:hAnsi="Times New Roman;serif"/>
          <w:b w:val="false"/>
          <w:sz w:val="22"/>
        </w:rPr>
        <w:t>) shall be entitled to receive a certificate or certificates (the “</w:t>
      </w:r>
      <w:r>
        <w:rPr>
          <w:rFonts w:ascii="Times New Roman;serif" w:hAnsi="Times New Roman;serif"/>
          <w:b/>
          <w:i/>
          <w:sz w:val="22"/>
        </w:rPr>
        <w:t>New Certificates</w:t>
      </w:r>
      <w:r>
        <w:rPr>
          <w:rFonts w:ascii="Times New Roman" w:hAnsi="Times New Roman"/>
          <w:sz w:val="20"/>
        </w:rPr>
        <w:t>”</w:t>
      </w:r>
      <w:r>
        <w:rPr>
          <w:rFonts w:ascii="Times New Roman;serif" w:hAnsi="Times New Roman;serif"/>
          <w:b w:val="false"/>
          <w:sz w:val="22"/>
        </w:rPr>
        <w:t>) representing the shares of New Common Stock into which the shares of Old Common Stock formerly represented by such Old Certificates have been reclassified pursuant to this Certificate of Amendment. Until surrender, each Old Certificate will be deemed to represent the number of shares of New Common Stock into which such shares of Old Common Stock shall have been reclassified pursuant to this Certificate of Amendment. If, as a result of the Reverse Stock Split, any holder would otherwise be entitled to receive a fractional share of New Common Stock, the Corporation shall cause to be issued to such holder an additional fractional share of New Common Stock that, when combined with the fractional share otherwise issuable to such holder as a result of the Reverse Stock Split, equals a whole share of New Common Stock, such that no fractional shares result from the Reverse Stock Split.</w:t>
      </w:r>
      <w:r>
        <w:rPr>
          <w:rFonts w:ascii="Times New Roman" w:hAnsi="Times New Roman"/>
          <w:sz w:val="20"/>
        </w:rPr>
        <w:t xml:space="preserve"> </w:t>
      </w:r>
    </w:p>
    <w:p>
      <w:pPr>
        <w:pStyle w:val="TextBody"/>
        <w:spacing w:before="240" w:after="0"/>
        <w:jc w:val="both"/>
        <w:rPr>
          <w:rFonts w:ascii="Times New Roman;serif" w:hAnsi="Times New Roman;serif"/>
          <w:b w:val="false"/>
          <w:sz w:val="22"/>
        </w:rPr>
      </w:pPr>
      <w:r>
        <w:rPr>
          <w:rFonts w:ascii="Times New Roman;serif" w:hAnsi="Times New Roman;serif"/>
          <w:b w:val="false"/>
          <w:sz w:val="22"/>
        </w:rPr>
        <w:t>THIRD: That thereafter, pursuant to resolution of its Board of Directors, the annual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pStyle w:val="TextBody"/>
        <w:spacing w:before="240" w:after="0"/>
        <w:jc w:val="both"/>
        <w:rPr>
          <w:rFonts w:ascii="Times New Roman;serif" w:hAnsi="Times New Roman;serif"/>
          <w:b w:val="false"/>
          <w:sz w:val="22"/>
        </w:rPr>
      </w:pPr>
      <w:r>
        <w:rPr>
          <w:rFonts w:ascii="Times New Roman;serif" w:hAnsi="Times New Roman;serif"/>
          <w:b w:val="false"/>
          <w:sz w:val="22"/>
        </w:rPr>
        <w:t>FOURTH: That said Amendment was duly adopted in accordance with the provisions of Section 242 of the General Corporation Law of the State of Delaware.</w:t>
      </w:r>
    </w:p>
    <w:p>
      <w:pPr>
        <w:pStyle w:val="TextBody"/>
        <w:spacing w:before="240" w:after="0"/>
        <w:jc w:val="center"/>
        <w:rPr>
          <w:rFonts w:ascii="Times New Roman;serif" w:hAnsi="Times New Roman;serif"/>
          <w:b w:val="false"/>
          <w:sz w:val="22"/>
        </w:rPr>
      </w:pPr>
      <w:r>
        <w:rPr>
          <w:rFonts w:ascii="Times New Roman;serif" w:hAnsi="Times New Roman;serif"/>
          <w:b w:val="false"/>
          <w:sz w:val="22"/>
        </w:rPr>
        <w:t>****</w:t>
      </w:r>
    </w:p>
    <w:p>
      <w:pPr>
        <w:pStyle w:val="TextBody"/>
        <w:spacing w:before="240" w:after="0"/>
        <w:jc w:val="both"/>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2"/>
        </w:rPr>
        <w:t>IN WITNESS WHEREOF, this corporation has caused this Amendment to the Restated Certificate of Incorporation to be signed by its duly authorized officer and the foregoing facts stated herein are true and correct.</w:t>
      </w:r>
      <w:r>
        <w:rPr>
          <w:rFonts w:ascii="Times New Roman" w:hAnsi="Times New Roman"/>
          <w:sz w:val="20"/>
        </w:rPr>
        <w:t xml:space="preserve"> </w:t>
      </w:r>
    </w:p>
    <w:p>
      <w:pPr>
        <w:pStyle w:val="TextBody"/>
        <w:spacing w:before="0" w:after="240"/>
        <w:jc w:val="both"/>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Dated: April 10, 2023</w:t>
      </w:r>
    </w:p>
    <w:p>
      <w:pPr>
        <w:pStyle w:val="TextBody"/>
        <w:spacing w:before="0" w:after="480"/>
        <w:jc w:val="left"/>
        <w:rPr>
          <w:rFonts w:ascii="Times New Roman;serif" w:hAnsi="Times New Roman;serif"/>
          <w:b/>
          <w:caps/>
          <w:sz w:val="22"/>
        </w:rPr>
      </w:pPr>
      <w:r>
        <w:rPr>
          <w:rFonts w:ascii="Times New Roman;serif" w:hAnsi="Times New Roman;serif"/>
          <w:b/>
          <w:caps/>
          <w:sz w:val="22"/>
        </w:rPr>
        <w:t>ContextLogic Inc.</w:t>
      </w:r>
    </w:p>
    <w:p>
      <w:pPr>
        <w:pStyle w:val="TextBody"/>
        <w:spacing w:before="0" w:after="48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Jun Yan </w:t>
        <w:br/>
      </w:r>
      <w:r>
        <w:rPr>
          <w:rFonts w:ascii="Times New Roman;serif" w:hAnsi="Times New Roman;serif"/>
          <w:b w:val="false"/>
          <w:sz w:val="22"/>
        </w:rPr>
        <w:t>Name: Jun Yan</w:t>
        <w:br/>
        <w:t>Title: Chief Executive Officer</w:t>
      </w:r>
    </w:p>
    <w:p>
      <w:pPr>
        <w:pStyle w:val="TextBody"/>
        <w:spacing w:before="0" w:after="0"/>
        <w:jc w:val="left"/>
        <w:rPr/>
      </w:pPr>
      <w:r>
        <w:rPr/>
        <w:t> </w:t>
      </w:r>
    </w:p>
    <w:p>
      <w:pPr>
        <w:pStyle w:val="TextBody"/>
        <w:spacing w:before="0" w:after="0"/>
        <w:jc w:val="left"/>
        <w:rPr/>
      </w:pPr>
      <w:r>
        <w:rPr/>
        <w:t> </w:t>
      </w:r>
    </w:p>
    <w:p>
      <w:pPr>
        <w:pStyle w:val="TextBody"/>
        <w:spacing w:before="0" w:after="240"/>
        <w:jc w:val="both"/>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2" w:name="wish-ex31_1.htm"/>
      <w:bookmarkStart w:id="23" w:name="kswishex31_1"/>
      <w:bookmarkEnd w:id="22"/>
      <w:bookmarkEnd w:id="23"/>
      <w:r>
        <w:rPr/>
        <w:t> </w:t>
      </w:r>
    </w:p>
    <w:p>
      <w:pPr>
        <w:pStyle w:val="TextBody"/>
        <w:spacing w:before="0" w:after="0"/>
        <w:jc w:val="right"/>
        <w:rPr>
          <w:rFonts w:ascii="Arial;sans-serif" w:hAnsi="Arial;sans-serif"/>
          <w:b/>
          <w:sz w:val="20"/>
        </w:rPr>
      </w:pPr>
      <w:r>
        <w:rPr>
          <w:rFonts w:ascii="Arial;sans-serif" w:hAnsi="Arial;sans-serif"/>
          <w:b/>
          <w:sz w:val="20"/>
        </w:rPr>
        <w:t>Exhibit 31.1</w:t>
      </w:r>
    </w:p>
    <w:p>
      <w:pPr>
        <w:pStyle w:val="TextBody"/>
        <w:spacing w:before="240" w:after="0"/>
        <w:jc w:val="center"/>
        <w:rPr>
          <w:rFonts w:ascii="Arial;sans-serif" w:hAnsi="Arial;sans-serif"/>
          <w:b/>
          <w:sz w:val="20"/>
        </w:rPr>
      </w:pPr>
      <w:r>
        <w:rPr>
          <w:rFonts w:ascii="Arial;sans-serif" w:hAnsi="Arial;sans-serif"/>
          <w:b/>
          <w:sz w:val="20"/>
        </w:rPr>
        <w:t>CERTIFICATION OF PRINCIPAL EXECUTIVE OFFICER</w:t>
      </w:r>
    </w:p>
    <w:p>
      <w:pPr>
        <w:pStyle w:val="TextBody"/>
        <w:spacing w:before="0" w:after="0"/>
        <w:jc w:val="center"/>
        <w:rPr>
          <w:rFonts w:ascii="Arial;sans-serif" w:hAnsi="Arial;sans-serif"/>
          <w:b/>
          <w:sz w:val="20"/>
        </w:rPr>
      </w:pPr>
      <w:r>
        <w:rPr>
          <w:rFonts w:ascii="Arial;sans-serif" w:hAnsi="Arial;sans-serif"/>
          <w:b/>
          <w:sz w:val="20"/>
        </w:rPr>
        <w:t>PURSUANT TO SECTION 302 OF THE SARBANES-OXLEY ACT OF 2002</w:t>
      </w:r>
    </w:p>
    <w:p>
      <w:pPr>
        <w:pStyle w:val="TextBody"/>
        <w:spacing w:before="120" w:after="0"/>
        <w:jc w:val="left"/>
        <w:rPr>
          <w:rFonts w:ascii="Arial;sans-serif" w:hAnsi="Arial;sans-serif"/>
          <w:b w:val="false"/>
          <w:sz w:val="20"/>
        </w:rPr>
      </w:pPr>
      <w:r>
        <w:rPr>
          <w:rFonts w:ascii="Arial;sans-serif" w:hAnsi="Arial;sans-serif"/>
          <w:b w:val="false"/>
          <w:sz w:val="20"/>
        </w:rPr>
        <w:t>I, Jun Yan, certify that:</w:t>
      </w:r>
    </w:p>
    <w:p>
      <w:pPr>
        <w:pStyle w:val="TextBody"/>
        <w:spacing w:before="120" w:after="0"/>
        <w:jc w:val="both"/>
        <w:rPr>
          <w:rFonts w:ascii="Arial" w:hAnsi="Arial"/>
          <w:b w:val="false"/>
          <w:sz w:val="20"/>
        </w:rPr>
      </w:pPr>
      <w:r>
        <w:rPr>
          <w:rFonts w:ascii="Arial" w:hAnsi="Arial"/>
          <w:b w:val="false"/>
          <w:sz w:val="20"/>
        </w:rPr>
        <w:t>1.</w:t>
      </w:r>
    </w:p>
    <w:p>
      <w:pPr>
        <w:pStyle w:val="TextBody"/>
        <w:spacing w:before="120" w:after="0"/>
        <w:jc w:val="both"/>
        <w:rPr>
          <w:rFonts w:ascii="Arial;sans-serif" w:hAnsi="Arial;sans-serif"/>
          <w:b w:val="false"/>
          <w:sz w:val="20"/>
        </w:rPr>
      </w:pPr>
      <w:r>
        <w:rPr>
          <w:rFonts w:ascii="Arial;sans-serif" w:hAnsi="Arial;sans-serif"/>
          <w:b w:val="false"/>
          <w:sz w:val="20"/>
        </w:rPr>
        <w:t>I have reviewed this Quarterly Report on Form 10-Q of ContextLogic Inc.;</w:t>
      </w:r>
    </w:p>
    <w:p>
      <w:pPr>
        <w:pStyle w:val="TextBody"/>
        <w:spacing w:before="120" w:after="0"/>
        <w:jc w:val="both"/>
        <w:rPr>
          <w:rFonts w:ascii="Arial" w:hAnsi="Arial"/>
          <w:b w:val="false"/>
          <w:sz w:val="20"/>
        </w:rPr>
      </w:pPr>
      <w:r>
        <w:rPr>
          <w:rFonts w:ascii="Arial" w:hAnsi="Arial"/>
          <w:b w:val="false"/>
          <w:sz w:val="20"/>
        </w:rPr>
        <w:t>2.</w:t>
      </w:r>
    </w:p>
    <w:p>
      <w:pPr>
        <w:pStyle w:val="TextBody"/>
        <w:spacing w:before="120" w:after="0"/>
        <w:jc w:val="both"/>
        <w:rPr>
          <w:rFonts w:ascii="Arial;sans-serif" w:hAnsi="Arial;sans-serif"/>
          <w:b w:val="false"/>
          <w:sz w:val="20"/>
        </w:rPr>
      </w:pPr>
      <w:r>
        <w:rPr>
          <w:rFonts w:ascii="Arial;sans-serif" w:hAnsi="Arial;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both"/>
        <w:rPr>
          <w:rFonts w:ascii="Arial" w:hAnsi="Arial"/>
          <w:b w:val="false"/>
          <w:sz w:val="20"/>
        </w:rPr>
      </w:pPr>
      <w:r>
        <w:rPr>
          <w:rFonts w:ascii="Arial" w:hAnsi="Arial"/>
          <w:b w:val="false"/>
          <w:sz w:val="20"/>
        </w:rPr>
        <w:t>3.</w:t>
      </w:r>
    </w:p>
    <w:p>
      <w:pPr>
        <w:pStyle w:val="TextBody"/>
        <w:spacing w:before="120" w:after="0"/>
        <w:jc w:val="both"/>
        <w:rPr>
          <w:rFonts w:ascii="Arial;sans-serif" w:hAnsi="Arial;sans-serif"/>
          <w:b w:val="false"/>
          <w:sz w:val="20"/>
        </w:rPr>
      </w:pPr>
      <w:r>
        <w:rPr>
          <w:rFonts w:ascii="Arial;sans-serif" w:hAnsi="Arial;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both"/>
        <w:rPr>
          <w:rFonts w:ascii="Arial" w:hAnsi="Arial"/>
          <w:b w:val="false"/>
          <w:sz w:val="20"/>
        </w:rPr>
      </w:pPr>
      <w:r>
        <w:rPr>
          <w:rFonts w:ascii="Arial" w:hAnsi="Arial"/>
          <w:b w:val="false"/>
          <w:sz w:val="20"/>
        </w:rPr>
        <w:t>4.</w:t>
      </w:r>
    </w:p>
    <w:p>
      <w:pPr>
        <w:pStyle w:val="TextBody"/>
        <w:spacing w:before="120" w:after="0"/>
        <w:jc w:val="both"/>
        <w:rPr>
          <w:rFonts w:ascii="Arial;sans-serif" w:hAnsi="Arial;sans-serif"/>
          <w:b w:val="false"/>
          <w:sz w:val="20"/>
        </w:rPr>
      </w:pPr>
      <w:r>
        <w:rPr>
          <w:rFonts w:ascii="Arial;sans-serif" w:hAnsi="Arial;sans-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Arial" w:hAnsi="Arial"/>
          <w:b w:val="false"/>
          <w:sz w:val="20"/>
        </w:rPr>
      </w:pPr>
      <w:r>
        <w:rPr>
          <w:rFonts w:ascii="Arial" w:hAnsi="Arial"/>
          <w:b w:val="false"/>
          <w:sz w:val="20"/>
        </w:rPr>
        <w:t>(a)</w:t>
      </w:r>
    </w:p>
    <w:p>
      <w:pPr>
        <w:pStyle w:val="TextBody"/>
        <w:spacing w:before="120" w:after="0"/>
        <w:jc w:val="both"/>
        <w:rPr>
          <w:rFonts w:ascii="Arial;sans-serif" w:hAnsi="Arial;sans-serif"/>
          <w:b w:val="false"/>
          <w:sz w:val="20"/>
        </w:rPr>
      </w:pPr>
      <w:r>
        <w:rPr>
          <w:rFonts w:ascii="Arial;sans-serif" w:hAnsi="Arial;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Arial" w:hAnsi="Arial"/>
          <w:b w:val="false"/>
          <w:sz w:val="20"/>
        </w:rPr>
      </w:pPr>
      <w:r>
        <w:rPr>
          <w:rFonts w:ascii="Arial" w:hAnsi="Arial"/>
          <w:b w:val="false"/>
          <w:sz w:val="20"/>
        </w:rPr>
        <w:t>(b)</w:t>
      </w:r>
    </w:p>
    <w:p>
      <w:pPr>
        <w:pStyle w:val="TextBody"/>
        <w:spacing w:before="120" w:after="0"/>
        <w:jc w:val="both"/>
        <w:rPr>
          <w:rFonts w:ascii="Arial;sans-serif" w:hAnsi="Arial;sans-serif"/>
          <w:b w:val="false"/>
          <w:sz w:val="20"/>
        </w:rPr>
      </w:pPr>
      <w:r>
        <w:rPr>
          <w:rFonts w:ascii="Arial;sans-serif" w:hAnsi="Arial;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Arial" w:hAnsi="Arial"/>
          <w:b w:val="false"/>
          <w:sz w:val="20"/>
        </w:rPr>
      </w:pPr>
      <w:r>
        <w:rPr>
          <w:rFonts w:ascii="Arial" w:hAnsi="Arial"/>
          <w:b w:val="false"/>
          <w:sz w:val="20"/>
        </w:rPr>
        <w:t>(c)</w:t>
      </w:r>
    </w:p>
    <w:p>
      <w:pPr>
        <w:pStyle w:val="TextBody"/>
        <w:spacing w:before="120" w:after="0"/>
        <w:jc w:val="both"/>
        <w:rPr>
          <w:rFonts w:ascii="Arial;sans-serif" w:hAnsi="Arial;sans-serif"/>
          <w:b w:val="false"/>
          <w:sz w:val="20"/>
        </w:rPr>
      </w:pPr>
      <w:r>
        <w:rPr>
          <w:rFonts w:ascii="Arial;sans-serif" w:hAnsi="Arial;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Arial" w:hAnsi="Arial"/>
          <w:b w:val="false"/>
          <w:sz w:val="20"/>
        </w:rPr>
      </w:pPr>
      <w:r>
        <w:rPr>
          <w:rFonts w:ascii="Arial" w:hAnsi="Arial"/>
          <w:b w:val="false"/>
          <w:sz w:val="20"/>
        </w:rPr>
        <w:t>(d)</w:t>
      </w:r>
    </w:p>
    <w:p>
      <w:pPr>
        <w:pStyle w:val="TextBody"/>
        <w:spacing w:before="120" w:after="0"/>
        <w:jc w:val="both"/>
        <w:rPr>
          <w:rFonts w:ascii="Arial;sans-serif" w:hAnsi="Arial;sans-serif"/>
          <w:b w:val="false"/>
          <w:sz w:val="20"/>
        </w:rPr>
      </w:pPr>
      <w:r>
        <w:rPr>
          <w:rFonts w:ascii="Arial;sans-serif" w:hAnsi="Arial;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both"/>
        <w:rPr>
          <w:rFonts w:ascii="Arial" w:hAnsi="Arial"/>
          <w:b w:val="false"/>
          <w:sz w:val="20"/>
        </w:rPr>
      </w:pPr>
      <w:r>
        <w:rPr>
          <w:rFonts w:ascii="Arial" w:hAnsi="Arial"/>
          <w:b w:val="false"/>
          <w:sz w:val="20"/>
        </w:rPr>
        <w:t>5.</w:t>
      </w:r>
    </w:p>
    <w:p>
      <w:pPr>
        <w:pStyle w:val="TextBody"/>
        <w:spacing w:before="120" w:after="0"/>
        <w:jc w:val="both"/>
        <w:rPr>
          <w:rFonts w:ascii="Arial;sans-serif" w:hAnsi="Arial;sans-serif"/>
          <w:b w:val="false"/>
          <w:sz w:val="20"/>
        </w:rPr>
      </w:pPr>
      <w:r>
        <w:rPr>
          <w:rFonts w:ascii="Arial;sans-serif" w:hAnsi="Arial;sans-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Arial" w:hAnsi="Arial"/>
          <w:b w:val="false"/>
          <w:sz w:val="20"/>
        </w:rPr>
      </w:pPr>
      <w:r>
        <w:rPr>
          <w:rFonts w:ascii="Arial" w:hAnsi="Arial"/>
          <w:b w:val="false"/>
          <w:sz w:val="20"/>
        </w:rPr>
        <w:t>(a)</w:t>
      </w:r>
    </w:p>
    <w:p>
      <w:pPr>
        <w:pStyle w:val="TextBody"/>
        <w:spacing w:before="120" w:after="0"/>
        <w:jc w:val="both"/>
        <w:rPr>
          <w:rFonts w:ascii="Arial;sans-serif" w:hAnsi="Arial;sans-serif"/>
          <w:b w:val="false"/>
          <w:sz w:val="20"/>
        </w:rPr>
      </w:pPr>
      <w:r>
        <w:rPr>
          <w:rFonts w:ascii="Arial;sans-serif" w:hAnsi="Arial;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Arial" w:hAnsi="Arial"/>
          <w:b w:val="false"/>
          <w:sz w:val="20"/>
        </w:rPr>
      </w:pPr>
      <w:r>
        <w:rPr>
          <w:rFonts w:ascii="Arial" w:hAnsi="Arial"/>
          <w:b w:val="false"/>
          <w:sz w:val="20"/>
        </w:rPr>
        <w:t>(b)</w:t>
      </w:r>
    </w:p>
    <w:p>
      <w:pPr>
        <w:pStyle w:val="TextBody"/>
        <w:spacing w:before="120" w:after="283"/>
        <w:jc w:val="both"/>
        <w:rPr>
          <w:rFonts w:ascii="Arial;sans-serif" w:hAnsi="Arial;sans-serif"/>
          <w:b w:val="false"/>
          <w:sz w:val="20"/>
        </w:rPr>
      </w:pPr>
      <w:r>
        <w:rPr>
          <w:rFonts w:ascii="Arial;sans-serif" w:hAnsi="Arial;sans-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564" w:type="dxa"/>
        <w:jc w:val="left"/>
        <w:tblInd w:w="0" w:type="dxa"/>
        <w:tblCellMar>
          <w:top w:w="28" w:type="dxa"/>
          <w:left w:w="28" w:type="dxa"/>
          <w:bottom w:w="28" w:type="dxa"/>
          <w:right w:w="28" w:type="dxa"/>
        </w:tblCellMar>
      </w:tblPr>
      <w:tblGrid>
        <w:gridCol w:w="1726"/>
        <w:gridCol w:w="146"/>
        <w:gridCol w:w="406"/>
        <w:gridCol w:w="328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8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4,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32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Jun Yan</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286" w:type="dxa"/>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Jun Yan</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2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Executive Officer and Director</w:t>
            </w:r>
          </w:p>
        </w:tc>
      </w:tr>
      <w:tr>
        <w:trPr/>
        <w:tc>
          <w:tcPr>
            <w:tcW w:w="1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28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4" w:name="wish-ex31_2.htm"/>
      <w:bookmarkStart w:id="25" w:name="kswishex31_2"/>
      <w:bookmarkEnd w:id="24"/>
      <w:bookmarkEnd w:id="25"/>
      <w:r>
        <w:rPr/>
        <w:t> </w:t>
      </w:r>
    </w:p>
    <w:p>
      <w:pPr>
        <w:pStyle w:val="TextBody"/>
        <w:spacing w:before="0" w:after="0"/>
        <w:jc w:val="right"/>
        <w:rPr>
          <w:rFonts w:ascii="Arial;sans-serif" w:hAnsi="Arial;sans-serif"/>
          <w:b/>
          <w:sz w:val="20"/>
        </w:rPr>
      </w:pPr>
      <w:r>
        <w:rPr>
          <w:rFonts w:ascii="Arial;sans-serif" w:hAnsi="Arial;sans-serif"/>
          <w:b/>
          <w:sz w:val="20"/>
        </w:rPr>
        <w:t>Exhibit 31.2</w:t>
      </w:r>
    </w:p>
    <w:p>
      <w:pPr>
        <w:pStyle w:val="TextBody"/>
        <w:spacing w:before="240" w:after="0"/>
        <w:jc w:val="center"/>
        <w:rPr>
          <w:rFonts w:ascii="Arial;sans-serif" w:hAnsi="Arial;sans-serif"/>
          <w:b/>
          <w:sz w:val="20"/>
        </w:rPr>
      </w:pPr>
      <w:r>
        <w:rPr>
          <w:rFonts w:ascii="Arial;sans-serif" w:hAnsi="Arial;sans-serif"/>
          <w:b/>
          <w:sz w:val="20"/>
        </w:rPr>
        <w:t>CERTIFICATION OF PRINCIPAL FINANCIAL OFFICER</w:t>
      </w:r>
    </w:p>
    <w:p>
      <w:pPr>
        <w:pStyle w:val="TextBody"/>
        <w:spacing w:before="0" w:after="0"/>
        <w:jc w:val="center"/>
        <w:rPr>
          <w:rFonts w:ascii="Arial;sans-serif" w:hAnsi="Arial;sans-serif"/>
          <w:b/>
          <w:sz w:val="20"/>
        </w:rPr>
      </w:pPr>
      <w:r>
        <w:rPr>
          <w:rFonts w:ascii="Arial;sans-serif" w:hAnsi="Arial;sans-serif"/>
          <w:b/>
          <w:sz w:val="20"/>
        </w:rPr>
        <w:t>PURSUANT TO SECTION 302 OF THE SARBANES-OXLEY ACT OF 2002</w:t>
      </w:r>
    </w:p>
    <w:p>
      <w:pPr>
        <w:pStyle w:val="TextBody"/>
        <w:spacing w:before="120" w:after="0"/>
        <w:jc w:val="both"/>
        <w:rPr>
          <w:rFonts w:ascii="Arial;sans-serif" w:hAnsi="Arial;sans-serif"/>
          <w:b w:val="false"/>
          <w:sz w:val="20"/>
        </w:rPr>
      </w:pPr>
      <w:r>
        <w:rPr>
          <w:rFonts w:ascii="Arial;sans-serif" w:hAnsi="Arial;sans-serif"/>
          <w:b w:val="false"/>
          <w:sz w:val="20"/>
        </w:rPr>
        <w:t>I, Vivian Liu, certify that:</w:t>
      </w:r>
    </w:p>
    <w:p>
      <w:pPr>
        <w:pStyle w:val="TextBody"/>
        <w:spacing w:before="120" w:after="0"/>
        <w:jc w:val="both"/>
        <w:rPr>
          <w:rFonts w:ascii="Arial" w:hAnsi="Arial"/>
          <w:b w:val="false"/>
          <w:sz w:val="20"/>
        </w:rPr>
      </w:pPr>
      <w:r>
        <w:rPr>
          <w:rFonts w:ascii="Arial" w:hAnsi="Arial"/>
          <w:b w:val="false"/>
          <w:sz w:val="20"/>
        </w:rPr>
        <w:t>1.</w:t>
      </w:r>
    </w:p>
    <w:p>
      <w:pPr>
        <w:pStyle w:val="TextBody"/>
        <w:spacing w:before="120" w:after="0"/>
        <w:jc w:val="both"/>
        <w:rPr>
          <w:rFonts w:ascii="Arial;sans-serif" w:hAnsi="Arial;sans-serif"/>
          <w:b w:val="false"/>
          <w:sz w:val="20"/>
        </w:rPr>
      </w:pPr>
      <w:r>
        <w:rPr>
          <w:rFonts w:ascii="Arial;sans-serif" w:hAnsi="Arial;sans-serif"/>
          <w:b w:val="false"/>
          <w:sz w:val="20"/>
        </w:rPr>
        <w:t>I have reviewed this Quarterly Report on Form 10-Q of ContextLogic Inc.;</w:t>
      </w:r>
    </w:p>
    <w:p>
      <w:pPr>
        <w:pStyle w:val="TextBody"/>
        <w:spacing w:before="120" w:after="0"/>
        <w:jc w:val="both"/>
        <w:rPr>
          <w:rFonts w:ascii="Arial" w:hAnsi="Arial"/>
          <w:b w:val="false"/>
          <w:sz w:val="20"/>
        </w:rPr>
      </w:pPr>
      <w:r>
        <w:rPr>
          <w:rFonts w:ascii="Arial" w:hAnsi="Arial"/>
          <w:b w:val="false"/>
          <w:sz w:val="20"/>
        </w:rPr>
        <w:t>2.</w:t>
      </w:r>
    </w:p>
    <w:p>
      <w:pPr>
        <w:pStyle w:val="TextBody"/>
        <w:spacing w:before="120" w:after="0"/>
        <w:jc w:val="both"/>
        <w:rPr>
          <w:rFonts w:ascii="Arial;sans-serif" w:hAnsi="Arial;sans-serif"/>
          <w:b w:val="false"/>
          <w:sz w:val="20"/>
        </w:rPr>
      </w:pPr>
      <w:r>
        <w:rPr>
          <w:rFonts w:ascii="Arial;sans-serif" w:hAnsi="Arial;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both"/>
        <w:rPr>
          <w:rFonts w:ascii="Arial" w:hAnsi="Arial"/>
          <w:b w:val="false"/>
          <w:sz w:val="20"/>
        </w:rPr>
      </w:pPr>
      <w:r>
        <w:rPr>
          <w:rFonts w:ascii="Arial" w:hAnsi="Arial"/>
          <w:b w:val="false"/>
          <w:sz w:val="20"/>
        </w:rPr>
        <w:t>3.</w:t>
      </w:r>
    </w:p>
    <w:p>
      <w:pPr>
        <w:pStyle w:val="TextBody"/>
        <w:spacing w:before="120" w:after="0"/>
        <w:jc w:val="both"/>
        <w:rPr>
          <w:rFonts w:ascii="Arial;sans-serif" w:hAnsi="Arial;sans-serif"/>
          <w:b w:val="false"/>
          <w:sz w:val="20"/>
        </w:rPr>
      </w:pPr>
      <w:r>
        <w:rPr>
          <w:rFonts w:ascii="Arial;sans-serif" w:hAnsi="Arial;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both"/>
        <w:rPr>
          <w:rFonts w:ascii="Arial" w:hAnsi="Arial"/>
          <w:b w:val="false"/>
          <w:sz w:val="20"/>
        </w:rPr>
      </w:pPr>
      <w:r>
        <w:rPr>
          <w:rFonts w:ascii="Arial" w:hAnsi="Arial"/>
          <w:b w:val="false"/>
          <w:sz w:val="20"/>
        </w:rPr>
        <w:t>4.</w:t>
      </w:r>
    </w:p>
    <w:p>
      <w:pPr>
        <w:pStyle w:val="TextBody"/>
        <w:spacing w:before="120" w:after="0"/>
        <w:jc w:val="both"/>
        <w:rPr>
          <w:rFonts w:ascii="Arial;sans-serif" w:hAnsi="Arial;sans-serif"/>
          <w:b w:val="false"/>
          <w:sz w:val="20"/>
        </w:rPr>
      </w:pPr>
      <w:r>
        <w:rPr>
          <w:rFonts w:ascii="Arial;sans-serif" w:hAnsi="Arial;sans-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Arial" w:hAnsi="Arial"/>
          <w:b w:val="false"/>
          <w:sz w:val="20"/>
        </w:rPr>
      </w:pPr>
      <w:r>
        <w:rPr>
          <w:rFonts w:ascii="Arial" w:hAnsi="Arial"/>
          <w:b w:val="false"/>
          <w:sz w:val="20"/>
        </w:rPr>
        <w:t>(a)</w:t>
      </w:r>
    </w:p>
    <w:p>
      <w:pPr>
        <w:pStyle w:val="TextBody"/>
        <w:spacing w:before="120" w:after="0"/>
        <w:jc w:val="both"/>
        <w:rPr>
          <w:rFonts w:ascii="Arial;sans-serif" w:hAnsi="Arial;sans-serif"/>
          <w:b w:val="false"/>
          <w:sz w:val="20"/>
        </w:rPr>
      </w:pPr>
      <w:r>
        <w:rPr>
          <w:rFonts w:ascii="Arial;sans-serif" w:hAnsi="Arial;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both"/>
        <w:rPr>
          <w:rFonts w:ascii="Arial" w:hAnsi="Arial"/>
          <w:b w:val="false"/>
          <w:sz w:val="20"/>
        </w:rPr>
      </w:pPr>
      <w:r>
        <w:rPr>
          <w:rFonts w:ascii="Arial" w:hAnsi="Arial"/>
          <w:b w:val="false"/>
          <w:sz w:val="20"/>
        </w:rPr>
        <w:t>(b)</w:t>
      </w:r>
    </w:p>
    <w:p>
      <w:pPr>
        <w:pStyle w:val="TextBody"/>
        <w:spacing w:before="120" w:after="0"/>
        <w:jc w:val="both"/>
        <w:rPr>
          <w:rFonts w:ascii="Arial;sans-serif" w:hAnsi="Arial;sans-serif"/>
          <w:b w:val="false"/>
          <w:sz w:val="20"/>
        </w:rPr>
      </w:pPr>
      <w:r>
        <w:rPr>
          <w:rFonts w:ascii="Arial;sans-serif" w:hAnsi="Arial;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Arial" w:hAnsi="Arial"/>
          <w:b w:val="false"/>
          <w:sz w:val="20"/>
        </w:rPr>
      </w:pPr>
      <w:r>
        <w:rPr>
          <w:rFonts w:ascii="Arial" w:hAnsi="Arial"/>
          <w:b w:val="false"/>
          <w:sz w:val="20"/>
        </w:rPr>
        <w:t>(c)</w:t>
      </w:r>
    </w:p>
    <w:p>
      <w:pPr>
        <w:pStyle w:val="TextBody"/>
        <w:spacing w:before="120" w:after="0"/>
        <w:jc w:val="both"/>
        <w:rPr>
          <w:rFonts w:ascii="Arial;sans-serif" w:hAnsi="Arial;sans-serif"/>
          <w:b w:val="false"/>
          <w:sz w:val="20"/>
        </w:rPr>
      </w:pPr>
      <w:r>
        <w:rPr>
          <w:rFonts w:ascii="Arial;sans-serif" w:hAnsi="Arial;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both"/>
        <w:rPr>
          <w:rFonts w:ascii="Arial" w:hAnsi="Arial"/>
          <w:b w:val="false"/>
          <w:sz w:val="20"/>
        </w:rPr>
      </w:pPr>
      <w:r>
        <w:rPr>
          <w:rFonts w:ascii="Arial" w:hAnsi="Arial"/>
          <w:b w:val="false"/>
          <w:sz w:val="20"/>
        </w:rPr>
        <w:t>(d)</w:t>
      </w:r>
    </w:p>
    <w:p>
      <w:pPr>
        <w:pStyle w:val="TextBody"/>
        <w:spacing w:before="120" w:after="0"/>
        <w:jc w:val="both"/>
        <w:rPr>
          <w:rFonts w:ascii="Arial;sans-serif" w:hAnsi="Arial;sans-serif"/>
          <w:b w:val="false"/>
          <w:sz w:val="20"/>
        </w:rPr>
      </w:pPr>
      <w:r>
        <w:rPr>
          <w:rFonts w:ascii="Arial;sans-serif" w:hAnsi="Arial;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both"/>
        <w:rPr>
          <w:rFonts w:ascii="Arial" w:hAnsi="Arial"/>
          <w:b w:val="false"/>
          <w:sz w:val="20"/>
        </w:rPr>
      </w:pPr>
      <w:r>
        <w:rPr>
          <w:rFonts w:ascii="Arial" w:hAnsi="Arial"/>
          <w:b w:val="false"/>
          <w:sz w:val="20"/>
        </w:rPr>
        <w:t>5.</w:t>
      </w:r>
    </w:p>
    <w:p>
      <w:pPr>
        <w:pStyle w:val="TextBody"/>
        <w:spacing w:before="120" w:after="0"/>
        <w:jc w:val="both"/>
        <w:rPr>
          <w:rFonts w:ascii="Arial;sans-serif" w:hAnsi="Arial;sans-serif"/>
          <w:b w:val="false"/>
          <w:sz w:val="20"/>
        </w:rPr>
      </w:pPr>
      <w:r>
        <w:rPr>
          <w:rFonts w:ascii="Arial;sans-serif" w:hAnsi="Arial;sans-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Arial" w:hAnsi="Arial"/>
          <w:b w:val="false"/>
          <w:sz w:val="20"/>
        </w:rPr>
      </w:pPr>
      <w:r>
        <w:rPr>
          <w:rFonts w:ascii="Arial" w:hAnsi="Arial"/>
          <w:b w:val="false"/>
          <w:sz w:val="20"/>
        </w:rPr>
        <w:t>(a)</w:t>
      </w:r>
    </w:p>
    <w:p>
      <w:pPr>
        <w:pStyle w:val="TextBody"/>
        <w:spacing w:before="120" w:after="0"/>
        <w:jc w:val="both"/>
        <w:rPr>
          <w:rFonts w:ascii="Arial;sans-serif" w:hAnsi="Arial;sans-serif"/>
          <w:b w:val="false"/>
          <w:sz w:val="20"/>
        </w:rPr>
      </w:pPr>
      <w:r>
        <w:rPr>
          <w:rFonts w:ascii="Arial;sans-serif" w:hAnsi="Arial;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Arial" w:hAnsi="Arial"/>
          <w:b w:val="false"/>
          <w:sz w:val="20"/>
        </w:rPr>
      </w:pPr>
      <w:r>
        <w:rPr>
          <w:rFonts w:ascii="Arial" w:hAnsi="Arial"/>
          <w:b w:val="false"/>
          <w:sz w:val="20"/>
        </w:rPr>
        <w:t>(b)</w:t>
      </w:r>
    </w:p>
    <w:p>
      <w:pPr>
        <w:pStyle w:val="TextBody"/>
        <w:spacing w:before="120" w:after="283"/>
        <w:jc w:val="both"/>
        <w:rPr>
          <w:rFonts w:ascii="Arial;sans-serif" w:hAnsi="Arial;sans-serif"/>
          <w:b w:val="false"/>
          <w:sz w:val="20"/>
        </w:rPr>
      </w:pPr>
      <w:r>
        <w:rPr>
          <w:rFonts w:ascii="Arial;sans-serif" w:hAnsi="Arial;sans-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794" w:type="dxa"/>
        <w:jc w:val="left"/>
        <w:tblInd w:w="0" w:type="dxa"/>
        <w:tblCellMar>
          <w:top w:w="28" w:type="dxa"/>
          <w:left w:w="28" w:type="dxa"/>
          <w:bottom w:w="28" w:type="dxa"/>
          <w:right w:w="28" w:type="dxa"/>
        </w:tblCellMar>
      </w:tblPr>
      <w:tblGrid>
        <w:gridCol w:w="1726"/>
        <w:gridCol w:w="146"/>
        <w:gridCol w:w="406"/>
        <w:gridCol w:w="451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51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4,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5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Vivian Liu</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516" w:type="dxa"/>
            <w:tcBorders/>
            <w:shd w:fill="auto" w:val="cle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Vivian Liu</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5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Financial Officer and Chief Operating Officer</w:t>
            </w:r>
          </w:p>
        </w:tc>
      </w:tr>
      <w:tr>
        <w:trPr/>
        <w:tc>
          <w:tcPr>
            <w:tcW w:w="1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516"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6" w:name="wish-ex32_1.htm"/>
      <w:bookmarkStart w:id="27" w:name="kswishex32_1"/>
      <w:bookmarkEnd w:id="26"/>
      <w:bookmarkEnd w:id="27"/>
      <w:r>
        <w:rPr/>
        <w:t> </w:t>
      </w:r>
    </w:p>
    <w:p>
      <w:pPr>
        <w:pStyle w:val="TextBody"/>
        <w:spacing w:before="0" w:after="0"/>
        <w:jc w:val="right"/>
        <w:rPr>
          <w:rFonts w:ascii="Arial;sans-serif" w:hAnsi="Arial;sans-serif"/>
          <w:b/>
          <w:sz w:val="20"/>
        </w:rPr>
      </w:pPr>
      <w:r>
        <w:rPr>
          <w:rFonts w:ascii="Arial;sans-serif" w:hAnsi="Arial;sans-serif"/>
          <w:b/>
          <w:sz w:val="20"/>
        </w:rPr>
        <w:t>Exhibit 32.1</w:t>
      </w:r>
    </w:p>
    <w:p>
      <w:pPr>
        <w:pStyle w:val="TextBody"/>
        <w:spacing w:before="240" w:after="0"/>
        <w:jc w:val="center"/>
        <w:rPr>
          <w:rFonts w:ascii="Arial;sans-serif" w:hAnsi="Arial;sans-serif"/>
          <w:b/>
          <w:sz w:val="20"/>
        </w:rPr>
      </w:pPr>
      <w:r>
        <w:rPr>
          <w:rFonts w:ascii="Arial;sans-serif" w:hAnsi="Arial;sans-serif"/>
          <w:b/>
          <w:sz w:val="20"/>
        </w:rPr>
        <w:t>CERTIFICATION OF PRINCIPAL EXECUTIVE OFFICER</w:t>
      </w:r>
    </w:p>
    <w:p>
      <w:pPr>
        <w:pStyle w:val="TextBody"/>
        <w:spacing w:before="0" w:after="0"/>
        <w:jc w:val="center"/>
        <w:rPr>
          <w:rFonts w:ascii="Arial;sans-serif" w:hAnsi="Arial;sans-serif"/>
          <w:b/>
          <w:sz w:val="20"/>
        </w:rPr>
      </w:pPr>
      <w:r>
        <w:rPr>
          <w:rFonts w:ascii="Arial;sans-serif" w:hAnsi="Arial;sans-serif"/>
          <w:b/>
          <w:sz w:val="20"/>
        </w:rPr>
        <w:t>PURSUANT TO 18 U.S.C. SECTION 1350, AS ADOPTED PURSUANT TO</w:t>
      </w:r>
    </w:p>
    <w:p>
      <w:pPr>
        <w:pStyle w:val="TextBody"/>
        <w:spacing w:before="0" w:after="0"/>
        <w:jc w:val="center"/>
        <w:rPr>
          <w:rFonts w:ascii="Arial;sans-serif" w:hAnsi="Arial;sans-serif"/>
          <w:b/>
          <w:sz w:val="20"/>
        </w:rPr>
      </w:pPr>
      <w:r>
        <w:rPr>
          <w:rFonts w:ascii="Arial;sans-serif" w:hAnsi="Arial;sans-serif"/>
          <w:b/>
          <w:sz w:val="20"/>
        </w:rPr>
        <w:t>SECTION 906 OF THE SARBANES-OXLEY ACT OF 2002</w:t>
      </w:r>
    </w:p>
    <w:p>
      <w:pPr>
        <w:pStyle w:val="TextBody"/>
        <w:spacing w:before="240" w:after="0"/>
        <w:jc w:val="both"/>
        <w:rPr>
          <w:rFonts w:ascii="Arial;sans-serif" w:hAnsi="Arial;sans-serif"/>
          <w:b w:val="false"/>
          <w:sz w:val="20"/>
        </w:rPr>
      </w:pPr>
      <w:r>
        <w:rPr>
          <w:rFonts w:ascii="Arial;sans-serif" w:hAnsi="Arial;sans-serif"/>
          <w:b w:val="false"/>
          <w:sz w:val="20"/>
        </w:rPr>
        <w:t>In connection with the Quarterly Report of ContextLogic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240" w:after="0"/>
        <w:jc w:val="both"/>
        <w:rPr>
          <w:rFonts w:ascii="Arial" w:hAnsi="Arial"/>
          <w:b w:val="false"/>
          <w:sz w:val="20"/>
        </w:rPr>
      </w:pPr>
      <w:r>
        <w:rPr>
          <w:rFonts w:ascii="Arial" w:hAnsi="Arial"/>
          <w:b w:val="false"/>
          <w:sz w:val="20"/>
        </w:rPr>
        <w:t>(1)</w:t>
      </w:r>
    </w:p>
    <w:p>
      <w:pPr>
        <w:pStyle w:val="TextBody"/>
        <w:spacing w:before="240" w:after="0"/>
        <w:jc w:val="both"/>
        <w:rPr>
          <w:rFonts w:ascii="Arial;sans-serif" w:hAnsi="Arial;sans-serif"/>
          <w:b w:val="false"/>
          <w:sz w:val="20"/>
        </w:rPr>
      </w:pPr>
      <w:r>
        <w:rPr>
          <w:rFonts w:ascii="Arial;sans-serif" w:hAnsi="Arial;sans-serif"/>
          <w:b w:val="false"/>
          <w:sz w:val="20"/>
        </w:rPr>
        <w:t>The Report fully complies with the requirements of section 13(a) or 15(d) of the Securities Exchange Act of 1934, as amended; and</w:t>
      </w:r>
    </w:p>
    <w:p>
      <w:pPr>
        <w:pStyle w:val="TextBody"/>
        <w:spacing w:before="240" w:after="0"/>
        <w:jc w:val="both"/>
        <w:rPr>
          <w:rFonts w:ascii="Arial" w:hAnsi="Arial"/>
          <w:b w:val="false"/>
          <w:sz w:val="20"/>
        </w:rPr>
      </w:pPr>
      <w:r>
        <w:rPr>
          <w:rFonts w:ascii="Arial" w:hAnsi="Arial"/>
          <w:b w:val="false"/>
          <w:sz w:val="20"/>
        </w:rPr>
        <w:t>(2)</w:t>
      </w:r>
    </w:p>
    <w:p>
      <w:pPr>
        <w:pStyle w:val="TextBody"/>
        <w:spacing w:before="240" w:after="283"/>
        <w:jc w:val="both"/>
        <w:rPr>
          <w:rFonts w:ascii="Arial;sans-serif" w:hAnsi="Arial;sans-serif"/>
          <w:b w:val="false"/>
          <w:sz w:val="20"/>
        </w:rPr>
      </w:pPr>
      <w:r>
        <w:rPr>
          <w:rFonts w:ascii="Arial;sans-serif" w:hAnsi="Arial;sans-serif"/>
          <w:b w:val="false"/>
          <w:sz w:val="20"/>
        </w:rPr>
        <w:t>The information contained in the Report fairly presents, in all material respects, the financial condition and result of operations of the Company for the period presented therein.</w:t>
      </w:r>
    </w:p>
    <w:p>
      <w:pPr>
        <w:pStyle w:val="TextBody"/>
        <w:spacing w:before="0" w:after="0"/>
        <w:jc w:val="left"/>
        <w:rPr/>
      </w:pPr>
      <w:r>
        <w:rPr/>
        <w:t> </w:t>
      </w:r>
    </w:p>
    <w:tbl>
      <w:tblPr>
        <w:tblW w:w="5564" w:type="dxa"/>
        <w:jc w:val="left"/>
        <w:tblInd w:w="0" w:type="dxa"/>
        <w:tblCellMar>
          <w:top w:w="28" w:type="dxa"/>
          <w:left w:w="28" w:type="dxa"/>
          <w:bottom w:w="28" w:type="dxa"/>
          <w:right w:w="28" w:type="dxa"/>
        </w:tblCellMar>
      </w:tblPr>
      <w:tblGrid>
        <w:gridCol w:w="1726"/>
        <w:gridCol w:w="146"/>
        <w:gridCol w:w="406"/>
        <w:gridCol w:w="328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8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4,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328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Jun Yan</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Jun Yan</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Executive Officer and Director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wish-ex32_2.htm"/>
      <w:bookmarkStart w:id="29" w:name="kswishex32_2"/>
      <w:bookmarkEnd w:id="28"/>
      <w:bookmarkEnd w:id="29"/>
      <w:r>
        <w:rPr/>
        <w:t> </w:t>
      </w:r>
    </w:p>
    <w:p>
      <w:pPr>
        <w:pStyle w:val="TextBody"/>
        <w:spacing w:before="0" w:after="0"/>
        <w:jc w:val="right"/>
        <w:rPr>
          <w:rFonts w:ascii="Arial;sans-serif" w:hAnsi="Arial;sans-serif"/>
          <w:b/>
          <w:sz w:val="20"/>
        </w:rPr>
      </w:pPr>
      <w:r>
        <w:rPr>
          <w:rFonts w:ascii="Arial;sans-serif" w:hAnsi="Arial;sans-serif"/>
          <w:b/>
          <w:sz w:val="20"/>
        </w:rPr>
        <w:t>Exhibit 32.2</w:t>
      </w:r>
    </w:p>
    <w:p>
      <w:pPr>
        <w:pStyle w:val="TextBody"/>
        <w:spacing w:before="240" w:after="0"/>
        <w:jc w:val="center"/>
        <w:rPr>
          <w:rFonts w:ascii="Arial;sans-serif" w:hAnsi="Arial;sans-serif"/>
          <w:b/>
          <w:sz w:val="20"/>
        </w:rPr>
      </w:pPr>
      <w:r>
        <w:rPr>
          <w:rFonts w:ascii="Arial;sans-serif" w:hAnsi="Arial;sans-serif"/>
          <w:b/>
          <w:sz w:val="20"/>
        </w:rPr>
        <w:t>CERTIFICATION OF PRINCIPAL FINANCIAL OFFICER</w:t>
      </w:r>
    </w:p>
    <w:p>
      <w:pPr>
        <w:pStyle w:val="TextBody"/>
        <w:spacing w:before="0" w:after="0"/>
        <w:jc w:val="center"/>
        <w:rPr>
          <w:rFonts w:ascii="Arial;sans-serif" w:hAnsi="Arial;sans-serif"/>
          <w:b/>
          <w:sz w:val="20"/>
        </w:rPr>
      </w:pPr>
      <w:r>
        <w:rPr>
          <w:rFonts w:ascii="Arial;sans-serif" w:hAnsi="Arial;sans-serif"/>
          <w:b/>
          <w:sz w:val="20"/>
        </w:rPr>
        <w:t>PURSUANT TO 18 U.S.C. SECTION 1350, AS ADOPTED PURSUANT TO</w:t>
      </w:r>
    </w:p>
    <w:p>
      <w:pPr>
        <w:pStyle w:val="TextBody"/>
        <w:spacing w:before="0" w:after="0"/>
        <w:jc w:val="center"/>
        <w:rPr>
          <w:rFonts w:ascii="Arial;sans-serif" w:hAnsi="Arial;sans-serif"/>
          <w:b/>
          <w:sz w:val="20"/>
        </w:rPr>
      </w:pPr>
      <w:r>
        <w:rPr>
          <w:rFonts w:ascii="Arial;sans-serif" w:hAnsi="Arial;sans-serif"/>
          <w:b/>
          <w:sz w:val="20"/>
        </w:rPr>
        <w:t>SECTION 906 OF THE SARBANES-OXLEY ACT OF 2002</w:t>
      </w:r>
    </w:p>
    <w:p>
      <w:pPr>
        <w:pStyle w:val="TextBody"/>
        <w:spacing w:before="240" w:after="0"/>
        <w:jc w:val="both"/>
        <w:rPr>
          <w:rFonts w:ascii="Arial;sans-serif" w:hAnsi="Arial;sans-serif"/>
          <w:b w:val="false"/>
          <w:sz w:val="20"/>
        </w:rPr>
      </w:pPr>
      <w:r>
        <w:rPr>
          <w:rFonts w:ascii="Arial;sans-serif" w:hAnsi="Arial;sans-serif"/>
          <w:b w:val="false"/>
          <w:sz w:val="20"/>
        </w:rPr>
        <w:t>In connection with the Quarterly Report of ContextLogic Inc. (the “Company”) on Form 10-Q for the period ended March 31, 2023 as filed with the Securities and Exchange Commission on the date hereof (the “Report”), I certify, pursuant to 18 U.S.C. § 1350, as adopted pursuant to § 906 of the Sarbanes-Oxley Act of 2002, that:</w:t>
      </w:r>
    </w:p>
    <w:p>
      <w:pPr>
        <w:pStyle w:val="TextBody"/>
        <w:spacing w:before="240" w:after="0"/>
        <w:jc w:val="both"/>
        <w:rPr>
          <w:rFonts w:ascii="Arial" w:hAnsi="Arial"/>
          <w:b w:val="false"/>
          <w:sz w:val="20"/>
        </w:rPr>
      </w:pPr>
      <w:r>
        <w:rPr>
          <w:rFonts w:ascii="Arial" w:hAnsi="Arial"/>
          <w:b w:val="false"/>
          <w:sz w:val="20"/>
        </w:rPr>
        <w:t>(1)</w:t>
      </w:r>
    </w:p>
    <w:p>
      <w:pPr>
        <w:pStyle w:val="TextBody"/>
        <w:spacing w:before="240" w:after="0"/>
        <w:jc w:val="both"/>
        <w:rPr>
          <w:rFonts w:ascii="Arial;sans-serif" w:hAnsi="Arial;sans-serif"/>
          <w:b w:val="false"/>
          <w:sz w:val="20"/>
        </w:rPr>
      </w:pPr>
      <w:r>
        <w:rPr>
          <w:rFonts w:ascii="Arial;sans-serif" w:hAnsi="Arial;sans-serif"/>
          <w:b w:val="false"/>
          <w:sz w:val="20"/>
        </w:rPr>
        <w:t>The Report fully complies with the requirements of section 13(a) or 15(d) of the Securities Exchange Act of 1934, as amended; and</w:t>
      </w:r>
    </w:p>
    <w:p>
      <w:pPr>
        <w:pStyle w:val="TextBody"/>
        <w:spacing w:before="240" w:after="0"/>
        <w:jc w:val="both"/>
        <w:rPr>
          <w:rFonts w:ascii="Arial" w:hAnsi="Arial"/>
          <w:b w:val="false"/>
          <w:sz w:val="20"/>
        </w:rPr>
      </w:pPr>
      <w:r>
        <w:rPr>
          <w:rFonts w:ascii="Arial" w:hAnsi="Arial"/>
          <w:b w:val="false"/>
          <w:sz w:val="20"/>
        </w:rPr>
        <w:t>(2)</w:t>
      </w:r>
    </w:p>
    <w:p>
      <w:pPr>
        <w:pStyle w:val="TextBody"/>
        <w:spacing w:before="240" w:after="283"/>
        <w:jc w:val="both"/>
        <w:rPr>
          <w:rFonts w:ascii="Arial;sans-serif" w:hAnsi="Arial;sans-serif"/>
          <w:b w:val="false"/>
          <w:sz w:val="20"/>
        </w:rPr>
      </w:pPr>
      <w:r>
        <w:rPr>
          <w:rFonts w:ascii="Arial;sans-serif" w:hAnsi="Arial;sans-serif"/>
          <w:b w:val="false"/>
          <w:sz w:val="20"/>
        </w:rPr>
        <w:t>The information contained in the Report fairly presents, in all material respects, the financial condition and result of operations of the Company for the period presented therein.</w:t>
      </w:r>
    </w:p>
    <w:p>
      <w:pPr>
        <w:pStyle w:val="TextBody"/>
        <w:spacing w:before="0" w:after="0"/>
        <w:jc w:val="left"/>
        <w:rPr/>
      </w:pPr>
      <w:r>
        <w:rPr/>
        <w:t> </w:t>
      </w:r>
    </w:p>
    <w:tbl>
      <w:tblPr>
        <w:tblW w:w="6794" w:type="dxa"/>
        <w:jc w:val="left"/>
        <w:tblInd w:w="0" w:type="dxa"/>
        <w:tblCellMar>
          <w:top w:w="28" w:type="dxa"/>
          <w:left w:w="28" w:type="dxa"/>
          <w:bottom w:w="28" w:type="dxa"/>
          <w:right w:w="28" w:type="dxa"/>
        </w:tblCellMar>
      </w:tblPr>
      <w:tblGrid>
        <w:gridCol w:w="1726"/>
        <w:gridCol w:w="146"/>
        <w:gridCol w:w="406"/>
        <w:gridCol w:w="451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51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Date: May 4,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45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/s/ Vivian Liu</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Vivian Liu</w:t>
            </w:r>
          </w:p>
        </w:tc>
      </w:tr>
      <w:tr>
        <w:trPr/>
        <w:tc>
          <w:tcPr>
            <w:tcW w:w="17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Chief Financial Officer and Chief Operating Officer</w:t>
            </w:r>
          </w:p>
        </w:tc>
      </w:tr>
      <w:tr>
        <w:trPr/>
        <w:tc>
          <w:tcPr>
            <w:tcW w:w="1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31863</Words>
  <CharactersWithSpaces>202833</CharactersWithSpaces>
  <Paragraphs>5147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