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3" w:lineRule="exact"/>
        <w:rPr>
          <w:sz w:val="24"/>
          <w:szCs w:val="24"/>
          <w:color w:val="auto"/>
        </w:rPr>
      </w:pPr>
    </w:p>
    <w:p>
      <w:pPr>
        <w:ind w:left="3460" w:right="1580" w:hanging="3439"/>
        <w:spacing w:after="0" w:line="318"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3680" w:right="1580" w:hanging="3659"/>
        <w:spacing w:after="0" w:line="297" w:lineRule="auto"/>
        <w:tabs>
          <w:tab w:leader="none" w:pos="48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 to ______</w:t>
      </w:r>
    </w:p>
    <w:p>
      <w:pPr>
        <w:ind w:left="41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Commission File Number: </w:t>
      </w:r>
      <w:r>
        <w:rPr>
          <w:rFonts w:ascii="Arial" w:cs="Arial" w:eastAsia="Arial" w:hAnsi="Arial"/>
          <w:sz w:val="16"/>
          <w:szCs w:val="16"/>
          <w:b w:val="1"/>
          <w:bCs w:val="1"/>
          <w:color w:val="auto"/>
        </w:rPr>
        <w:t>001-39775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ind w:right="160"/>
        <w:spacing w:after="0"/>
        <w:rPr>
          <w:sz w:val="20"/>
          <w:szCs w:val="20"/>
          <w:color w:val="auto"/>
        </w:rPr>
      </w:pPr>
      <w:r>
        <w:rPr>
          <w:rFonts w:ascii="Arial" w:cs="Arial" w:eastAsia="Arial" w:hAnsi="Arial"/>
          <w:sz w:val="43"/>
          <w:szCs w:val="43"/>
          <w:b w:val="1"/>
          <w:bCs w:val="1"/>
          <w:color w:val="auto"/>
        </w:rPr>
        <w:t>ContextLogic Inc.</w:t>
      </w:r>
    </w:p>
    <w:p>
      <w:pPr>
        <w:spacing w:after="0" w:line="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tbl>
      <w:tblPr>
        <w:tblLayout w:type="fixed"/>
        <w:tblInd w:w="1480" w:type="dxa"/>
        <w:tblCellMar>
          <w:top w:w="0" w:type="dxa"/>
          <w:left w:w="0" w:type="dxa"/>
          <w:bottom w:w="0" w:type="dxa"/>
          <w:right w:w="0" w:type="dxa"/>
        </w:tblCellMar>
      </w:tblPr>
      <w:tr>
        <w:trPr>
          <w:trHeight w:val="221"/>
        </w:trPr>
        <w:tc>
          <w:tcPr>
            <w:tcW w:w="4520" w:type="dxa"/>
            <w:vAlign w:val="bottom"/>
          </w:tcPr>
          <w:p>
            <w:pPr>
              <w:jc w:val="center"/>
              <w:ind w:right="1764"/>
              <w:spacing w:after="0"/>
              <w:rPr>
                <w:sz w:val="20"/>
                <w:szCs w:val="20"/>
                <w:color w:val="auto"/>
              </w:rPr>
            </w:pPr>
            <w:r>
              <w:rPr>
                <w:rFonts w:ascii="Arial" w:cs="Arial" w:eastAsia="Arial" w:hAnsi="Arial"/>
                <w:sz w:val="16"/>
                <w:szCs w:val="16"/>
                <w:b w:val="1"/>
                <w:bCs w:val="1"/>
                <w:color w:val="auto"/>
              </w:rPr>
              <w:t>Delaware</w:t>
            </w:r>
          </w:p>
        </w:tc>
        <w:tc>
          <w:tcPr>
            <w:tcW w:w="3040" w:type="dxa"/>
            <w:vAlign w:val="bottom"/>
          </w:tcPr>
          <w:p>
            <w:pPr>
              <w:jc w:val="right"/>
              <w:ind w:right="104"/>
              <w:spacing w:after="0"/>
              <w:rPr>
                <w:sz w:val="20"/>
                <w:szCs w:val="20"/>
                <w:color w:val="auto"/>
              </w:rPr>
            </w:pPr>
            <w:r>
              <w:rPr>
                <w:rFonts w:ascii="Arial" w:cs="Arial" w:eastAsia="Arial" w:hAnsi="Arial"/>
                <w:sz w:val="16"/>
                <w:szCs w:val="16"/>
                <w:b w:val="1"/>
                <w:bCs w:val="1"/>
                <w:color w:val="auto"/>
              </w:rPr>
              <w:t>27-2930953</w:t>
            </w:r>
          </w:p>
        </w:tc>
      </w:tr>
      <w:tr>
        <w:trPr>
          <w:trHeight w:val="162"/>
        </w:trPr>
        <w:tc>
          <w:tcPr>
            <w:tcW w:w="4520" w:type="dxa"/>
            <w:vAlign w:val="bottom"/>
          </w:tcPr>
          <w:p>
            <w:pPr>
              <w:jc w:val="center"/>
              <w:ind w:right="1784"/>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520" w:type="dxa"/>
            <w:vAlign w:val="bottom"/>
          </w:tcPr>
          <w:p>
            <w:pPr>
              <w:jc w:val="center"/>
              <w:ind w:right="1784"/>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Identification No.)</w:t>
            </w:r>
          </w:p>
        </w:tc>
      </w:tr>
      <w:tr>
        <w:trPr>
          <w:trHeight w:val="240"/>
        </w:trPr>
        <w:tc>
          <w:tcPr>
            <w:tcW w:w="4520" w:type="dxa"/>
            <w:vAlign w:val="bottom"/>
          </w:tcPr>
          <w:p>
            <w:pPr>
              <w:jc w:val="center"/>
              <w:ind w:right="1784"/>
              <w:spacing w:after="0"/>
              <w:rPr>
                <w:sz w:val="20"/>
                <w:szCs w:val="20"/>
                <w:color w:val="auto"/>
              </w:rPr>
            </w:pPr>
            <w:r>
              <w:rPr>
                <w:rFonts w:ascii="Arial" w:cs="Arial" w:eastAsia="Arial" w:hAnsi="Arial"/>
                <w:sz w:val="16"/>
                <w:szCs w:val="16"/>
                <w:b w:val="1"/>
                <w:bCs w:val="1"/>
                <w:color w:val="auto"/>
              </w:rPr>
              <w:t>One Sansome Street 33rd Floor</w:t>
            </w:r>
          </w:p>
        </w:tc>
        <w:tc>
          <w:tcPr>
            <w:tcW w:w="3040" w:type="dxa"/>
            <w:vAlign w:val="bottom"/>
          </w:tcPr>
          <w:p>
            <w:pPr>
              <w:spacing w:after="0"/>
              <w:rPr>
                <w:sz w:val="20"/>
                <w:szCs w:val="20"/>
                <w:color w:val="auto"/>
              </w:rPr>
            </w:pPr>
          </w:p>
        </w:tc>
      </w:tr>
      <w:tr>
        <w:trPr>
          <w:trHeight w:val="221"/>
        </w:trPr>
        <w:tc>
          <w:tcPr>
            <w:tcW w:w="4520" w:type="dxa"/>
            <w:vAlign w:val="bottom"/>
          </w:tcPr>
          <w:p>
            <w:pPr>
              <w:jc w:val="center"/>
              <w:ind w:right="1764"/>
              <w:spacing w:after="0"/>
              <w:rPr>
                <w:sz w:val="20"/>
                <w:szCs w:val="20"/>
                <w:color w:val="auto"/>
              </w:rPr>
            </w:pPr>
            <w:r>
              <w:rPr>
                <w:rFonts w:ascii="Arial" w:cs="Arial" w:eastAsia="Arial" w:hAnsi="Arial"/>
                <w:sz w:val="16"/>
                <w:szCs w:val="16"/>
                <w:b w:val="1"/>
                <w:bCs w:val="1"/>
                <w:color w:val="auto"/>
              </w:rPr>
              <w:t>San Francisco, CA</w:t>
            </w:r>
          </w:p>
        </w:tc>
        <w:tc>
          <w:tcPr>
            <w:tcW w:w="3040" w:type="dxa"/>
            <w:vAlign w:val="bottom"/>
          </w:tcPr>
          <w:p>
            <w:pPr>
              <w:jc w:val="right"/>
              <w:ind w:right="304"/>
              <w:spacing w:after="0"/>
              <w:rPr>
                <w:sz w:val="20"/>
                <w:szCs w:val="20"/>
                <w:color w:val="auto"/>
              </w:rPr>
            </w:pPr>
            <w:r>
              <w:rPr>
                <w:rFonts w:ascii="Arial" w:cs="Arial" w:eastAsia="Arial" w:hAnsi="Arial"/>
                <w:sz w:val="16"/>
                <w:szCs w:val="16"/>
                <w:b w:val="1"/>
                <w:bCs w:val="1"/>
                <w:color w:val="auto"/>
              </w:rPr>
              <w:t>94104</w:t>
            </w:r>
          </w:p>
        </w:tc>
      </w:tr>
      <w:tr>
        <w:trPr>
          <w:trHeight w:val="200"/>
        </w:trPr>
        <w:tc>
          <w:tcPr>
            <w:tcW w:w="4520" w:type="dxa"/>
            <w:vAlign w:val="bottom"/>
          </w:tcPr>
          <w:p>
            <w:pPr>
              <w:jc w:val="center"/>
              <w:ind w:right="1764"/>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(Zip Code)</w:t>
            </w:r>
          </w:p>
        </w:tc>
      </w:tr>
    </w:tbl>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(415) 432-7323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90"/>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224"/>
              <w:spacing w:after="0"/>
              <w:rPr>
                <w:sz w:val="20"/>
                <w:szCs w:val="20"/>
                <w:color w:val="auto"/>
              </w:rPr>
            </w:pPr>
            <w:r>
              <w:rPr>
                <w:rFonts w:ascii="Arial" w:cs="Arial" w:eastAsia="Arial" w:hAnsi="Arial"/>
                <w:sz w:val="16"/>
                <w:szCs w:val="16"/>
                <w:b w:val="1"/>
                <w:bCs w:val="1"/>
                <w:color w:val="auto"/>
                <w:w w:val="99"/>
              </w:rPr>
              <w:t>Trading Symbol(s)</w:t>
            </w:r>
          </w:p>
        </w:tc>
        <w:tc>
          <w:tcPr>
            <w:tcW w:w="10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4"/>
        </w:trPr>
        <w:tc>
          <w:tcPr>
            <w:tcW w:w="4820" w:type="dxa"/>
            <w:vAlign w:val="bottom"/>
            <w:gridSpan w:val="3"/>
          </w:tcPr>
          <w:p>
            <w:pPr>
              <w:jc w:val="center"/>
              <w:ind w:right="420"/>
              <w:spacing w:after="0"/>
              <w:rPr>
                <w:sz w:val="20"/>
                <w:szCs w:val="20"/>
                <w:color w:val="auto"/>
              </w:rPr>
            </w:pPr>
            <w:r>
              <w:rPr>
                <w:rFonts w:ascii="Arial" w:cs="Arial" w:eastAsia="Arial" w:hAnsi="Arial"/>
                <w:sz w:val="14"/>
                <w:szCs w:val="14"/>
                <w:color w:val="auto"/>
              </w:rPr>
              <w:t>Class A Common Stock, $0.0001 par value</w:t>
            </w:r>
          </w:p>
        </w:tc>
        <w:tc>
          <w:tcPr>
            <w:tcW w:w="1940" w:type="dxa"/>
            <w:vAlign w:val="bottom"/>
          </w:tcPr>
          <w:p>
            <w:pPr>
              <w:jc w:val="center"/>
              <w:ind w:right="244"/>
              <w:spacing w:after="0"/>
              <w:rPr>
                <w:sz w:val="20"/>
                <w:szCs w:val="20"/>
                <w:color w:val="auto"/>
              </w:rPr>
            </w:pPr>
            <w:r>
              <w:rPr>
                <w:rFonts w:ascii="Arial" w:cs="Arial" w:eastAsia="Arial" w:hAnsi="Arial"/>
                <w:sz w:val="14"/>
                <w:szCs w:val="14"/>
                <w:color w:val="auto"/>
              </w:rPr>
              <w:t>WISH</w:t>
            </w: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56" w:lineRule="exact"/>
        <w:rPr>
          <w:sz w:val="24"/>
          <w:szCs w:val="24"/>
          <w:color w:val="auto"/>
        </w:rPr>
      </w:pPr>
    </w:p>
    <w:p>
      <w:pPr>
        <w:jc w:val="both"/>
        <w:ind w:right="40" w:firstLine="599"/>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jc w:val="both"/>
        <w:ind w:right="40" w:firstLine="599"/>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jc w:val="both"/>
        <w:ind w:right="40"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1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64" w:lineRule="exact"/>
        <w:rPr>
          <w:sz w:val="24"/>
          <w:szCs w:val="24"/>
          <w:color w:val="auto"/>
        </w:rPr>
      </w:pPr>
    </w:p>
    <w:p>
      <w:pPr>
        <w:ind w:right="60" w:firstLine="599"/>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1280"/>
        <w:spacing w:after="0" w:line="25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2023, the number of shares of the registrant’s Class A common stock outstanding was 24,009 thousand.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81"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300" w:type="dxa"/>
            <w:vAlign w:val="bottom"/>
            <w:gridSpan w:val="17"/>
            <w:vMerge w:val="restart"/>
          </w:tcPr>
          <w:p>
            <w:pPr>
              <w:spacing w:after="0"/>
              <w:rPr>
                <w:sz w:val="20"/>
                <w:szCs w:val="20"/>
                <w:color w:val="auto"/>
              </w:rPr>
            </w:pPr>
            <w:r>
              <w:rPr>
                <w:rFonts w:ascii="Arial" w:cs="Arial" w:eastAsia="Arial" w:hAnsi="Arial"/>
                <w:sz w:val="18"/>
                <w:szCs w:val="18"/>
                <w:b w:val="1"/>
                <w:bCs w:val="1"/>
                <w:color w:val="0563C1"/>
              </w:rPr>
              <w:t>Special Note Regarding Forward-Looking Statements</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560" w:type="dxa"/>
            <w:vAlign w:val="bottom"/>
            <w:tcBorders>
              <w:top w:val="single" w:sz="8" w:color="0563C1"/>
            </w:tcBorders>
            <w:gridSpan w:val="10"/>
          </w:tcPr>
          <w:p>
            <w:pPr>
              <w:spacing w:after="0" w:line="196" w:lineRule="exact"/>
              <w:rPr>
                <w:sz w:val="20"/>
                <w:szCs w:val="20"/>
                <w:color w:val="auto"/>
              </w:rPr>
            </w:pPr>
            <w:r>
              <w:rPr>
                <w:rFonts w:ascii="Arial" w:cs="Arial" w:eastAsia="Arial" w:hAnsi="Arial"/>
                <w:sz w:val="18"/>
                <w:szCs w:val="18"/>
                <w:color w:val="0563C1"/>
              </w:rPr>
              <w:t>FINANCIAL INFORMATION</w:t>
            </w:r>
          </w:p>
        </w:tc>
        <w:tc>
          <w:tcPr>
            <w:tcW w:w="474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line="196" w:lineRule="exact"/>
              <w:rPr>
                <w:sz w:val="20"/>
                <w:szCs w:val="20"/>
                <w:color w:val="auto"/>
              </w:rPr>
            </w:pPr>
            <w:r>
              <w:rPr>
                <w:rFonts w:ascii="Arial" w:cs="Arial" w:eastAsia="Arial" w:hAnsi="Arial"/>
                <w:sz w:val="18"/>
                <w:szCs w:val="18"/>
                <w:color w:val="0563C1"/>
              </w:rPr>
              <w:t>Condensed Consolidated Financial Statements (Unaudited)</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tcBorders>
              <w:top w:val="single" w:sz="8" w:color="0563C1"/>
              <w:bottom w:val="single" w:sz="8" w:color="0563C1"/>
            </w:tcBorders>
            <w:gridSpan w:val="7"/>
          </w:tcPr>
          <w:p>
            <w:pPr>
              <w:spacing w:after="0" w:line="196" w:lineRule="exact"/>
              <w:rPr>
                <w:sz w:val="20"/>
                <w:szCs w:val="20"/>
                <w:color w:val="auto"/>
              </w:rPr>
            </w:pPr>
            <w:r>
              <w:rPr>
                <w:rFonts w:ascii="Arial" w:cs="Arial" w:eastAsia="Arial" w:hAnsi="Arial"/>
                <w:sz w:val="18"/>
                <w:szCs w:val="18"/>
                <w:color w:val="0563C1"/>
                <w:w w:val="99"/>
              </w:rPr>
              <w:t>Condensed Consolidated Balance Sheets</w:t>
            </w:r>
          </w:p>
        </w:tc>
        <w:tc>
          <w:tcPr>
            <w:tcW w:w="1400" w:type="dxa"/>
            <w:vAlign w:val="bottom"/>
            <w:tcBorders>
              <w:top w:val="single" w:sz="8" w:color="0563C1"/>
            </w:tcBorders>
            <w:gridSpan w:val="5"/>
          </w:tcPr>
          <w:p>
            <w:pPr>
              <w:spacing w:after="0"/>
              <w:rPr>
                <w:sz w:val="17"/>
                <w:szCs w:val="17"/>
                <w:color w:val="auto"/>
              </w:rPr>
            </w:pPr>
          </w:p>
        </w:tc>
        <w:tc>
          <w:tcPr>
            <w:tcW w:w="45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20" w:type="dxa"/>
            <w:vAlign w:val="bottom"/>
            <w:tcBorders>
              <w:bottom w:val="single" w:sz="8" w:color="0563C1"/>
            </w:tcBorders>
            <w:gridSpan w:val="8"/>
          </w:tcPr>
          <w:p>
            <w:pPr>
              <w:spacing w:after="0" w:line="196" w:lineRule="exact"/>
              <w:rPr>
                <w:sz w:val="20"/>
                <w:szCs w:val="20"/>
                <w:color w:val="auto"/>
              </w:rPr>
            </w:pPr>
            <w:r>
              <w:rPr>
                <w:rFonts w:ascii="Arial" w:cs="Arial" w:eastAsia="Arial" w:hAnsi="Arial"/>
                <w:sz w:val="18"/>
                <w:szCs w:val="18"/>
                <w:color w:val="0563C1"/>
                <w:w w:val="99"/>
              </w:rPr>
              <w:t>Condensed Consolidated Statements of Operations</w:t>
            </w:r>
          </w:p>
        </w:tc>
        <w:tc>
          <w:tcPr>
            <w:tcW w:w="518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Arial" w:cs="Arial" w:eastAsia="Arial" w:hAnsi="Arial"/>
                <w:sz w:val="18"/>
                <w:szCs w:val="18"/>
                <w:color w:val="0563C1"/>
              </w:rPr>
              <w:t>Condensed Consolidated Statements of Comprehensive Loss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20" w:type="dxa"/>
            <w:vAlign w:val="bottom"/>
            <w:tcBorders>
              <w:top w:val="single" w:sz="8" w:color="0563C1"/>
            </w:tcBorders>
            <w:gridSpan w:val="14"/>
          </w:tcPr>
          <w:p>
            <w:pPr>
              <w:spacing w:after="0" w:line="196" w:lineRule="exact"/>
              <w:rPr>
                <w:sz w:val="20"/>
                <w:szCs w:val="20"/>
                <w:color w:val="auto"/>
              </w:rPr>
            </w:pPr>
            <w:r>
              <w:rPr>
                <w:rFonts w:ascii="Arial" w:cs="Arial" w:eastAsia="Arial" w:hAnsi="Arial"/>
                <w:sz w:val="18"/>
                <w:szCs w:val="18"/>
                <w:color w:val="0563C1"/>
              </w:rPr>
              <w:t>Condensed Consolidated Statements of Stockholders’ Equity</w:t>
            </w:r>
          </w:p>
        </w:tc>
        <w:tc>
          <w:tcPr>
            <w:tcW w:w="43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80" w:type="dxa"/>
            <w:vAlign w:val="bottom"/>
            <w:tcBorders>
              <w:top w:val="single" w:sz="8" w:color="0563C1"/>
              <w:bottom w:val="single" w:sz="8" w:color="0563C1"/>
            </w:tcBorders>
            <w:gridSpan w:val="9"/>
          </w:tcPr>
          <w:p>
            <w:pPr>
              <w:spacing w:after="0" w:line="196" w:lineRule="exact"/>
              <w:rPr>
                <w:sz w:val="20"/>
                <w:szCs w:val="20"/>
                <w:color w:val="auto"/>
              </w:rPr>
            </w:pPr>
            <w:r>
              <w:rPr>
                <w:rFonts w:ascii="Arial" w:cs="Arial" w:eastAsia="Arial" w:hAnsi="Arial"/>
                <w:sz w:val="18"/>
                <w:szCs w:val="18"/>
                <w:color w:val="0563C1"/>
                <w:w w:val="99"/>
              </w:rPr>
              <w:t>Condensed Consolidated Statements of Cash Flows</w:t>
            </w:r>
          </w:p>
        </w:tc>
        <w:tc>
          <w:tcPr>
            <w:tcW w:w="680" w:type="dxa"/>
            <w:vAlign w:val="bottom"/>
            <w:tcBorders>
              <w:top w:val="single" w:sz="8" w:color="0563C1"/>
            </w:tcBorders>
            <w:gridSpan w:val="4"/>
          </w:tcPr>
          <w:p>
            <w:pPr>
              <w:spacing w:after="0"/>
              <w:rPr>
                <w:sz w:val="17"/>
                <w:szCs w:val="17"/>
                <w:color w:val="auto"/>
              </w:rPr>
            </w:pPr>
          </w:p>
        </w:tc>
        <w:tc>
          <w:tcPr>
            <w:tcW w:w="44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360" w:type="dxa"/>
            <w:vAlign w:val="bottom"/>
            <w:tcBorders>
              <w:bottom w:val="single" w:sz="8" w:color="0563C1"/>
            </w:tcBorders>
            <w:gridSpan w:val="15"/>
          </w:tcPr>
          <w:p>
            <w:pPr>
              <w:spacing w:after="0" w:line="196" w:lineRule="exact"/>
              <w:rPr>
                <w:sz w:val="20"/>
                <w:szCs w:val="20"/>
                <w:color w:val="auto"/>
              </w:rPr>
            </w:pPr>
            <w:r>
              <w:rPr>
                <w:rFonts w:ascii="Arial" w:cs="Arial" w:eastAsia="Arial" w:hAnsi="Arial"/>
                <w:sz w:val="18"/>
                <w:szCs w:val="18"/>
                <w:color w:val="0563C1"/>
                <w:w w:val="99"/>
              </w:rPr>
              <w:t>Notes to Unaudited Condensed Consolidated Financial Statements</w:t>
            </w:r>
          </w:p>
        </w:tc>
        <w:tc>
          <w:tcPr>
            <w:tcW w:w="394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17"/>
          </w:tcPr>
          <w:p>
            <w:pPr>
              <w:spacing w:after="0" w:line="196" w:lineRule="exact"/>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720" w:type="dxa"/>
            <w:vAlign w:val="bottom"/>
            <w:tcBorders>
              <w:top w:val="single" w:sz="8" w:color="0563C1"/>
              <w:bottom w:val="single" w:sz="8" w:color="0563C1"/>
            </w:tcBorders>
            <w:gridSpan w:val="11"/>
          </w:tcPr>
          <w:p>
            <w:pPr>
              <w:spacing w:after="0" w:line="196" w:lineRule="exact"/>
              <w:rPr>
                <w:sz w:val="20"/>
                <w:szCs w:val="20"/>
                <w:color w:val="auto"/>
              </w:rPr>
            </w:pPr>
            <w:r>
              <w:rPr>
                <w:rFonts w:ascii="Arial" w:cs="Arial" w:eastAsia="Arial" w:hAnsi="Arial"/>
                <w:sz w:val="18"/>
                <w:szCs w:val="18"/>
                <w:color w:val="0563C1"/>
                <w:w w:val="99"/>
              </w:rPr>
              <w:t>Quantitative and Qualitative Disclosures About Market Risk</w:t>
            </w:r>
          </w:p>
        </w:tc>
        <w:tc>
          <w:tcPr>
            <w:tcW w:w="2360" w:type="dxa"/>
            <w:vAlign w:val="bottom"/>
            <w:tcBorders>
              <w:top w:val="single" w:sz="8" w:color="0563C1"/>
            </w:tcBorders>
            <w:gridSpan w:val="5"/>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00" w:type="dxa"/>
            <w:vAlign w:val="bottom"/>
            <w:tcBorders>
              <w:bottom w:val="single" w:sz="8" w:color="0563C1"/>
            </w:tcBorders>
            <w:gridSpan w:val="5"/>
          </w:tcPr>
          <w:p>
            <w:pPr>
              <w:spacing w:after="0" w:line="196" w:lineRule="exact"/>
              <w:rPr>
                <w:sz w:val="20"/>
                <w:szCs w:val="20"/>
                <w:color w:val="auto"/>
              </w:rPr>
            </w:pPr>
            <w:r>
              <w:rPr>
                <w:rFonts w:ascii="Arial" w:cs="Arial" w:eastAsia="Arial" w:hAnsi="Arial"/>
                <w:sz w:val="18"/>
                <w:szCs w:val="18"/>
                <w:color w:val="0563C1"/>
                <w:w w:val="99"/>
              </w:rPr>
              <w:t>Controls and Procedures</w:t>
            </w:r>
          </w:p>
        </w:tc>
        <w:tc>
          <w:tcPr>
            <w:tcW w:w="730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563C1"/>
            </w:tcBorders>
            <w:gridSpan w:val="4"/>
          </w:tcPr>
          <w:p>
            <w:pPr>
              <w:spacing w:after="0" w:line="196" w:lineRule="exact"/>
              <w:rPr>
                <w:sz w:val="20"/>
                <w:szCs w:val="20"/>
                <w:color w:val="auto"/>
              </w:rPr>
            </w:pPr>
            <w:r>
              <w:rPr>
                <w:rFonts w:ascii="Arial" w:cs="Arial" w:eastAsia="Arial" w:hAnsi="Arial"/>
                <w:sz w:val="18"/>
                <w:szCs w:val="18"/>
                <w:color w:val="0563C1"/>
                <w:w w:val="98"/>
              </w:rPr>
              <w:t>OTHER INFORMATION</w:t>
            </w:r>
          </w:p>
        </w:tc>
        <w:tc>
          <w:tcPr>
            <w:tcW w:w="736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563C1"/>
            </w:tcBorders>
            <w:gridSpan w:val="3"/>
          </w:tcPr>
          <w:p>
            <w:pPr>
              <w:spacing w:after="0" w:line="196" w:lineRule="exact"/>
              <w:rPr>
                <w:sz w:val="20"/>
                <w:szCs w:val="20"/>
                <w:color w:val="auto"/>
              </w:rPr>
            </w:pPr>
            <w:r>
              <w:rPr>
                <w:rFonts w:ascii="Arial" w:cs="Arial" w:eastAsia="Arial" w:hAnsi="Arial"/>
                <w:sz w:val="18"/>
                <w:szCs w:val="18"/>
                <w:color w:val="0563C1"/>
                <w:w w:val="99"/>
              </w:rPr>
              <w:t>Legal Proceedings</w:t>
            </w:r>
          </w:p>
        </w:tc>
        <w:tc>
          <w:tcPr>
            <w:tcW w:w="780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17"/>
          </w:tcPr>
          <w:p>
            <w:pPr>
              <w:spacing w:after="0" w:line="196" w:lineRule="exact"/>
              <w:rPr>
                <w:sz w:val="20"/>
                <w:szCs w:val="20"/>
                <w:color w:val="auto"/>
              </w:rPr>
            </w:pPr>
            <w:r>
              <w:rPr>
                <w:rFonts w:ascii="Arial" w:cs="Arial" w:eastAsia="Arial" w:hAnsi="Arial"/>
                <w:sz w:val="18"/>
                <w:szCs w:val="18"/>
                <w:color w:val="0563C1"/>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00" w:type="dxa"/>
            <w:vAlign w:val="bottom"/>
            <w:tcBorders>
              <w:top w:val="single" w:sz="8" w:color="0563C1"/>
            </w:tcBorders>
            <w:gridSpan w:val="2"/>
          </w:tcPr>
          <w:p>
            <w:pPr>
              <w:spacing w:after="0" w:line="196" w:lineRule="exact"/>
              <w:rPr>
                <w:sz w:val="20"/>
                <w:szCs w:val="20"/>
                <w:color w:val="auto"/>
              </w:rPr>
            </w:pPr>
            <w:r>
              <w:rPr>
                <w:rFonts w:ascii="Arial" w:cs="Arial" w:eastAsia="Arial" w:hAnsi="Arial"/>
                <w:sz w:val="18"/>
                <w:szCs w:val="18"/>
                <w:color w:val="0563C1"/>
              </w:rPr>
              <w:t>Exhibits</w:t>
            </w:r>
          </w:p>
        </w:tc>
        <w:tc>
          <w:tcPr>
            <w:tcW w:w="830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0563C1"/>
              </w:rPr>
              <w:t>Signatures</w:t>
            </w:r>
          </w:p>
        </w:tc>
        <w:tc>
          <w:tcPr>
            <w:tcW w:w="640" w:type="dxa"/>
            <w:vAlign w:val="bottom"/>
            <w:tcBorders>
              <w:top w:val="single" w:sz="8" w:color="0563C1"/>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86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("Exchange Act"), which statements involve substantial risks and uncertainties. Forward-looking statements include all statements that are not historical facts such as information concerning our evaluation and pursuit of strategic alternatives, our possible or assumed future results of operations and expenses, new or planned features or services, management strategies and plans, competitive position, business environment and potential growth strategies and opportunities. In some cases, forward-looking statements can be identified by terms such as “anticipates,” “believes,” “could,” “estimates,” “expects,” “foresees,” “forecasts,” “intends,” “goals,” “may,” “might,” “outlook,” “plans,” “potential,” “predicts,” “projects,” “seeks,” “should,” “targets,” “will,” “would” or similar expressions and the negatives of those terms.</w:t>
      </w:r>
    </w:p>
    <w:p>
      <w:pPr>
        <w:spacing w:after="0" w:line="140"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if any, as well as in our condensed consolidated financial statements, related notes, and the other information appearing elsewhere in this Quarterly Report on Form 10-Q, our Annual Report on Form 10-K for the year ended December 31, 2022 and our other filings with the Securities and Exchange Commission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p>
    <w:p>
      <w:pPr>
        <w:spacing w:after="0" w:line="140"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including, but not limited to, statements regarding future financial performance; implementation and execution of business strategies, including turnaround efforts, restructuring plans, and reductions in force; implementation and execution of marketing and promotional strategies, including promotional events and rebrand efforts; the extent and impact of our announced share repurchase program; our future liquidity and operating expenditures; the impact of the 1-to-30 reverse stock split; compliance with Nasdaq continued listing requirements; financial condition and results of operations; our future market position, technological advances, and competitive changes in the marketplace; expected consumer behavior; the outcome of ongoing litigation; our expected tax rate; the effect of changes in or the application of new or revised tax laws; the effect of new accounting pronouncements;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39"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4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99"/>
        <w:spacing w:after="0" w:line="234" w:lineRule="auto"/>
        <w:rPr>
          <w:sz w:val="20"/>
          <w:szCs w:val="20"/>
          <w:color w:val="auto"/>
        </w:rPr>
      </w:pPr>
      <w:r>
        <w:rPr>
          <w:rFonts w:ascii="Arial" w:cs="Arial" w:eastAsia="Arial" w:hAnsi="Arial"/>
          <w:sz w:val="18"/>
          <w:szCs w:val="18"/>
          <w:b w:val="1"/>
          <w:bCs w:val="1"/>
          <w:color w:val="auto"/>
        </w:rPr>
        <w:t>($ in millions, shares in thousands, except par value)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 September 30,</w:t>
            </w:r>
          </w:p>
        </w:tc>
        <w:tc>
          <w:tcPr>
            <w:tcW w:w="160" w:type="dxa"/>
            <w:vAlign w:val="bottom"/>
          </w:tcPr>
          <w:p>
            <w:pPr>
              <w:spacing w:after="0"/>
              <w:rPr>
                <w:sz w:val="16"/>
                <w:szCs w:val="16"/>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189"/>
        </w:trPr>
        <w:tc>
          <w:tcPr>
            <w:tcW w:w="7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83"/>
        </w:trPr>
        <w:tc>
          <w:tcPr>
            <w:tcW w:w="72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FF0FC"/>
          </w:tcPr>
          <w:p>
            <w:pPr>
              <w:spacing w:after="0"/>
              <w:rPr>
                <w:sz w:val="16"/>
                <w:szCs w:val="16"/>
                <w:color w:val="auto"/>
              </w:rPr>
            </w:pPr>
          </w:p>
        </w:tc>
      </w:tr>
      <w:tr>
        <w:trPr>
          <w:trHeight w:val="189"/>
        </w:trPr>
        <w:tc>
          <w:tcPr>
            <w:tcW w:w="720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6"/>
                <w:szCs w:val="16"/>
                <w:color w:val="auto"/>
              </w:rPr>
            </w:pPr>
          </w:p>
        </w:tc>
      </w:tr>
      <w:tr>
        <w:trPr>
          <w:trHeight w:val="189"/>
        </w:trPr>
        <w:tc>
          <w:tcPr>
            <w:tcW w:w="7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Funds receivable</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FF0FC"/>
          </w:tcPr>
          <w:p>
            <w:pPr>
              <w:spacing w:after="0"/>
              <w:rPr>
                <w:sz w:val="16"/>
                <w:szCs w:val="16"/>
                <w:color w:val="auto"/>
              </w:rPr>
            </w:pPr>
          </w:p>
        </w:tc>
      </w:tr>
      <w:tr>
        <w:trPr>
          <w:trHeight w:val="189"/>
        </w:trPr>
        <w:tc>
          <w:tcPr>
            <w:tcW w:w="720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r>
      <w:tr>
        <w:trPr>
          <w:trHeight w:val="183"/>
        </w:trPr>
        <w:tc>
          <w:tcPr>
            <w:tcW w:w="72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w:t>
            </w:r>
          </w:p>
        </w:tc>
        <w:tc>
          <w:tcPr>
            <w:tcW w:w="120" w:type="dxa"/>
            <w:vAlign w:val="bottom"/>
            <w:shd w:val="clear" w:color="auto" w:fill="CFF0FC"/>
          </w:tcPr>
          <w:p>
            <w:pPr>
              <w:spacing w:after="0"/>
              <w:rPr>
                <w:sz w:val="15"/>
                <w:szCs w:val="15"/>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r>
      <w:tr>
        <w:trPr>
          <w:trHeight w:val="189"/>
        </w:trPr>
        <w:tc>
          <w:tcPr>
            <w:tcW w:w="7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Right-of-use assets</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FF0FC"/>
          </w:tcPr>
          <w:p>
            <w:pPr>
              <w:spacing w:after="0"/>
              <w:rPr>
                <w:sz w:val="16"/>
                <w:szCs w:val="16"/>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r>
      <w:tr>
        <w:trPr>
          <w:trHeight w:val="223"/>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69"/>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7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20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r>
      <w:tr>
        <w:trPr>
          <w:trHeight w:val="189"/>
        </w:trPr>
        <w:tc>
          <w:tcPr>
            <w:tcW w:w="7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Merchants payable</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FF0FC"/>
          </w:tcPr>
          <w:p>
            <w:pPr>
              <w:spacing w:after="0"/>
              <w:rPr>
                <w:sz w:val="16"/>
                <w:szCs w:val="16"/>
                <w:color w:val="auto"/>
              </w:rPr>
            </w:pPr>
          </w:p>
        </w:tc>
      </w:tr>
      <w:tr>
        <w:trPr>
          <w:trHeight w:val="189"/>
        </w:trPr>
        <w:tc>
          <w:tcPr>
            <w:tcW w:w="7200" w:type="dxa"/>
            <w:vAlign w:val="bottom"/>
          </w:tcPr>
          <w:p>
            <w:pPr>
              <w:ind w:left="200"/>
              <w:spacing w:after="0"/>
              <w:rPr>
                <w:sz w:val="20"/>
                <w:szCs w:val="20"/>
                <w:color w:val="auto"/>
              </w:rPr>
            </w:pPr>
            <w:r>
              <w:rPr>
                <w:rFonts w:ascii="Arial" w:cs="Arial" w:eastAsia="Arial" w:hAnsi="Arial"/>
                <w:sz w:val="14"/>
                <w:szCs w:val="14"/>
                <w:color w:val="auto"/>
              </w:rPr>
              <w:t>Refunds liability</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r>
      <w:tr>
        <w:trPr>
          <w:trHeight w:val="189"/>
        </w:trPr>
        <w:tc>
          <w:tcPr>
            <w:tcW w:w="7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Accrued liabilities</w:t>
            </w:r>
          </w:p>
        </w:tc>
        <w:tc>
          <w:tcPr>
            <w:tcW w:w="12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2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720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5"/>
                <w:szCs w:val="15"/>
                <w:color w:val="auto"/>
              </w:rPr>
            </w:pPr>
          </w:p>
        </w:tc>
      </w:tr>
      <w:tr>
        <w:trPr>
          <w:trHeight w:val="189"/>
        </w:trPr>
        <w:tc>
          <w:tcPr>
            <w:tcW w:w="7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 liabilities, non-current</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6"/>
                <w:szCs w:val="16"/>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83"/>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liabilities</w:t>
            </w: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200" w:type="dxa"/>
            <w:vAlign w:val="bottom"/>
          </w:tcPr>
          <w:p>
            <w:pPr>
              <w:ind w:left="20"/>
              <w:spacing w:after="0"/>
              <w:rPr>
                <w:sz w:val="20"/>
                <w:szCs w:val="20"/>
                <w:color w:val="auto"/>
              </w:rPr>
            </w:pPr>
            <w:r>
              <w:rPr>
                <w:rFonts w:ascii="Arial" w:cs="Arial" w:eastAsia="Arial" w:hAnsi="Arial"/>
                <w:sz w:val="14"/>
                <w:szCs w:val="14"/>
                <w:color w:val="auto"/>
              </w:rPr>
              <w:t>Commitments and contingencies (Note 7)</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70"/>
        </w:trPr>
        <w:tc>
          <w:tcPr>
            <w:tcW w:w="7200" w:type="dxa"/>
            <w:vAlign w:val="bottom"/>
          </w:tcPr>
          <w:p>
            <w:pPr>
              <w:ind w:left="200"/>
              <w:spacing w:after="0"/>
              <w:rPr>
                <w:sz w:val="20"/>
                <w:szCs w:val="20"/>
                <w:color w:val="auto"/>
              </w:rPr>
            </w:pPr>
            <w:r>
              <w:rPr>
                <w:rFonts w:ascii="Arial" w:cs="Arial" w:eastAsia="Arial" w:hAnsi="Arial"/>
                <w:sz w:val="14"/>
                <w:szCs w:val="14"/>
                <w:color w:val="auto"/>
              </w:rPr>
              <w:t>Preferred stock, $0.0001 par value: 100,000 shares authorized as of September 30, 2023 and December</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1"/>
        </w:trPr>
        <w:tc>
          <w:tcPr>
            <w:tcW w:w="7200" w:type="dxa"/>
            <w:vAlign w:val="bottom"/>
          </w:tcPr>
          <w:p>
            <w:pPr>
              <w:ind w:left="200"/>
              <w:spacing w:after="0"/>
              <w:rPr>
                <w:sz w:val="20"/>
                <w:szCs w:val="20"/>
                <w:color w:val="auto"/>
              </w:rPr>
            </w:pPr>
            <w:r>
              <w:rPr>
                <w:rFonts w:ascii="Arial" w:cs="Arial" w:eastAsia="Arial" w:hAnsi="Arial"/>
                <w:sz w:val="14"/>
                <w:szCs w:val="14"/>
                <w:color w:val="auto"/>
              </w:rPr>
              <w:t>31, 2022; No shares issued and outstanding as of September 30, 2023 and December 31, 2022</w:t>
            </w:r>
          </w:p>
        </w:tc>
        <w:tc>
          <w:tcPr>
            <w:tcW w:w="120" w:type="dxa"/>
            <w:vAlign w:val="bottom"/>
          </w:tcPr>
          <w:p>
            <w:pPr>
              <w:spacing w:after="0"/>
              <w:rPr>
                <w:sz w:val="15"/>
                <w:szCs w:val="15"/>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70"/>
        </w:trPr>
        <w:tc>
          <w:tcPr>
            <w:tcW w:w="7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 $0.0001 par value: 3,000,000 shares authorized as of September 30, 2023 and December</w:t>
            </w:r>
          </w:p>
        </w:tc>
        <w:tc>
          <w:tcPr>
            <w:tcW w:w="1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31, 2022; 24,007 and 23,164 shares issued and outstanding as of September 30, 2023 and December 31,</w:t>
            </w:r>
          </w:p>
        </w:tc>
        <w:tc>
          <w:tcPr>
            <w:tcW w:w="1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1"/>
        </w:trPr>
        <w:tc>
          <w:tcPr>
            <w:tcW w:w="7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2022, respectively</w:t>
            </w:r>
          </w:p>
        </w:tc>
        <w:tc>
          <w:tcPr>
            <w:tcW w:w="12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203"/>
        </w:trPr>
        <w:tc>
          <w:tcPr>
            <w:tcW w:w="720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3,460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3,411</w:t>
            </w:r>
          </w:p>
        </w:tc>
        <w:tc>
          <w:tcPr>
            <w:tcW w:w="120" w:type="dxa"/>
            <w:vAlign w:val="bottom"/>
          </w:tcPr>
          <w:p>
            <w:pPr>
              <w:spacing w:after="0"/>
              <w:rPr>
                <w:sz w:val="17"/>
                <w:szCs w:val="17"/>
                <w:color w:val="auto"/>
              </w:rPr>
            </w:pPr>
          </w:p>
        </w:tc>
      </w:tr>
      <w:tr>
        <w:trPr>
          <w:trHeight w:val="203"/>
        </w:trPr>
        <w:tc>
          <w:tcPr>
            <w:tcW w:w="7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(10 )</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(5 )</w:t>
            </w:r>
          </w:p>
        </w:tc>
      </w:tr>
      <w:tr>
        <w:trPr>
          <w:trHeight w:val="189"/>
        </w:trPr>
        <w:tc>
          <w:tcPr>
            <w:tcW w:w="720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6"/>
                <w:szCs w:val="16"/>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4"/>
                <w:szCs w:val="14"/>
                <w:color w:val="auto"/>
              </w:rPr>
              <w:t>(3,178 )</w:t>
            </w:r>
          </w:p>
        </w:tc>
        <w:tc>
          <w:tcPr>
            <w:tcW w:w="160" w:type="dxa"/>
            <w:vAlign w:val="bottom"/>
          </w:tcPr>
          <w:p>
            <w:pPr>
              <w:spacing w:after="0"/>
              <w:rPr>
                <w:sz w:val="16"/>
                <w:szCs w:val="16"/>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(2,929 )</w:t>
            </w:r>
          </w:p>
        </w:tc>
      </w:tr>
      <w:tr>
        <w:trPr>
          <w:trHeight w:val="183"/>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477</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20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2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15"/>
                <w:szCs w:val="15"/>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-2708275</wp:posOffset>
            </wp:positionV>
            <wp:extent cx="135445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4455" cy="1454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-1962150</wp:posOffset>
            </wp:positionV>
            <wp:extent cx="6858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-1962150</wp:posOffset>
            </wp:positionV>
            <wp:extent cx="6858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-1464945</wp:posOffset>
            </wp:positionV>
            <wp:extent cx="685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-1464945</wp:posOffset>
            </wp:positionV>
            <wp:extent cx="6858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-153670</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OPERATIONS</w:t>
      </w:r>
    </w:p>
    <w:p>
      <w:pPr>
        <w:ind w:left="3140"/>
        <w:spacing w:after="0" w:line="234" w:lineRule="auto"/>
        <w:rPr>
          <w:sz w:val="20"/>
          <w:szCs w:val="20"/>
          <w:color w:val="auto"/>
        </w:rPr>
      </w:pPr>
      <w:r>
        <w:rPr>
          <w:rFonts w:ascii="Arial" w:cs="Arial" w:eastAsia="Arial" w:hAnsi="Arial"/>
          <w:sz w:val="18"/>
          <w:szCs w:val="18"/>
          <w:b w:val="1"/>
          <w:bCs w:val="1"/>
          <w:color w:val="auto"/>
        </w:rPr>
        <w:t>($ in millions, shares in thousands, except per share data)</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1"/>
        </w:trPr>
        <w:tc>
          <w:tcPr>
            <w:tcW w:w="5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9"/>
                <w:szCs w:val="19"/>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00"/>
              <w:spacing w:after="0"/>
              <w:rPr>
                <w:sz w:val="20"/>
                <w:szCs w:val="20"/>
                <w:color w:val="auto"/>
              </w:rPr>
            </w:pPr>
            <w:r>
              <w:rPr>
                <w:rFonts w:ascii="Arial" w:cs="Arial" w:eastAsia="Arial" w:hAnsi="Arial"/>
                <w:sz w:val="16"/>
                <w:szCs w:val="16"/>
                <w:color w:val="auto"/>
              </w:rPr>
              <w:t>Product development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(80 )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(128 )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(256 )</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(281 )</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and other income, net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(77 )</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(122 )</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(243 )</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(271 )</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(80 )</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(124 )</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(249 )</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(274 )</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share, basic and diluted</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(3.35 )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(5.53 )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(10.55 )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(12.32 )</w:t>
            </w:r>
          </w:p>
        </w:tc>
        <w:tc>
          <w:tcPr>
            <w:tcW w:w="0" w:type="dxa"/>
            <w:vAlign w:val="bottom"/>
          </w:tcPr>
          <w:p>
            <w:pPr>
              <w:spacing w:after="0"/>
              <w:rPr>
                <w:sz w:val="1"/>
                <w:szCs w:val="1"/>
                <w:color w:val="auto"/>
              </w:rPr>
            </w:pPr>
          </w:p>
        </w:tc>
      </w:tr>
      <w:tr>
        <w:trPr>
          <w:trHeight w:val="176"/>
        </w:trPr>
        <w:tc>
          <w:tcPr>
            <w:tcW w:w="5840" w:type="dxa"/>
            <w:vAlign w:val="bottom"/>
            <w:tcBorders>
              <w:top w:val="single" w:sz="8" w:color="CFF0FC"/>
            </w:tcBorders>
          </w:tcPr>
          <w:p>
            <w:pPr>
              <w:ind w:left="20"/>
              <w:spacing w:after="0" w:line="176" w:lineRule="exact"/>
              <w:rPr>
                <w:sz w:val="20"/>
                <w:szCs w:val="20"/>
                <w:color w:val="auto"/>
              </w:rPr>
            </w:pPr>
            <w:r>
              <w:rPr>
                <w:rFonts w:ascii="Arial" w:cs="Arial" w:eastAsia="Arial" w:hAnsi="Arial"/>
                <w:sz w:val="16"/>
                <w:szCs w:val="16"/>
                <w:color w:val="auto"/>
              </w:rPr>
              <w:t>Weighted-average shares used in computing net loss per share, basic and</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23,897</w:t>
            </w: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22,435</w:t>
            </w: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23,601</w:t>
            </w: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22,243</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840" w:type="dxa"/>
            <w:vAlign w:val="bottom"/>
          </w:tcPr>
          <w:p>
            <w:pPr>
              <w:ind w:left="20"/>
              <w:spacing w:after="0" w:line="172" w:lineRule="exact"/>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-1439545</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-1439545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-1439545</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-873760</wp:posOffset>
            </wp:positionV>
            <wp:extent cx="6858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-873760</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-873760</wp:posOffset>
            </wp:positionV>
            <wp:extent cx="685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-591185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-591185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-591185</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-282575</wp:posOffset>
            </wp:positionV>
            <wp:extent cx="2691765" cy="283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91765" cy="28321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1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Nine Months Ended</w:t>
            </w:r>
          </w:p>
        </w:tc>
      </w:tr>
      <w:tr>
        <w:trPr>
          <w:trHeight w:val="221"/>
        </w:trPr>
        <w:tc>
          <w:tcPr>
            <w:tcW w:w="5860" w:type="dxa"/>
            <w:vAlign w:val="bottom"/>
          </w:tcPr>
          <w:p>
            <w:pPr>
              <w:spacing w:after="0"/>
              <w:rPr>
                <w:sz w:val="19"/>
                <w:szCs w:val="19"/>
                <w:color w:val="auto"/>
              </w:rPr>
            </w:pPr>
          </w:p>
        </w:tc>
        <w:tc>
          <w:tcPr>
            <w:tcW w:w="21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8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20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(80 )</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(124 )</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(249 )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(274 )</w:t>
            </w: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holding gains (losses) on derivatives and marketable securities,</w:t>
            </w:r>
          </w:p>
        </w:tc>
        <w:tc>
          <w:tcPr>
            <w:tcW w:w="8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3"/>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of tax</w:t>
            </w: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(1 )</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(5 )</w:t>
            </w:r>
          </w:p>
        </w:tc>
      </w:tr>
      <w:tr>
        <w:trPr>
          <w:trHeight w:val="213"/>
        </w:trPr>
        <w:tc>
          <w:tcPr>
            <w:tcW w:w="58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(5 )</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(4 )</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r>
      <w:tr>
        <w:trPr>
          <w:trHeight w:val="20"/>
        </w:trPr>
        <w:tc>
          <w:tcPr>
            <w:tcW w:w="5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(77 )</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(129 )</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(254 )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(288 )</w:t>
            </w: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-25400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 in millions, shares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Three Months Ended September 30, 2023</w:t>
            </w: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3400" w:type="dxa"/>
            <w:vAlign w:val="bottom"/>
          </w:tcPr>
          <w:p>
            <w:pPr>
              <w:spacing w:after="0"/>
              <w:rPr>
                <w:sz w:val="15"/>
                <w:szCs w:val="15"/>
                <w:color w:val="auto"/>
              </w:rPr>
            </w:pPr>
          </w:p>
        </w:tc>
        <w:tc>
          <w:tcPr>
            <w:tcW w:w="20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44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5"/>
              </w:rPr>
              <w:t>Total</w:t>
            </w:r>
          </w:p>
        </w:tc>
      </w:tr>
      <w:tr>
        <w:trPr>
          <w:trHeight w:val="162"/>
        </w:trPr>
        <w:tc>
          <w:tcPr>
            <w:tcW w:w="3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Comprehensive</w:t>
            </w: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Stockholders'</w:t>
            </w:r>
          </w:p>
        </w:tc>
      </w:tr>
      <w:tr>
        <w:trPr>
          <w:trHeight w:val="189"/>
        </w:trPr>
        <w:tc>
          <w:tcPr>
            <w:tcW w:w="3400" w:type="dxa"/>
            <w:vAlign w:val="bottom"/>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r>
      <w:tr>
        <w:trPr>
          <w:trHeight w:val="183"/>
        </w:trPr>
        <w:tc>
          <w:tcPr>
            <w:tcW w:w="3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June 30, 2023</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23,781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ind w:left="620"/>
              <w:spacing w:after="0"/>
              <w:rPr>
                <w:sz w:val="20"/>
                <w:szCs w:val="20"/>
                <w:color w:val="auto"/>
              </w:rPr>
            </w:pPr>
            <w:r>
              <w:rPr>
                <w:rFonts w:ascii="Arial" w:cs="Arial" w:eastAsia="Arial" w:hAnsi="Arial"/>
                <w:sz w:val="14"/>
                <w:szCs w:val="14"/>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(3,098 )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FF0FC"/>
          </w:tcPr>
          <w:p>
            <w:pPr>
              <w:spacing w:after="0"/>
              <w:rPr>
                <w:sz w:val="15"/>
                <w:szCs w:val="15"/>
                <w:color w:val="auto"/>
              </w:rPr>
            </w:pPr>
          </w:p>
        </w:tc>
      </w:tr>
      <w:tr>
        <w:trPr>
          <w:trHeight w:val="170"/>
        </w:trPr>
        <w:tc>
          <w:tcPr>
            <w:tcW w:w="3400" w:type="dxa"/>
            <w:vAlign w:val="bottom"/>
          </w:tcPr>
          <w:p>
            <w:pPr>
              <w:ind w:left="200"/>
              <w:spacing w:after="0"/>
              <w:rPr>
                <w:sz w:val="20"/>
                <w:szCs w:val="20"/>
                <w:color w:val="auto"/>
              </w:rPr>
            </w:pPr>
            <w:r>
              <w:rPr>
                <w:rFonts w:ascii="Arial" w:cs="Arial" w:eastAsia="Arial" w:hAnsi="Arial"/>
                <w:sz w:val="14"/>
                <w:szCs w:val="14"/>
                <w:color w:val="auto"/>
              </w:rPr>
              <w:t>Fractional shares issued due to reverse stock</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4"/>
                <w:szCs w:val="14"/>
                <w:color w:val="auto"/>
              </w:rPr>
              <w:t>split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0"/>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upon settlement of</w:t>
            </w: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1"/>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(136 )</w:t>
            </w:r>
          </w:p>
        </w:tc>
        <w:tc>
          <w:tcPr>
            <w:tcW w:w="14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(1 )</w:t>
            </w:r>
          </w:p>
        </w:tc>
      </w:tr>
      <w:tr>
        <w:trPr>
          <w:trHeight w:val="189"/>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through ESPP</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r>
      <w:tr>
        <w:trPr>
          <w:trHeight w:val="189"/>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net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6"/>
                <w:szCs w:val="16"/>
                <w:color w:val="auto"/>
              </w:rPr>
            </w:pPr>
          </w:p>
        </w:tc>
      </w:tr>
      <w:tr>
        <w:trPr>
          <w:trHeight w:val="189"/>
        </w:trPr>
        <w:tc>
          <w:tcPr>
            <w:tcW w:w="34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(80 )</w:t>
            </w:r>
          </w:p>
        </w:tc>
        <w:tc>
          <w:tcPr>
            <w:tcW w:w="10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(80 )</w:t>
            </w:r>
          </w:p>
        </w:tc>
      </w:tr>
      <w:tr>
        <w:trPr>
          <w:trHeight w:val="20"/>
        </w:trPr>
        <w:tc>
          <w:tcPr>
            <w:tcW w:w="3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September 30, 2023</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(3,178 )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FF0FC"/>
          </w:tcPr>
          <w:p>
            <w:pPr>
              <w:spacing w:after="0"/>
              <w:rPr>
                <w:sz w:val="17"/>
                <w:szCs w:val="17"/>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Nine Months Ended September 30, 2023</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3400" w:type="dxa"/>
            <w:vAlign w:val="bottom"/>
          </w:tcPr>
          <w:p>
            <w:pPr>
              <w:spacing w:after="0"/>
              <w:rPr>
                <w:sz w:val="15"/>
                <w:szCs w:val="15"/>
                <w:color w:val="auto"/>
              </w:rPr>
            </w:pPr>
          </w:p>
        </w:tc>
        <w:tc>
          <w:tcPr>
            <w:tcW w:w="20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44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Total</w:t>
            </w:r>
          </w:p>
        </w:tc>
      </w:tr>
      <w:tr>
        <w:trPr>
          <w:trHeight w:val="162"/>
        </w:trPr>
        <w:tc>
          <w:tcPr>
            <w:tcW w:w="3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Comprehensive</w:t>
            </w: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Stockholders'</w:t>
            </w:r>
          </w:p>
        </w:tc>
      </w:tr>
      <w:tr>
        <w:trPr>
          <w:trHeight w:val="189"/>
        </w:trPr>
        <w:tc>
          <w:tcPr>
            <w:tcW w:w="3400" w:type="dxa"/>
            <w:vAlign w:val="bottom"/>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r>
      <w:tr>
        <w:trPr>
          <w:trHeight w:val="183"/>
        </w:trPr>
        <w:tc>
          <w:tcPr>
            <w:tcW w:w="3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December 31, 2022</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23,164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ind w:left="620"/>
              <w:spacing w:after="0"/>
              <w:rPr>
                <w:sz w:val="20"/>
                <w:szCs w:val="20"/>
                <w:color w:val="auto"/>
              </w:rPr>
            </w:pPr>
            <w:r>
              <w:rPr>
                <w:rFonts w:ascii="Arial" w:cs="Arial" w:eastAsia="Arial" w:hAnsi="Arial"/>
                <w:sz w:val="14"/>
                <w:szCs w:val="14"/>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(2,929 )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FF0FC"/>
          </w:tcPr>
          <w:p>
            <w:pPr>
              <w:spacing w:after="0"/>
              <w:rPr>
                <w:sz w:val="15"/>
                <w:szCs w:val="15"/>
                <w:color w:val="auto"/>
              </w:rPr>
            </w:pPr>
          </w:p>
        </w:tc>
      </w:tr>
      <w:tr>
        <w:trPr>
          <w:trHeight w:val="170"/>
        </w:trPr>
        <w:tc>
          <w:tcPr>
            <w:tcW w:w="3400" w:type="dxa"/>
            <w:vAlign w:val="bottom"/>
          </w:tcPr>
          <w:p>
            <w:pPr>
              <w:ind w:left="200"/>
              <w:spacing w:after="0"/>
              <w:rPr>
                <w:sz w:val="20"/>
                <w:szCs w:val="20"/>
                <w:color w:val="auto"/>
              </w:rPr>
            </w:pPr>
            <w:r>
              <w:rPr>
                <w:rFonts w:ascii="Arial" w:cs="Arial" w:eastAsia="Arial" w:hAnsi="Arial"/>
                <w:sz w:val="14"/>
                <w:szCs w:val="14"/>
                <w:color w:val="auto"/>
              </w:rPr>
              <w:t>Fractional shares issued due to reverse stock</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4"/>
                <w:szCs w:val="14"/>
                <w:color w:val="auto"/>
              </w:rPr>
              <w:t>split</w:t>
            </w:r>
          </w:p>
        </w:tc>
        <w:tc>
          <w:tcPr>
            <w:tcW w:w="920" w:type="dxa"/>
            <w:vAlign w:val="bottom"/>
          </w:tcPr>
          <w:p>
            <w:pPr>
              <w:jc w:val="right"/>
              <w:spacing w:after="0"/>
              <w:rPr>
                <w:sz w:val="20"/>
                <w:szCs w:val="20"/>
                <w:color w:val="auto"/>
              </w:rPr>
            </w:pPr>
            <w:r>
              <w:rPr>
                <w:rFonts w:ascii="Arial" w:cs="Arial" w:eastAsia="Arial" w:hAnsi="Arial"/>
                <w:sz w:val="14"/>
                <w:szCs w:val="14"/>
                <w:color w:val="auto"/>
              </w:rPr>
              <w:t>201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0"/>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upon settlement of</w:t>
            </w: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1"/>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(380 )</w:t>
            </w:r>
          </w:p>
        </w:tc>
        <w:tc>
          <w:tcPr>
            <w:tcW w:w="14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(5 )</w:t>
            </w:r>
          </w:p>
        </w:tc>
      </w:tr>
      <w:tr>
        <w:trPr>
          <w:trHeight w:val="189"/>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through ESPP</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r>
      <w:tr>
        <w:trPr>
          <w:trHeight w:val="189"/>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net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(5 )</w:t>
            </w: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(5 )</w:t>
            </w:r>
          </w:p>
        </w:tc>
      </w:tr>
      <w:tr>
        <w:trPr>
          <w:trHeight w:val="189"/>
        </w:trPr>
        <w:tc>
          <w:tcPr>
            <w:tcW w:w="34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(249 )</w:t>
            </w:r>
          </w:p>
        </w:tc>
        <w:tc>
          <w:tcPr>
            <w:tcW w:w="10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(249 )</w:t>
            </w:r>
          </w:p>
        </w:tc>
      </w:tr>
      <w:tr>
        <w:trPr>
          <w:trHeight w:val="20"/>
        </w:trPr>
        <w:tc>
          <w:tcPr>
            <w:tcW w:w="3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September 30, 2023</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ind w:left="6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(3,178 )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FF0FC"/>
          </w:tcPr>
          <w:p>
            <w:pPr>
              <w:spacing w:after="0"/>
              <w:rPr>
                <w:sz w:val="17"/>
                <w:szCs w:val="17"/>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-2091055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-2073910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-2091055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-2073910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-2091055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-2073910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-2091055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-2073910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-2091055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-2073910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-24765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-8255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 in millions, shares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Three Months Ended September 30, 2022</w:t>
            </w: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3400" w:type="dxa"/>
            <w:vAlign w:val="bottom"/>
          </w:tcPr>
          <w:p>
            <w:pPr>
              <w:spacing w:after="0"/>
              <w:rPr>
                <w:sz w:val="15"/>
                <w:szCs w:val="15"/>
                <w:color w:val="auto"/>
              </w:rPr>
            </w:pPr>
          </w:p>
        </w:tc>
        <w:tc>
          <w:tcPr>
            <w:tcW w:w="20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4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5"/>
              </w:rPr>
              <w:t>Total</w:t>
            </w:r>
          </w:p>
        </w:tc>
      </w:tr>
      <w:tr>
        <w:trPr>
          <w:trHeight w:val="162"/>
        </w:trPr>
        <w:tc>
          <w:tcPr>
            <w:tcW w:w="3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Comprehensive</w:t>
            </w: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Stockholders'</w:t>
            </w:r>
          </w:p>
        </w:tc>
      </w:tr>
      <w:tr>
        <w:trPr>
          <w:trHeight w:val="189"/>
        </w:trPr>
        <w:tc>
          <w:tcPr>
            <w:tcW w:w="3400" w:type="dxa"/>
            <w:vAlign w:val="bottom"/>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r>
      <w:tr>
        <w:trPr>
          <w:trHeight w:val="183"/>
        </w:trPr>
        <w:tc>
          <w:tcPr>
            <w:tcW w:w="3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June 30, 2022</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22,336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ind w:left="620"/>
              <w:spacing w:after="0"/>
              <w:rPr>
                <w:sz w:val="20"/>
                <w:szCs w:val="20"/>
                <w:color w:val="auto"/>
              </w:rPr>
            </w:pPr>
            <w:r>
              <w:rPr>
                <w:rFonts w:ascii="Arial" w:cs="Arial" w:eastAsia="Arial" w:hAnsi="Arial"/>
                <w:sz w:val="14"/>
                <w:szCs w:val="14"/>
                <w:color w:val="auto"/>
                <w:w w:val="71"/>
              </w:rPr>
              <w:t>—</w:t>
            </w:r>
          </w:p>
        </w:tc>
        <w:tc>
          <w:tcPr>
            <w:tcW w:w="38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3,383</w:t>
            </w: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(6 )</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(2,695 )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FF0FC"/>
          </w:tcPr>
          <w:p>
            <w:pPr>
              <w:spacing w:after="0"/>
              <w:rPr>
                <w:sz w:val="15"/>
                <w:szCs w:val="15"/>
                <w:color w:val="auto"/>
              </w:rPr>
            </w:pPr>
          </w:p>
        </w:tc>
      </w:tr>
      <w:tr>
        <w:trPr>
          <w:trHeight w:val="170"/>
        </w:trPr>
        <w:tc>
          <w:tcPr>
            <w:tcW w:w="3400" w:type="dxa"/>
            <w:vAlign w:val="bottom"/>
          </w:tcPr>
          <w:p>
            <w:pPr>
              <w:ind w:left="200"/>
              <w:spacing w:after="0"/>
              <w:rPr>
                <w:sz w:val="20"/>
                <w:szCs w:val="20"/>
                <w:color w:val="auto"/>
              </w:rPr>
            </w:pPr>
            <w:r>
              <w:rPr>
                <w:rFonts w:ascii="Arial" w:cs="Arial" w:eastAsia="Arial" w:hAnsi="Arial"/>
                <w:sz w:val="14"/>
                <w:szCs w:val="14"/>
                <w:color w:val="auto"/>
              </w:rPr>
              <w:t>Issuance of common stock upon settlement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4"/>
                <w:szCs w:val="14"/>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4"/>
                <w:szCs w:val="14"/>
                <w:color w:val="auto"/>
              </w:rPr>
              <w:t>253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auto"/>
                <w:w w:val="71"/>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(103 )</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ind w:left="620"/>
              <w:spacing w:after="0"/>
              <w:rPr>
                <w:sz w:val="20"/>
                <w:szCs w:val="20"/>
                <w:color w:val="auto"/>
              </w:rPr>
            </w:pPr>
            <w:r>
              <w:rPr>
                <w:rFonts w:ascii="Arial" w:cs="Arial" w:eastAsia="Arial" w:hAnsi="Arial"/>
                <w:sz w:val="14"/>
                <w:szCs w:val="14"/>
                <w:color w:val="auto"/>
                <w:w w:val="71"/>
              </w:rPr>
              <w:t>—</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FF0FC"/>
          </w:tcPr>
          <w:p>
            <w:pPr>
              <w:spacing w:after="0"/>
              <w:rPr>
                <w:sz w:val="16"/>
                <w:szCs w:val="16"/>
                <w:color w:val="auto"/>
              </w:rPr>
            </w:pPr>
          </w:p>
        </w:tc>
        <w:tc>
          <w:tcPr>
            <w:tcW w:w="14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(5 )</w:t>
            </w:r>
          </w:p>
        </w:tc>
      </w:tr>
      <w:tr>
        <w:trPr>
          <w:trHeight w:val="189"/>
        </w:trPr>
        <w:tc>
          <w:tcPr>
            <w:tcW w:w="3400" w:type="dxa"/>
            <w:vAlign w:val="bottom"/>
          </w:tcPr>
          <w:p>
            <w:pPr>
              <w:ind w:left="200"/>
              <w:spacing w:after="0"/>
              <w:rPr>
                <w:sz w:val="20"/>
                <w:szCs w:val="20"/>
                <w:color w:val="auto"/>
              </w:rPr>
            </w:pPr>
            <w:r>
              <w:rPr>
                <w:rFonts w:ascii="Arial" w:cs="Arial" w:eastAsia="Arial" w:hAnsi="Arial"/>
                <w:sz w:val="14"/>
                <w:szCs w:val="14"/>
                <w:color w:val="auto"/>
              </w:rPr>
              <w:t>Option exercises, net</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auto"/>
                <w:w w:val="71"/>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ind w:left="620"/>
              <w:spacing w:after="0"/>
              <w:rPr>
                <w:sz w:val="20"/>
                <w:szCs w:val="20"/>
                <w:color w:val="auto"/>
              </w:rPr>
            </w:pPr>
            <w:r>
              <w:rPr>
                <w:rFonts w:ascii="Arial" w:cs="Arial" w:eastAsia="Arial" w:hAnsi="Arial"/>
                <w:sz w:val="14"/>
                <w:szCs w:val="14"/>
                <w:color w:val="auto"/>
                <w:w w:val="71"/>
              </w:rPr>
              <w:t>—</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6"/>
                <w:szCs w:val="16"/>
                <w:color w:val="auto"/>
              </w:rPr>
            </w:pPr>
          </w:p>
        </w:tc>
      </w:tr>
      <w:tr>
        <w:trPr>
          <w:trHeight w:val="189"/>
        </w:trPr>
        <w:tc>
          <w:tcPr>
            <w:tcW w:w="3400" w:type="dxa"/>
            <w:vAlign w:val="bottom"/>
          </w:tcPr>
          <w:p>
            <w:pPr>
              <w:ind w:left="200"/>
              <w:spacing w:after="0"/>
              <w:rPr>
                <w:sz w:val="20"/>
                <w:szCs w:val="20"/>
                <w:color w:val="auto"/>
              </w:rPr>
            </w:pPr>
            <w:r>
              <w:rPr>
                <w:rFonts w:ascii="Arial" w:cs="Arial" w:eastAsia="Arial" w:hAnsi="Arial"/>
                <w:sz w:val="14"/>
                <w:szCs w:val="14"/>
                <w:color w:val="auto"/>
              </w:rPr>
              <w:t>Other comprehensive loss, net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auto"/>
                <w:w w:val="71"/>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(5 )</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(5 )</w:t>
            </w:r>
          </w:p>
        </w:tc>
      </w:tr>
      <w:tr>
        <w:trPr>
          <w:trHeight w:val="189"/>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ind w:left="620"/>
              <w:spacing w:after="0"/>
              <w:rPr>
                <w:sz w:val="20"/>
                <w:szCs w:val="20"/>
                <w:color w:val="auto"/>
              </w:rPr>
            </w:pPr>
            <w:r>
              <w:rPr>
                <w:rFonts w:ascii="Arial" w:cs="Arial" w:eastAsia="Arial" w:hAnsi="Arial"/>
                <w:sz w:val="14"/>
                <w:szCs w:val="14"/>
                <w:color w:val="auto"/>
                <w:w w:val="71"/>
              </w:rPr>
              <w:t>—</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(124 )</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(124 )</w:t>
            </w:r>
          </w:p>
        </w:tc>
      </w:tr>
      <w:tr>
        <w:trPr>
          <w:trHeight w:val="20"/>
        </w:trPr>
        <w:tc>
          <w:tcPr>
            <w:tcW w:w="34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3400" w:type="dxa"/>
            <w:vAlign w:val="bottom"/>
          </w:tcPr>
          <w:p>
            <w:pPr>
              <w:ind w:left="20"/>
              <w:spacing w:after="0"/>
              <w:rPr>
                <w:sz w:val="20"/>
                <w:szCs w:val="20"/>
                <w:color w:val="auto"/>
              </w:rPr>
            </w:pPr>
            <w:r>
              <w:rPr>
                <w:rFonts w:ascii="Arial" w:cs="Arial" w:eastAsia="Arial" w:hAnsi="Arial"/>
                <w:sz w:val="14"/>
                <w:szCs w:val="14"/>
                <w:color w:val="auto"/>
              </w:rPr>
              <w:t>Balances as of September 30, 2022</w:t>
            </w:r>
          </w:p>
        </w:tc>
        <w:tc>
          <w:tcPr>
            <w:tcW w:w="920" w:type="dxa"/>
            <w:vAlign w:val="bottom"/>
          </w:tcPr>
          <w:p>
            <w:pPr>
              <w:jc w:val="right"/>
              <w:spacing w:after="0"/>
              <w:rPr>
                <w:sz w:val="20"/>
                <w:szCs w:val="20"/>
                <w:color w:val="auto"/>
              </w:rPr>
            </w:pPr>
            <w:r>
              <w:rPr>
                <w:rFonts w:ascii="Arial" w:cs="Arial" w:eastAsia="Arial" w:hAnsi="Arial"/>
                <w:sz w:val="14"/>
                <w:szCs w:val="14"/>
                <w:color w:val="auto"/>
              </w:rPr>
              <w:t>22,491</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620"/>
              <w:spacing w:after="0"/>
              <w:rPr>
                <w:sz w:val="20"/>
                <w:szCs w:val="20"/>
                <w:color w:val="auto"/>
              </w:rPr>
            </w:pPr>
            <w:r>
              <w:rPr>
                <w:rFonts w:ascii="Arial" w:cs="Arial" w:eastAsia="Arial" w:hAnsi="Arial"/>
                <w:sz w:val="14"/>
                <w:szCs w:val="14"/>
                <w:color w:val="auto"/>
                <w:w w:val="71"/>
              </w:rPr>
              <w:t>—</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3,404</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(11 )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(2,819 )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5"/>
                <w:szCs w:val="15"/>
                <w:color w:val="auto"/>
              </w:rPr>
            </w:pPr>
          </w:p>
        </w:tc>
      </w:tr>
      <w:tr>
        <w:trPr>
          <w:trHeight w:val="20"/>
        </w:trPr>
        <w:tc>
          <w:tcPr>
            <w:tcW w:w="3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Nine Months Ended September 30, 2022</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3400" w:type="dxa"/>
            <w:vAlign w:val="bottom"/>
          </w:tcPr>
          <w:p>
            <w:pPr>
              <w:spacing w:after="0"/>
              <w:rPr>
                <w:sz w:val="15"/>
                <w:szCs w:val="15"/>
                <w:color w:val="auto"/>
              </w:rPr>
            </w:pPr>
          </w:p>
        </w:tc>
        <w:tc>
          <w:tcPr>
            <w:tcW w:w="2060" w:type="dxa"/>
            <w:vAlign w:val="bottom"/>
            <w:gridSpan w:val="4"/>
          </w:tcPr>
          <w:p>
            <w:pPr>
              <w:ind w:left="5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4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44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5"/>
              </w:rPr>
              <w:t>Total</w:t>
            </w:r>
          </w:p>
        </w:tc>
      </w:tr>
      <w:tr>
        <w:trPr>
          <w:trHeight w:val="162"/>
        </w:trPr>
        <w:tc>
          <w:tcPr>
            <w:tcW w:w="3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Comprehensive</w:t>
            </w: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Stockholders'</w:t>
            </w:r>
          </w:p>
        </w:tc>
      </w:tr>
      <w:tr>
        <w:trPr>
          <w:trHeight w:val="189"/>
        </w:trPr>
        <w:tc>
          <w:tcPr>
            <w:tcW w:w="3400" w:type="dxa"/>
            <w:vAlign w:val="bottom"/>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r>
      <w:tr>
        <w:trPr>
          <w:trHeight w:val="183"/>
        </w:trPr>
        <w:tc>
          <w:tcPr>
            <w:tcW w:w="3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December 31, 2021</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21,949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85"/>
              </w:rPr>
              <w:t>—</w:t>
            </w:r>
          </w:p>
        </w:tc>
        <w:tc>
          <w:tcPr>
            <w:tcW w:w="38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3,360</w:t>
            </w: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(2,545 )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FF0FC"/>
          </w:tcPr>
          <w:p>
            <w:pPr>
              <w:spacing w:after="0"/>
              <w:rPr>
                <w:sz w:val="15"/>
                <w:szCs w:val="15"/>
                <w:color w:val="auto"/>
              </w:rPr>
            </w:pPr>
          </w:p>
        </w:tc>
      </w:tr>
      <w:tr>
        <w:trPr>
          <w:trHeight w:val="170"/>
        </w:trPr>
        <w:tc>
          <w:tcPr>
            <w:tcW w:w="3400" w:type="dxa"/>
            <w:vAlign w:val="bottom"/>
          </w:tcPr>
          <w:p>
            <w:pPr>
              <w:ind w:left="200"/>
              <w:spacing w:after="0"/>
              <w:rPr>
                <w:sz w:val="20"/>
                <w:szCs w:val="20"/>
                <w:color w:val="auto"/>
              </w:rPr>
            </w:pPr>
            <w:r>
              <w:rPr>
                <w:rFonts w:ascii="Arial" w:cs="Arial" w:eastAsia="Arial" w:hAnsi="Arial"/>
                <w:sz w:val="14"/>
                <w:szCs w:val="14"/>
                <w:color w:val="auto"/>
              </w:rPr>
              <w:t>Issuance of common stock upon exercise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4"/>
                <w:szCs w:val="14"/>
                <w:color w:val="auto"/>
              </w:rPr>
              <w:t>options for cash</w:t>
            </w: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0"/>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upon settlement of</w:t>
            </w: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1"/>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85"/>
              </w:rPr>
              <w:t>—</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(207 )</w:t>
            </w:r>
          </w:p>
        </w:tc>
        <w:tc>
          <w:tcPr>
            <w:tcW w:w="14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(10 )</w:t>
            </w:r>
          </w:p>
        </w:tc>
      </w:tr>
      <w:tr>
        <w:trPr>
          <w:trHeight w:val="189"/>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through ESPP</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85"/>
              </w:rPr>
              <w:t>—</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6"/>
                <w:szCs w:val="16"/>
                <w:color w:val="auto"/>
              </w:rPr>
            </w:pPr>
          </w:p>
        </w:tc>
      </w:tr>
      <w:tr>
        <w:trPr>
          <w:trHeight w:val="189"/>
        </w:trPr>
        <w:tc>
          <w:tcPr>
            <w:tcW w:w="34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r>
      <w:tr>
        <w:trPr>
          <w:trHeight w:val="189"/>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net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85"/>
              </w:rPr>
              <w:t>—</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4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(14 )</w:t>
            </w:r>
          </w:p>
        </w:tc>
        <w:tc>
          <w:tcPr>
            <w:tcW w:w="200" w:type="dxa"/>
            <w:vAlign w:val="bottom"/>
            <w:shd w:val="clear" w:color="auto" w:fill="CFF0FC"/>
          </w:tcPr>
          <w:p>
            <w:pPr>
              <w:spacing w:after="0"/>
              <w:rPr>
                <w:sz w:val="16"/>
                <w:szCs w:val="16"/>
                <w:color w:val="auto"/>
              </w:rPr>
            </w:pPr>
          </w:p>
        </w:tc>
        <w:tc>
          <w:tcPr>
            <w:tcW w:w="11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(14 )</w:t>
            </w:r>
          </w:p>
        </w:tc>
      </w:tr>
      <w:tr>
        <w:trPr>
          <w:trHeight w:val="189"/>
        </w:trPr>
        <w:tc>
          <w:tcPr>
            <w:tcW w:w="34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(274 )</w:t>
            </w:r>
          </w:p>
        </w:tc>
        <w:tc>
          <w:tcPr>
            <w:tcW w:w="10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(274 )</w:t>
            </w:r>
          </w:p>
        </w:tc>
      </w:tr>
      <w:tr>
        <w:trPr>
          <w:trHeight w:val="20"/>
        </w:trPr>
        <w:tc>
          <w:tcPr>
            <w:tcW w:w="3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September 30, 2022</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22,491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85"/>
              </w:rPr>
              <w:t>—</w:t>
            </w:r>
          </w:p>
        </w:tc>
        <w:tc>
          <w:tcPr>
            <w:tcW w:w="2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3,404</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(11 )</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(2,819 )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FF0FC"/>
          </w:tcPr>
          <w:p>
            <w:pPr>
              <w:spacing w:after="0"/>
              <w:rPr>
                <w:sz w:val="17"/>
                <w:szCs w:val="17"/>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-2219325</wp:posOffset>
            </wp:positionV>
            <wp:extent cx="7683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-2219325</wp:posOffset>
            </wp:positionV>
            <wp:extent cx="7747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-2219325</wp:posOffset>
            </wp:positionV>
            <wp:extent cx="6858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-2219325</wp:posOffset>
            </wp:positionV>
            <wp:extent cx="6858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-2219325</wp:posOffset>
            </wp:positionV>
            <wp:extent cx="6858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-24765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254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8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(249 )</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(274 )</w:t>
            </w:r>
          </w:p>
        </w:tc>
      </w:tr>
      <w:tr>
        <w:trPr>
          <w:trHeight w:val="195"/>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to net cash provided by used in operating</w:t>
            </w:r>
          </w:p>
        </w:tc>
        <w:tc>
          <w:tcPr>
            <w:tcW w:w="9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activities: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140" w:type="dxa"/>
            <w:vAlign w:val="bottom"/>
          </w:tcPr>
          <w:p>
            <w:pPr>
              <w:ind w:left="200"/>
              <w:spacing w:after="0"/>
              <w:rPr>
                <w:sz w:val="20"/>
                <w:szCs w:val="20"/>
                <w:color w:val="auto"/>
              </w:rPr>
            </w:pPr>
            <w:r>
              <w:rPr>
                <w:rFonts w:ascii="Arial" w:cs="Arial" w:eastAsia="Arial" w:hAnsi="Arial"/>
                <w:sz w:val="16"/>
                <w:szCs w:val="16"/>
                <w:color w:val="auto"/>
              </w:rPr>
              <w:t>Noncash inventory write downs</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r>
      <w:tr>
        <w:trPr>
          <w:trHeight w:val="219"/>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r>
      <w:tr>
        <w:trPr>
          <w:trHeight w:val="213"/>
        </w:trPr>
        <w:tc>
          <w:tcPr>
            <w:tcW w:w="814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r>
      <w:tr>
        <w:trPr>
          <w:trHeight w:val="219"/>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of lease assets and property and equipment</w:t>
            </w: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9"/>
                <w:szCs w:val="19"/>
                <w:color w:val="auto"/>
              </w:rPr>
            </w:pPr>
          </w:p>
        </w:tc>
      </w:tr>
      <w:tr>
        <w:trPr>
          <w:trHeight w:val="213"/>
        </w:trPr>
        <w:tc>
          <w:tcPr>
            <w:tcW w:w="81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r>
      <w:tr>
        <w:trPr>
          <w:trHeight w:val="219"/>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(accretion) amortization of discounts and premiums on marketable securities</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(6 )</w:t>
            </w:r>
          </w:p>
        </w:tc>
        <w:tc>
          <w:tcPr>
            <w:tcW w:w="9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8140" w:type="dxa"/>
            <w:vAlign w:val="bottom"/>
          </w:tcPr>
          <w:p>
            <w:pPr>
              <w:ind w:left="200"/>
              <w:spacing w:after="0"/>
              <w:rPr>
                <w:sz w:val="20"/>
                <w:szCs w:val="20"/>
                <w:color w:val="auto"/>
              </w:rPr>
            </w:pPr>
            <w:r>
              <w:rPr>
                <w:rFonts w:ascii="Arial" w:cs="Arial" w:eastAsia="Arial" w:hAnsi="Arial"/>
                <w:sz w:val="16"/>
                <w:szCs w:val="16"/>
                <w:color w:val="auto"/>
              </w:rPr>
              <w:t>Other</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r>
      <w:tr>
        <w:trPr>
          <w:trHeight w:val="219"/>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8140" w:type="dxa"/>
            <w:vAlign w:val="bottom"/>
          </w:tcPr>
          <w:p>
            <w:pPr>
              <w:ind w:left="200"/>
              <w:spacing w:after="0"/>
              <w:rPr>
                <w:sz w:val="20"/>
                <w:szCs w:val="20"/>
                <w:color w:val="auto"/>
              </w:rPr>
            </w:pPr>
            <w:r>
              <w:rPr>
                <w:rFonts w:ascii="Arial" w:cs="Arial" w:eastAsia="Arial" w:hAnsi="Arial"/>
                <w:sz w:val="16"/>
                <w:szCs w:val="16"/>
                <w:color w:val="auto"/>
              </w:rPr>
              <w:t>Funds receivable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r>
      <w:tr>
        <w:trPr>
          <w:trHeight w:val="219"/>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other current and noncurrent assets</w:t>
            </w: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r>
      <w:tr>
        <w:trPr>
          <w:trHeight w:val="213"/>
        </w:trPr>
        <w:tc>
          <w:tcPr>
            <w:tcW w:w="81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9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(17 )</w:t>
            </w:r>
          </w:p>
        </w:tc>
        <w:tc>
          <w:tcPr>
            <w:tcW w:w="9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(10 )</w:t>
            </w:r>
          </w:p>
        </w:tc>
      </w:tr>
      <w:tr>
        <w:trPr>
          <w:trHeight w:val="219"/>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Merchants payable</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(43 )</w:t>
            </w:r>
          </w:p>
        </w:tc>
        <w:tc>
          <w:tcPr>
            <w:tcW w:w="9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(64 )</w:t>
            </w:r>
          </w:p>
        </w:tc>
      </w:tr>
      <w:tr>
        <w:trPr>
          <w:trHeight w:val="213"/>
        </w:trPr>
        <w:tc>
          <w:tcPr>
            <w:tcW w:w="8140" w:type="dxa"/>
            <w:vAlign w:val="bottom"/>
          </w:tcPr>
          <w:p>
            <w:pPr>
              <w:ind w:left="200"/>
              <w:spacing w:after="0"/>
              <w:rPr>
                <w:sz w:val="20"/>
                <w:szCs w:val="20"/>
                <w:color w:val="auto"/>
              </w:rPr>
            </w:pPr>
            <w:r>
              <w:rPr>
                <w:rFonts w:ascii="Arial" w:cs="Arial" w:eastAsia="Arial" w:hAnsi="Arial"/>
                <w:sz w:val="16"/>
                <w:szCs w:val="16"/>
                <w:color w:val="auto"/>
              </w:rPr>
              <w:t>Accrued and refund liabilities</w:t>
            </w:r>
          </w:p>
        </w:tc>
        <w:tc>
          <w:tcPr>
            <w:tcW w:w="9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(32 )</w:t>
            </w:r>
          </w:p>
        </w:tc>
        <w:tc>
          <w:tcPr>
            <w:tcW w:w="9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(36 )</w:t>
            </w:r>
          </w:p>
        </w:tc>
      </w:tr>
      <w:tr>
        <w:trPr>
          <w:trHeight w:val="219"/>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Lease liabilities</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(5 )</w:t>
            </w:r>
          </w:p>
        </w:tc>
        <w:tc>
          <w:tcPr>
            <w:tcW w:w="9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(6 )</w:t>
            </w:r>
          </w:p>
        </w:tc>
      </w:tr>
      <w:tr>
        <w:trPr>
          <w:trHeight w:val="216"/>
        </w:trPr>
        <w:tc>
          <w:tcPr>
            <w:tcW w:w="8140" w:type="dxa"/>
            <w:vAlign w:val="bottom"/>
          </w:tcPr>
          <w:p>
            <w:pPr>
              <w:ind w:left="200"/>
              <w:spacing w:after="0"/>
              <w:rPr>
                <w:sz w:val="20"/>
                <w:szCs w:val="20"/>
                <w:color w:val="auto"/>
              </w:rPr>
            </w:pPr>
            <w:r>
              <w:rPr>
                <w:rFonts w:ascii="Arial" w:cs="Arial" w:eastAsia="Arial" w:hAnsi="Arial"/>
                <w:sz w:val="16"/>
                <w:szCs w:val="16"/>
                <w:color w:val="auto"/>
              </w:rPr>
              <w:t>Other current and noncurrent liabilities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r>
      <w:tr>
        <w:trPr>
          <w:trHeight w:val="20"/>
        </w:trPr>
        <w:tc>
          <w:tcPr>
            <w:tcW w:w="8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(266 )</w:t>
            </w:r>
          </w:p>
        </w:tc>
        <w:tc>
          <w:tcPr>
            <w:tcW w:w="9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(313 )</w:t>
            </w:r>
          </w:p>
        </w:tc>
      </w:tr>
      <w:tr>
        <w:trPr>
          <w:trHeight w:val="216"/>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 and development of internal use software</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(3 )</w:t>
            </w:r>
          </w:p>
        </w:tc>
        <w:tc>
          <w:tcPr>
            <w:tcW w:w="9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(2 )</w:t>
            </w:r>
          </w:p>
        </w:tc>
      </w:tr>
      <w:tr>
        <w:trPr>
          <w:trHeight w:val="213"/>
        </w:trPr>
        <w:tc>
          <w:tcPr>
            <w:tcW w:w="8140" w:type="dxa"/>
            <w:vAlign w:val="bottom"/>
          </w:tcPr>
          <w:p>
            <w:pPr>
              <w:ind w:left="200"/>
              <w:spacing w:after="0"/>
              <w:rPr>
                <w:sz w:val="20"/>
                <w:szCs w:val="20"/>
                <w:color w:val="auto"/>
              </w:rPr>
            </w:pPr>
            <w:r>
              <w:rPr>
                <w:rFonts w:ascii="Arial" w:cs="Arial" w:eastAsia="Arial" w:hAnsi="Arial"/>
                <w:sz w:val="16"/>
                <w:szCs w:val="16"/>
                <w:color w:val="auto"/>
              </w:rPr>
              <w:t>Purchases of marketable securities</w:t>
            </w:r>
          </w:p>
        </w:tc>
        <w:tc>
          <w:tcPr>
            <w:tcW w:w="9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(239 )</w:t>
            </w:r>
          </w:p>
        </w:tc>
        <w:tc>
          <w:tcPr>
            <w:tcW w:w="9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(303 )</w:t>
            </w:r>
          </w:p>
        </w:tc>
      </w:tr>
      <w:tr>
        <w:trPr>
          <w:trHeight w:val="219"/>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Maturities of marketable securities</w:t>
            </w: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FF0FC"/>
          </w:tcPr>
          <w:p>
            <w:pPr>
              <w:spacing w:after="0"/>
              <w:rPr>
                <w:sz w:val="19"/>
                <w:szCs w:val="19"/>
                <w:color w:val="auto"/>
              </w:rPr>
            </w:pPr>
          </w:p>
        </w:tc>
      </w:tr>
      <w:tr>
        <w:trPr>
          <w:trHeight w:val="216"/>
        </w:trPr>
        <w:tc>
          <w:tcPr>
            <w:tcW w:w="8140" w:type="dxa"/>
            <w:vAlign w:val="bottom"/>
          </w:tcPr>
          <w:p>
            <w:pPr>
              <w:ind w:left="20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r>
      <w:tr>
        <w:trPr>
          <w:trHeight w:val="210"/>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(85 )</w:t>
            </w:r>
          </w:p>
        </w:tc>
      </w:tr>
      <w:tr>
        <w:trPr>
          <w:trHeight w:val="216"/>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issuance of common stock through employee equity incentive plans</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Arial" w:cs="Arial" w:eastAsia="Arial" w:hAnsi="Arial"/>
                <w:sz w:val="16"/>
                <w:szCs w:val="16"/>
                <w:color w:val="auto"/>
              </w:rPr>
              <w:t>Payment of taxes related to RSU settlement</w:t>
            </w:r>
          </w:p>
        </w:tc>
        <w:tc>
          <w:tcPr>
            <w:tcW w:w="9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(5 )</w:t>
            </w:r>
          </w:p>
        </w:tc>
        <w:tc>
          <w:tcPr>
            <w:tcW w:w="9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(10 )</w:t>
            </w:r>
          </w:p>
        </w:tc>
      </w:tr>
      <w:tr>
        <w:trPr>
          <w:trHeight w:val="20"/>
        </w:trPr>
        <w:tc>
          <w:tcPr>
            <w:tcW w:w="8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financing activities</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(5 )</w:t>
            </w:r>
          </w:p>
        </w:tc>
        <w:tc>
          <w:tcPr>
            <w:tcW w:w="9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(9 )</w:t>
            </w:r>
          </w:p>
        </w:tc>
      </w:tr>
      <w:tr>
        <w:trPr>
          <w:trHeight w:val="216"/>
        </w:trPr>
        <w:tc>
          <w:tcPr>
            <w:tcW w:w="8140" w:type="dxa"/>
            <w:vAlign w:val="bottom"/>
          </w:tcPr>
          <w:p>
            <w:pPr>
              <w:ind w:left="20"/>
              <w:spacing w:after="0"/>
              <w:rPr>
                <w:sz w:val="20"/>
                <w:szCs w:val="20"/>
                <w:color w:val="auto"/>
              </w:rPr>
            </w:pPr>
            <w:r>
              <w:rPr>
                <w:rFonts w:ascii="Arial" w:cs="Arial" w:eastAsia="Arial" w:hAnsi="Arial"/>
                <w:sz w:val="16"/>
                <w:szCs w:val="16"/>
                <w:color w:val="auto"/>
              </w:rPr>
              <w:t>Foreign currency effects on cash, cash equivalents and restricted cash</w:t>
            </w:r>
          </w:p>
        </w:tc>
        <w:tc>
          <w:tcPr>
            <w:tcW w:w="9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(7 )</w:t>
            </w:r>
          </w:p>
        </w:tc>
        <w:tc>
          <w:tcPr>
            <w:tcW w:w="9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(17 )</w:t>
            </w:r>
          </w:p>
        </w:tc>
      </w:tr>
      <w:tr>
        <w:trPr>
          <w:trHeight w:val="20"/>
        </w:trPr>
        <w:tc>
          <w:tcPr>
            <w:tcW w:w="8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(203 )</w:t>
            </w:r>
          </w:p>
        </w:tc>
        <w:tc>
          <w:tcPr>
            <w:tcW w:w="9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(424 )</w:t>
            </w:r>
          </w:p>
        </w:tc>
      </w:tr>
      <w:tr>
        <w:trPr>
          <w:trHeight w:val="216"/>
        </w:trPr>
        <w:tc>
          <w:tcPr>
            <w:tcW w:w="81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r>
      <w:tr>
        <w:trPr>
          <w:trHeight w:val="250"/>
        </w:trPr>
        <w:tc>
          <w:tcPr>
            <w:tcW w:w="8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65"/>
        </w:trPr>
        <w:tc>
          <w:tcPr>
            <w:tcW w:w="814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sheets: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6"/>
                <w:szCs w:val="16"/>
                <w:color w:val="auto"/>
              </w:rPr>
              <w:t>Restricted cash included in prepaid and other current assets in the condensed consolidated balance sheets</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r>
      <w:tr>
        <w:trPr>
          <w:trHeight w:val="249"/>
        </w:trPr>
        <w:tc>
          <w:tcPr>
            <w:tcW w:w="8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income taxes, net of refunds</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-1002030</wp:posOffset>
            </wp:positionV>
            <wp:extent cx="1097280" cy="282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97280" cy="28257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-299720</wp:posOffset>
            </wp:positionV>
            <wp:extent cx="109728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97280" cy="16319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SIGNIFICANT ACCOUNTING POLICIES</w:t>
      </w:r>
    </w:p>
    <w:p>
      <w:pPr>
        <w:spacing w:after="0" w:line="168" w:lineRule="exact"/>
        <w:rPr>
          <w:sz w:val="20"/>
          <w:szCs w:val="20"/>
          <w:color w:val="auto"/>
        </w:rPr>
      </w:pPr>
    </w:p>
    <w:p>
      <w:pPr>
        <w:jc w:val="both"/>
        <w:ind w:right="20" w:firstLine="636"/>
        <w:spacing w:after="0" w:line="247" w:lineRule="auto"/>
        <w:rPr>
          <w:sz w:val="20"/>
          <w:szCs w:val="20"/>
          <w:color w:val="auto"/>
        </w:rPr>
      </w:pPr>
      <w:r>
        <w:rPr>
          <w:rFonts w:ascii="Arial" w:cs="Arial" w:eastAsia="Arial" w:hAnsi="Arial"/>
          <w:sz w:val="18"/>
          <w:szCs w:val="18"/>
          <w:color w:val="auto"/>
        </w:rPr>
        <w:t>ContextLogic Inc. (the “Company” or "Wish") is a mobile ecommerce company that provides a shopping experience that is mobile-first and discovery-based, which connects merchants’ products to users based on user preferences. The Company generates revenue from marketplace and logistics services provided to merchants.</w:t>
      </w:r>
    </w:p>
    <w:p>
      <w:pPr>
        <w:spacing w:after="0" w:line="130" w:lineRule="exact"/>
        <w:rPr>
          <w:sz w:val="20"/>
          <w:szCs w:val="20"/>
          <w:color w:val="auto"/>
        </w:rPr>
      </w:pPr>
    </w:p>
    <w:p>
      <w:pPr>
        <w:jc w:val="both"/>
        <w:ind w:right="20" w:firstLine="636"/>
        <w:spacing w:after="0" w:line="260" w:lineRule="auto"/>
        <w:rPr>
          <w:sz w:val="20"/>
          <w:szCs w:val="20"/>
          <w:color w:val="auto"/>
        </w:rPr>
      </w:pPr>
      <w:r>
        <w:rPr>
          <w:rFonts w:ascii="Arial" w:cs="Arial" w:eastAsia="Arial" w:hAnsi="Arial"/>
          <w:sz w:val="18"/>
          <w:szCs w:val="18"/>
          <w:color w:val="auto"/>
        </w:rPr>
        <w:t>The Company was incorporated in the state of Delaware in June 2010 and is headquartered in San Francisco, California, with operations domestically and internationally.</w:t>
      </w:r>
    </w:p>
    <w:p>
      <w:pPr>
        <w:spacing w:after="0" w:line="10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68" w:lineRule="exact"/>
        <w:rPr>
          <w:sz w:val="20"/>
          <w:szCs w:val="20"/>
          <w:color w:val="auto"/>
        </w:rPr>
      </w:pPr>
    </w:p>
    <w:p>
      <w:pPr>
        <w:jc w:val="both"/>
        <w:ind w:firstLine="599"/>
        <w:spacing w:after="0" w:line="238" w:lineRule="auto"/>
        <w:rPr>
          <w:sz w:val="20"/>
          <w:szCs w:val="20"/>
          <w:color w:val="auto"/>
        </w:rPr>
      </w:pPr>
      <w:r>
        <w:rPr>
          <w:rFonts w:ascii="Arial" w:cs="Arial" w:eastAsia="Arial" w:hAnsi="Arial"/>
          <w:sz w:val="18"/>
          <w:szCs w:val="18"/>
          <w:color w:val="auto"/>
        </w:rPr>
        <w:t>On April 10, 2023, the Company filed a certificate of amendment (the “Reverse Stock Split Amendment”) to the Company’s Restated Certificate of Incorporation with the Secretary of State of Delaware to effect a 1-for-30 Reverse Stock Split of the Company's Class A common stock ("common stock"), which became effective on April 11, 2023. The Reverse Stock Split Amendment did not reduce the number of authorized shares of common stock, which remains at 3 billion, and did not change the par value of the common stock, which remains at $0.0001 per share. As a result of the Reverse Stock Split, every thirty shares of the common stock were combined into one issued and outstanding share of common stock and no fractional shares were issued. Instead, to any holder who would have otherwise been entitled to receive a fractional share of common stock, the Company issued such holder an additional fractional share, such that, when combined with the fractional share otherwise issuable as a result of the Reverse Stock Split, equaled a whole share of common stock.</w:t>
      </w:r>
    </w:p>
    <w:p>
      <w:pPr>
        <w:spacing w:after="0" w:line="140" w:lineRule="exact"/>
        <w:rPr>
          <w:sz w:val="20"/>
          <w:szCs w:val="20"/>
          <w:color w:val="auto"/>
        </w:rPr>
      </w:pPr>
    </w:p>
    <w:p>
      <w:pPr>
        <w:ind w:left="640" w:right="740" w:hanging="37"/>
        <w:spacing w:after="0" w:line="422" w:lineRule="auto"/>
        <w:rPr>
          <w:sz w:val="20"/>
          <w:szCs w:val="20"/>
          <w:color w:val="auto"/>
        </w:rPr>
      </w:pPr>
      <w:r>
        <w:rPr>
          <w:rFonts w:ascii="Arial" w:cs="Arial" w:eastAsia="Arial" w:hAnsi="Arial"/>
          <w:sz w:val="18"/>
          <w:szCs w:val="18"/>
          <w:color w:val="auto"/>
        </w:rPr>
        <w:t xml:space="preserve">All share and per share information has been retroactively adjusted to reflect the reverse stock split for all periods presented. </w:t>
      </w:r>
      <w:r>
        <w:rPr>
          <w:rFonts w:ascii="Arial" w:cs="Arial" w:eastAsia="Arial" w:hAnsi="Arial"/>
          <w:sz w:val="18"/>
          <w:szCs w:val="18"/>
          <w:b w:val="1"/>
          <w:bCs w:val="1"/>
          <w:i w:val="1"/>
          <w:iCs w:val="1"/>
          <w:color w:val="auto"/>
        </w:rPr>
        <w:t>Basis of Presentation and Consolidation</w:t>
      </w:r>
    </w:p>
    <w:p>
      <w:pPr>
        <w:spacing w:after="0" w:line="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(“U.S. GAAP”). The condensed consolidated financial statements include the accounts of the Company and its wholly owned subsidiaries. All intercompany balances and transactions have been eliminated in consolidation. The interim financial data as of September 30, 2023 and for the three and nine months ended September 30, 2023 and 2022 is unaudited. In the opinion of management, the interim financial data includes all adjustments, consisting only of normal recurring adjustments, necessary to a fair statement of the results for the interim periods. The consolidated balance sheet as of December 31, 2022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the Company’s Annual Report on Form 10-K for the year ended December 31, 2022, which was filed with the SEC on February 27, 2023 (the “2022 Form 10-K”).</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incremental borrowing rate applied to lease accounting, contingent liabilities, redemption probabilities associated with Wish Cash, allowances for refunds and chargebacks and uncertain tax positions.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16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The Company manages its operations and allocates resources as a single operating segment. The Company’s chief operating decision-maker is its Chief Executive Officer (“CEO”) who makes operating decisions, assesses financial performance and allocates resources based on condensed consolidated financial information. As such, the Company has determined that it operates in one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62" w:lineRule="exact"/>
        <w:rPr>
          <w:sz w:val="20"/>
          <w:szCs w:val="20"/>
          <w:color w:val="auto"/>
        </w:rPr>
      </w:pPr>
    </w:p>
    <w:p>
      <w:pPr>
        <w:jc w:val="both"/>
        <w:ind w:right="60" w:firstLine="636"/>
        <w:spacing w:after="0" w:line="239"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concentrations of credit risk consist primarily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funds receivable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 equivalents and marketable securities for the amounts reflected on the condensed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spacing w:after="0" w:line="139" w:lineRule="exact"/>
        <w:rPr>
          <w:sz w:val="20"/>
          <w:szCs w:val="20"/>
          <w:color w:val="auto"/>
        </w:rPr>
      </w:pPr>
    </w:p>
    <w:p>
      <w:pPr>
        <w:jc w:val="both"/>
        <w:ind w:right="60" w:firstLine="636"/>
        <w:spacing w:after="0" w:line="243" w:lineRule="auto"/>
        <w:rPr>
          <w:sz w:val="20"/>
          <w:szCs w:val="20"/>
          <w:color w:val="auto"/>
        </w:rPr>
      </w:pPr>
      <w:r>
        <w:rPr>
          <w:rFonts w:ascii="Arial" w:cs="Arial" w:eastAsia="Arial" w:hAnsi="Arial"/>
          <w:sz w:val="18"/>
          <w:szCs w:val="18"/>
          <w:color w:val="auto"/>
        </w:rPr>
        <w:t>The Company maintains certain bank accounts in China. The Company manages the counterparty risk associated with these funds through diversification with major financial institutions and monitors the concentration of this credit risk on a monthly basis. The total cash balance in these accounts represented approximately 37% and 24% of the Company’s total cash and cash equivalents as of September 30, 2023 and December 31, 2022, respectively.</w:t>
      </w:r>
    </w:p>
    <w:p>
      <w:pPr>
        <w:spacing w:after="0" w:line="134" w:lineRule="exact"/>
        <w:rPr>
          <w:sz w:val="20"/>
          <w:szCs w:val="20"/>
          <w:color w:val="auto"/>
        </w:rPr>
      </w:pPr>
    </w:p>
    <w:p>
      <w:pPr>
        <w:jc w:val="both"/>
        <w:ind w:right="60" w:firstLine="644"/>
        <w:spacing w:after="0" w:line="241" w:lineRule="auto"/>
        <w:rPr>
          <w:sz w:val="20"/>
          <w:szCs w:val="20"/>
          <w:color w:val="auto"/>
        </w:rPr>
      </w:pPr>
      <w:r>
        <w:rPr>
          <w:rFonts w:ascii="Arial" w:cs="Arial" w:eastAsia="Arial" w:hAnsi="Arial"/>
          <w:sz w:val="18"/>
          <w:szCs w:val="18"/>
          <w:color w:val="auto"/>
        </w:rPr>
        <w:t>The Company's derivative financial instruments expose it to credit risk to the extent that the counterparties may be unable to meet 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 transactions.</w:t>
      </w:r>
    </w:p>
    <w:p>
      <w:pPr>
        <w:spacing w:after="0" w:line="135" w:lineRule="exact"/>
        <w:rPr>
          <w:sz w:val="20"/>
          <w:szCs w:val="20"/>
          <w:color w:val="auto"/>
        </w:rPr>
      </w:pPr>
    </w:p>
    <w:p>
      <w:pPr>
        <w:jc w:val="both"/>
        <w:ind w:right="80" w:firstLine="636"/>
        <w:spacing w:after="0" w:line="247" w:lineRule="auto"/>
        <w:rPr>
          <w:sz w:val="20"/>
          <w:szCs w:val="20"/>
          <w:color w:val="auto"/>
        </w:rPr>
      </w:pPr>
      <w:r>
        <w:rPr>
          <w:rFonts w:ascii="Arial" w:cs="Arial" w:eastAsia="Arial" w:hAnsi="Arial"/>
          <w:sz w:val="18"/>
          <w:szCs w:val="18"/>
          <w:color w:val="auto"/>
        </w:rPr>
        <w:t>The Company is exposed to credit risk in the event of a default by its Payment Service Providers (“PSPs”). The Company does not generate revenue from PSPs. Significant changes in the Company’s relationship with its PSPs could adversely affect users’ ability to process transactions on the Company’s marketplaces, thereby impacting the Company’s operating results.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PSPs each represented 10% or more of the Company’s funds receivable balance: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September 30,</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660" w:type="dxa"/>
            <w:vAlign w:val="bottom"/>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PSP 1</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69 %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PSP 2</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28 %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3" w:lineRule="exact"/>
        <w:rPr>
          <w:sz w:val="20"/>
          <w:szCs w:val="20"/>
          <w:color w:val="auto"/>
        </w:rPr>
      </w:pPr>
    </w:p>
    <w:p>
      <w:pPr>
        <w:jc w:val="both"/>
        <w:ind w:right="60" w:firstLine="636"/>
        <w:spacing w:after="0" w:line="245" w:lineRule="auto"/>
        <w:rPr>
          <w:sz w:val="20"/>
          <w:szCs w:val="20"/>
          <w:color w:val="auto"/>
        </w:rPr>
      </w:pPr>
      <w:r>
        <w:rPr>
          <w:rFonts w:ascii="Arial" w:cs="Arial" w:eastAsia="Arial" w:hAnsi="Arial"/>
          <w:sz w:val="18"/>
          <w:szCs w:val="18"/>
          <w:i w:val="1"/>
          <w:iCs w:val="1"/>
          <w:color w:val="auto"/>
        </w:rPr>
        <w:t xml:space="preserve">Services Risk </w:t>
      </w:r>
      <w:r>
        <w:rPr>
          <w:rFonts w:ascii="Arial" w:cs="Arial" w:eastAsia="Arial" w:hAnsi="Arial"/>
          <w:sz w:val="18"/>
          <w:szCs w:val="18"/>
          <w:color w:val="auto"/>
        </w:rPr>
        <w:t>— The Company serves all its users using third-party data center and hosting providers. The Company has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protocols at the third-party service providers. Even with these procedures for disaster recovery in place, access to the Company’s service could be significantly interrupted, resulting in an adverse effect on its operating results and financial position. No significant interruptions of service were known to have occurred during the three and nine months ended September 30, 2023 and 2022.</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68" w:lineRule="exact"/>
        <w:rPr>
          <w:sz w:val="20"/>
          <w:szCs w:val="20"/>
          <w:color w:val="auto"/>
        </w:rPr>
      </w:pPr>
    </w:p>
    <w:p>
      <w:pPr>
        <w:jc w:val="both"/>
        <w:ind w:right="60" w:firstLine="636"/>
        <w:spacing w:after="0" w:line="260" w:lineRule="auto"/>
        <w:rPr>
          <w:sz w:val="20"/>
          <w:szCs w:val="20"/>
          <w:color w:val="auto"/>
        </w:rPr>
      </w:pPr>
      <w:r>
        <w:rPr>
          <w:rFonts w:ascii="Arial" w:cs="Arial" w:eastAsia="Arial" w:hAnsi="Arial"/>
          <w:sz w:val="18"/>
          <w:szCs w:val="18"/>
          <w:color w:val="auto"/>
        </w:rPr>
        <w:t>There have been no changes to the Company’s significant accounting policies described in its 2022 Form 10-K, filed with the SEC on February 27, 2023, that have had a material impact on its condensed consolidated financial statements.</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68" w:lineRule="exact"/>
        <w:rPr>
          <w:sz w:val="20"/>
          <w:szCs w:val="20"/>
          <w:color w:val="auto"/>
        </w:rPr>
      </w:pPr>
    </w:p>
    <w:p>
      <w:pPr>
        <w:jc w:val="both"/>
        <w:ind w:right="60" w:firstLine="636"/>
        <w:spacing w:after="0" w:line="260" w:lineRule="auto"/>
        <w:rPr>
          <w:sz w:val="20"/>
          <w:szCs w:val="20"/>
          <w:color w:val="auto"/>
        </w:rPr>
      </w:pPr>
      <w:r>
        <w:rPr>
          <w:rFonts w:ascii="Arial" w:cs="Arial" w:eastAsia="Arial" w:hAnsi="Arial"/>
          <w:sz w:val="18"/>
          <w:szCs w:val="18"/>
          <w:color w:val="auto"/>
        </w:rPr>
        <w:t>The Company has reviewed recent accounting pronouncements and concluded they are either not applicable to the business or no material impact is expected on the condensed consolidated financial statements as a result of future adoption.</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81"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DISAGGREGATION OF REVENUE</w:t>
      </w:r>
    </w:p>
    <w:p>
      <w:pPr>
        <w:spacing w:after="0" w:line="16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 generates revenue from marketplace and logistics services provided to its customers. Revenue is recognized as the Company transfers control of promised goods or services to its customers in an amount that reflects the consideration the Company expects to be entitled to in exchange for those goods or services. The Company considers both the merchant and the user to be customers, depending on the revenue stream.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and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Marketplace Revenue</w:t>
      </w:r>
    </w:p>
    <w:p>
      <w:pPr>
        <w:spacing w:after="0" w:line="164"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provides a mix of marketplace services to its customers. The Company provides merchants access to its marketplace where merchants display and sell their products to users. The Company also provides ProductBoost services to help merchants promote their products within the Company’s marketplace.</w:t>
      </w:r>
    </w:p>
    <w:p>
      <w:pPr>
        <w:spacing w:after="0" w:line="130"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 commission fees vary depending on factors such as geography, product category, Wish Standards' tier, item value and dynamic pricing. The Company recognizes revenue when a user’s order is processed and the related order information has been made available to the merchant. Commission fees are recognized net of estimated refunds and chargebacks. Marketplace revenue also includes ProductBoost revenue generated by increasing exposure for a merchant’s relevant products within the Company's marketplace. The Company recognizes ProductBoost revenue based on the number of impressions delivered, or clicks by users.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Logistics Revenue</w:t>
      </w:r>
    </w:p>
    <w:p>
      <w:pPr>
        <w:spacing w:after="0" w:line="164"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spacing w:after="0" w:line="13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recognizes revenue over time as the merchant simultaneously receives and consumes the logistics services benefit as the logistics services are performed. The Company uses an output method of progress based on days in transit as it best depicts the Company’s progress toward complete satisfaction of the performance obligation.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r>
      <w:tr>
        <w:trPr>
          <w:trHeight w:val="239"/>
        </w:trPr>
        <w:tc>
          <w:tcPr>
            <w:tcW w:w="47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Core marketplace revenue</w:t>
            </w:r>
          </w:p>
        </w:tc>
        <w:tc>
          <w:tcPr>
            <w:tcW w:w="104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6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ProductBoost revenue</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2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Logistics revenue</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r>
      <w:tr>
        <w:trPr>
          <w:trHeight w:val="263"/>
        </w:trPr>
        <w:tc>
          <w:tcPr>
            <w:tcW w:w="4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Revenue</w:t>
            </w: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11 – Geographical Information for the disaggregated revenue by geographical location.</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FINANCIAL INSTRUMENTS AND FAIR VALUE MEASUREMENT</w:t>
      </w:r>
    </w:p>
    <w:p>
      <w:pPr>
        <w:spacing w:after="0" w:line="168"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p>
    <w:p>
      <w:pPr>
        <w:spacing w:after="0" w:line="13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34"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23"/>
        </w:trPr>
        <w:tc>
          <w:tcPr>
            <w:tcW w:w="5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Money market funds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bills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U.S. government agency</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r>
      <w:tr>
        <w:trPr>
          <w:trHeight w:val="223"/>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marketable securities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Prepaid and other current assets:</w:t>
            </w:r>
          </w:p>
        </w:tc>
        <w:tc>
          <w:tcPr>
            <w:tcW w:w="8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5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Derivative assets</w:t>
            </w: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60" w:type="dxa"/>
            <w:vAlign w:val="bottom"/>
          </w:tcPr>
          <w:p>
            <w:pPr>
              <w:ind w:left="280"/>
              <w:spacing w:after="0"/>
              <w:rPr>
                <w:sz w:val="20"/>
                <w:szCs w:val="20"/>
                <w:color w:val="auto"/>
              </w:rPr>
            </w:pPr>
            <w:r>
              <w:rPr>
                <w:rFonts w:ascii="Arial" w:cs="Arial" w:eastAsia="Arial" w:hAnsi="Arial"/>
                <w:sz w:val="18"/>
                <w:szCs w:val="18"/>
                <w:color w:val="auto"/>
              </w:rPr>
              <w:t>Total financial assets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Derivative liabilities</w:t>
            </w: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60" w:type="dxa"/>
            <w:vAlign w:val="bottom"/>
          </w:tcPr>
          <w:p>
            <w:pPr>
              <w:ind w:left="280"/>
              <w:spacing w:after="0"/>
              <w:rPr>
                <w:sz w:val="20"/>
                <w:szCs w:val="20"/>
                <w:color w:val="auto"/>
              </w:rPr>
            </w:pPr>
            <w:r>
              <w:rPr>
                <w:rFonts w:ascii="Arial" w:cs="Arial" w:eastAsia="Arial" w:hAnsi="Arial"/>
                <w:sz w:val="18"/>
                <w:szCs w:val="18"/>
                <w:color w:val="auto"/>
              </w:rPr>
              <w:t>Total financial liabilities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-1263650</wp:posOffset>
            </wp:positionV>
            <wp:extent cx="7145020" cy="3213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5020" cy="32131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-796290</wp:posOffset>
            </wp:positionV>
            <wp:extent cx="77470"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-796290</wp:posOffset>
            </wp:positionV>
            <wp:extent cx="68580"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-796290</wp:posOffset>
            </wp:positionV>
            <wp:extent cx="68580"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-179070</wp:posOffset>
            </wp:positionV>
            <wp:extent cx="7747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-179070</wp:posOffset>
            </wp:positionV>
            <wp:extent cx="6858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-179070</wp:posOffset>
            </wp:positionV>
            <wp:extent cx="68580"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4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7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cash equivalents</w:t>
            </w:r>
          </w:p>
        </w:tc>
        <w:tc>
          <w:tcPr>
            <w:tcW w:w="24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Marketable securities:</w:t>
            </w:r>
          </w:p>
        </w:tc>
        <w:tc>
          <w:tcPr>
            <w:tcW w:w="1700" w:type="dxa"/>
            <w:vAlign w:val="bottom"/>
            <w:tcBorders>
              <w:top w:val="single" w:sz="8" w:color="CFF0FC"/>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24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Non-U.S. government</w:t>
            </w:r>
          </w:p>
        </w:tc>
        <w:tc>
          <w:tcPr>
            <w:tcW w:w="17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24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Prepaid and other current assets:</w:t>
            </w:r>
          </w:p>
        </w:tc>
        <w:tc>
          <w:tcPr>
            <w:tcW w:w="1700" w:type="dxa"/>
            <w:vAlign w:val="bottom"/>
            <w:tcBorders>
              <w:top w:val="single" w:sz="8" w:color="CFF0FC"/>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Derivative assets</w:t>
            </w:r>
          </w:p>
        </w:tc>
        <w:tc>
          <w:tcPr>
            <w:tcW w:w="17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24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271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Derivative liabilities</w:t>
            </w:r>
          </w:p>
        </w:tc>
        <w:tc>
          <w:tcPr>
            <w:tcW w:w="17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040" w:type="dxa"/>
            <w:vAlign w:val="bottom"/>
          </w:tcPr>
          <w:p>
            <w:pPr>
              <w:ind w:left="520"/>
              <w:spacing w:after="0"/>
              <w:rPr>
                <w:sz w:val="20"/>
                <w:szCs w:val="20"/>
                <w:color w:val="auto"/>
              </w:rPr>
            </w:pPr>
            <w:r>
              <w:rPr>
                <w:rFonts w:ascii="Arial" w:cs="Arial" w:eastAsia="Arial" w:hAnsi="Arial"/>
                <w:sz w:val="18"/>
                <w:szCs w:val="18"/>
                <w:color w:val="auto"/>
              </w:rPr>
              <w:t>Total financial liabilities</w:t>
            </w:r>
          </w:p>
        </w:tc>
        <w:tc>
          <w:tcPr>
            <w:tcW w:w="24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70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20" w:type="dxa"/>
            <w:vAlign w:val="bottom"/>
            <w:tcBorders>
              <w:bottom w:val="single" w:sz="8" w:color="9A9A9A"/>
            </w:tcBorders>
          </w:tcPr>
          <w:p>
            <w:pPr>
              <w:spacing w:after="0"/>
              <w:rPr>
                <w:sz w:val="7"/>
                <w:szCs w:val="7"/>
                <w:color w:val="auto"/>
              </w:rPr>
            </w:pPr>
          </w:p>
        </w:tc>
        <w:tc>
          <w:tcPr>
            <w:tcW w:w="40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-2468245</wp:posOffset>
            </wp:positionV>
            <wp:extent cx="6858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-2468245</wp:posOffset>
            </wp:positionV>
            <wp:extent cx="6858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-2468245</wp:posOffset>
            </wp:positionV>
            <wp:extent cx="6858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-2468245</wp:posOffset>
            </wp:positionV>
            <wp:extent cx="6858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-1576705</wp:posOffset>
            </wp:positionV>
            <wp:extent cx="6858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-1576705</wp:posOffset>
            </wp:positionV>
            <wp:extent cx="6858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-1576705</wp:posOffset>
            </wp:positionV>
            <wp:extent cx="6858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-1576705</wp:posOffset>
            </wp:positionV>
            <wp:extent cx="6858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-1276350</wp:posOffset>
            </wp:positionV>
            <wp:extent cx="6858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-1276350</wp:posOffset>
            </wp:positionV>
            <wp:extent cx="68580"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-1276350</wp:posOffset>
            </wp:positionV>
            <wp:extent cx="6858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-1276350</wp:posOffset>
            </wp:positionV>
            <wp:extent cx="68580"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-659130</wp:posOffset>
            </wp:positionV>
            <wp:extent cx="68580"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-659130</wp:posOffset>
            </wp:positionV>
            <wp:extent cx="6858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-659130</wp:posOffset>
            </wp:positionV>
            <wp:extent cx="68580"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-659130</wp:posOffset>
            </wp:positionV>
            <wp:extent cx="68580"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3" w:name="page14"/>
    <w:bookmarkEnd w:id="13"/>
    <w:p>
      <w:pPr>
        <w:jc w:val="both"/>
        <w:ind w:firstLine="644"/>
        <w:spacing w:after="0" w:line="241" w:lineRule="auto"/>
        <w:rPr>
          <w:sz w:val="20"/>
          <w:szCs w:val="20"/>
          <w:color w:val="auto"/>
        </w:rPr>
      </w:pPr>
      <w:r>
        <w:rPr>
          <w:rFonts w:ascii="Arial" w:cs="Arial" w:eastAsia="Arial" w:hAnsi="Arial"/>
          <w:sz w:val="18"/>
          <w:szCs w:val="18"/>
          <w:color w:val="auto"/>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4"/>
          </w:tcPr>
          <w:p>
            <w:pPr>
              <w:ind w:left="5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r>
      <w:tr>
        <w:trPr>
          <w:trHeight w:val="239"/>
        </w:trPr>
        <w:tc>
          <w:tcPr>
            <w:tcW w:w="5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w w:val="97"/>
              </w:rPr>
              <w:t>Amortized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Estimated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0"/>
              <w:spacing w:after="0" w:line="187" w:lineRule="exact"/>
              <w:rPr>
                <w:sz w:val="20"/>
                <w:szCs w:val="20"/>
                <w:color w:val="auto"/>
              </w:rPr>
            </w:pPr>
            <w:r>
              <w:rPr>
                <w:rFonts w:ascii="Arial" w:cs="Arial" w:eastAsia="Arial" w:hAnsi="Arial"/>
                <w:sz w:val="18"/>
                <w:szCs w:val="18"/>
                <w:b w:val="1"/>
                <w:bCs w:val="1"/>
                <w:color w:val="auto"/>
                <w:w w:val="97"/>
              </w:rPr>
              <w:t>Amortized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r>
      <w:tr>
        <w:trPr>
          <w:trHeight w:val="239"/>
        </w:trPr>
        <w:tc>
          <w:tcPr>
            <w:tcW w:w="5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4"/>
          </w:tcPr>
          <w:p>
            <w:pPr>
              <w:ind w:left="7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one year</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3"/>
              </w:rPr>
              <w:t>142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ind w:left="280"/>
              <w:spacing w:after="0"/>
              <w:rPr>
                <w:sz w:val="20"/>
                <w:szCs w:val="20"/>
                <w:color w:val="auto"/>
              </w:rPr>
            </w:pPr>
            <w:r>
              <w:rPr>
                <w:rFonts w:ascii="Arial" w:cs="Arial" w:eastAsia="Arial" w:hAnsi="Arial"/>
                <w:sz w:val="18"/>
                <w:szCs w:val="18"/>
                <w:color w:val="auto"/>
              </w:rPr>
              <w:t>Total 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700"/>
              <w:spacing w:after="0"/>
              <w:rPr>
                <w:sz w:val="20"/>
                <w:szCs w:val="20"/>
                <w:color w:val="auto"/>
              </w:rPr>
            </w:pPr>
            <w:r>
              <w:rPr>
                <w:rFonts w:ascii="Arial" w:cs="Arial" w:eastAsia="Arial" w:hAnsi="Arial"/>
                <w:sz w:val="18"/>
                <w:szCs w:val="18"/>
                <w:color w:val="auto"/>
                <w:w w:val="93"/>
              </w:rPr>
              <w:t>142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loss and net gain on available-for-sale marketable securities as of September 30, 2023 and December 31, 2022, respectively, were insignificant.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76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3"/>
        </w:trPr>
        <w:tc>
          <w:tcPr>
            <w:tcW w:w="776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760" w:type="dxa"/>
            <w:vAlign w:val="bottom"/>
          </w:tcPr>
          <w:p>
            <w:pPr>
              <w:ind w:left="640"/>
              <w:spacing w:after="0"/>
              <w:rPr>
                <w:sz w:val="20"/>
                <w:szCs w:val="20"/>
                <w:color w:val="auto"/>
              </w:rPr>
            </w:pPr>
            <w:r>
              <w:rPr>
                <w:rFonts w:ascii="Arial" w:cs="Arial" w:eastAsia="Arial" w:hAnsi="Arial"/>
                <w:sz w:val="18"/>
                <w:szCs w:val="18"/>
                <w:color w:val="auto"/>
              </w:rPr>
              <w:t>Accrued liabilities consist of the following:</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7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r>
      <w:tr>
        <w:trPr>
          <w:trHeight w:val="239"/>
        </w:trPr>
        <w:tc>
          <w:tcPr>
            <w:tcW w:w="7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7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gridSpan w:val="4"/>
          </w:tcPr>
          <w:p>
            <w:pPr>
              <w:jc w:val="right"/>
              <w:ind w:right="121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Logistics costs</w:t>
            </w:r>
            <w:r>
              <w:rPr>
                <w:rFonts w:ascii="Arial" w:cs="Arial" w:eastAsia="Arial" w:hAnsi="Arial"/>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0"/>
              <w:spacing w:after="0" w:line="229" w:lineRule="exact"/>
              <w:rPr>
                <w:sz w:val="20"/>
                <w:szCs w:val="20"/>
                <w:color w:val="auto"/>
              </w:rPr>
            </w:pPr>
            <w:r>
              <w:rPr>
                <w:rFonts w:ascii="Arial" w:cs="Arial" w:eastAsia="Arial" w:hAnsi="Arial"/>
                <w:sz w:val="18"/>
                <w:szCs w:val="18"/>
                <w:color w:val="auto"/>
              </w:rPr>
              <w:t>Deferred revenue and customer deposits</w:t>
            </w:r>
            <w:r>
              <w:rPr>
                <w:rFonts w:ascii="Arial" w:cs="Arial" w:eastAsia="Arial" w:hAnsi="Arial"/>
                <w:sz w:val="24"/>
                <w:szCs w:val="24"/>
                <w:color w:val="auto"/>
                <w:vertAlign w:val="superscript"/>
              </w:rPr>
              <w:t>(2)</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Wish Cash liability</w:t>
            </w:r>
            <w:r>
              <w:rPr>
                <w:rFonts w:ascii="Arial" w:cs="Arial" w:eastAsia="Arial" w:hAnsi="Arial"/>
                <w:sz w:val="24"/>
                <w:szCs w:val="24"/>
                <w:color w:val="auto"/>
                <w:vertAlign w:val="superscript"/>
              </w:rPr>
              <w:t>(3)</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0"/>
              <w:spacing w:after="0" w:line="229" w:lineRule="exact"/>
              <w:rPr>
                <w:sz w:val="20"/>
                <w:szCs w:val="20"/>
                <w:color w:val="auto"/>
              </w:rPr>
            </w:pPr>
            <w:r>
              <w:rPr>
                <w:rFonts w:ascii="Arial" w:cs="Arial" w:eastAsia="Arial" w:hAnsi="Arial"/>
                <w:sz w:val="18"/>
                <w:szCs w:val="18"/>
                <w:color w:val="auto"/>
              </w:rPr>
              <w:t>Sales and indirect taxes</w:t>
            </w:r>
            <w:r>
              <w:rPr>
                <w:rFonts w:ascii="Arial" w:cs="Arial" w:eastAsia="Arial" w:hAnsi="Arial"/>
                <w:sz w:val="24"/>
                <w:szCs w:val="24"/>
                <w:color w:val="auto"/>
                <w:vertAlign w:val="superscript"/>
              </w:rPr>
              <w:t>(4)</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2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6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-179705</wp:posOffset>
            </wp:positionV>
            <wp:extent cx="6858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45" w:lineRule="exact"/>
        <w:rPr>
          <w:sz w:val="20"/>
          <w:szCs w:val="20"/>
          <w:color w:val="auto"/>
        </w:rPr>
      </w:pPr>
    </w:p>
    <w:p>
      <w:pPr>
        <w:ind w:left="1140" w:hanging="383"/>
        <w:spacing w:after="0" w:line="256"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Logistics costs decreased by $21 million or 48% primarily due to lower shipping volumes during the third quarter of 2023 compared to the fourth quarter of 2022.</w:t>
      </w:r>
    </w:p>
    <w:p>
      <w:pPr>
        <w:spacing w:after="0" w:line="260" w:lineRule="exact"/>
        <w:rPr>
          <w:rFonts w:ascii="Arial" w:cs="Arial" w:eastAsia="Arial" w:hAnsi="Arial"/>
          <w:sz w:val="14"/>
          <w:szCs w:val="14"/>
          <w:color w:val="auto"/>
        </w:rPr>
      </w:pPr>
    </w:p>
    <w:p>
      <w:pPr>
        <w:jc w:val="both"/>
        <w:ind w:left="1140" w:right="20" w:hanging="383"/>
        <w:spacing w:after="0" w:line="257"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Deferred revenue and customer deposits decreased by $5 million or 28% primarily due to lower logistics volumes during the third quarter of 2023 compared to the fourth quarter of 2022. The amount of revenue recognized during the nine months ended September 30, 2023 that was included in the December 31, 2022 balance was $13 million.</w:t>
      </w:r>
    </w:p>
    <w:p>
      <w:pPr>
        <w:spacing w:after="0" w:line="76" w:lineRule="exact"/>
        <w:rPr>
          <w:rFonts w:ascii="Arial" w:cs="Arial" w:eastAsia="Arial" w:hAnsi="Arial"/>
          <w:sz w:val="14"/>
          <w:szCs w:val="14"/>
          <w:color w:val="auto"/>
        </w:rPr>
      </w:pPr>
    </w:p>
    <w:p>
      <w:pPr>
        <w:jc w:val="both"/>
        <w:ind w:left="1140" w:hanging="383"/>
        <w:spacing w:after="0" w:line="249"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 Wish Cash liability breakage recognized in core marketplace revenue during the third quarter of 2023 and the fourth quarter of 2022 was $2 million.</w:t>
      </w:r>
    </w:p>
    <w:p>
      <w:pPr>
        <w:spacing w:after="0" w:line="82" w:lineRule="exact"/>
        <w:rPr>
          <w:rFonts w:ascii="Arial" w:cs="Arial" w:eastAsia="Arial" w:hAnsi="Arial"/>
          <w:sz w:val="14"/>
          <w:szCs w:val="14"/>
          <w:color w:val="auto"/>
        </w:rPr>
      </w:pPr>
    </w:p>
    <w:p>
      <w:pPr>
        <w:ind w:left="1140" w:hanging="383"/>
        <w:spacing w:after="0" w:line="273"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and indirect taxes decreased by $1 million or 7% primarily due to less taxes collected in connection with lower order volumes during the third quarter of 2023 compared to the fourth quarter of 2022, partially offset by delayed payment of value added tax to the European Union.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16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The Company bills its users in their local currencies, primarily in U.S. dollars and Euros, and the Company makes payments to merchants for products sold on the Company’s platforms in various currencies through third party payment service providers, which creates exposure to currency rate fluctuations. The Company hedges these exposures to reduce the risk that its earnings and cash flows will be adversely affected by changes in exchange rates. As part of the Company’s foreign currency risk mitigation strategy, the Company enters into derivative contracts and foreign exchange forward contracts with up to twelve months in duration to hedge exposures for variability in U.S.-dollar equivalent of non-U.S.-dollar denominated cash flows associated with its forecasted revenue related transactions.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derivatives transactions are not collateralized and do not include collateralization agreements with counterparties.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use derivative financial instruments for speculative or trading purposes.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 of Derivative Activity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gross notional amounts for outstanding derivatives (recognized at fair value) as of the end of period consist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19"/>
                <w:szCs w:val="19"/>
                <w:color w:val="auto"/>
              </w:rPr>
            </w:pPr>
          </w:p>
        </w:tc>
        <w:tc>
          <w:tcPr>
            <w:tcW w:w="154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 hedges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3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Non-designated hedges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3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6260" w:type="dxa"/>
            <w:vAlign w:val="bottom"/>
            <w:tcBorders>
              <w:top w:val="single" w:sz="8" w:color="CFF0FC"/>
            </w:tcBorders>
          </w:tcPr>
          <w:p>
            <w:pPr>
              <w:spacing w:after="0"/>
              <w:rPr>
                <w:sz w:val="20"/>
                <w:szCs w:val="20"/>
                <w:color w:val="auto"/>
              </w:rPr>
            </w:pPr>
            <w:r>
              <w:rPr>
                <w:rFonts w:ascii="Arial" w:cs="Arial" w:eastAsia="Arial" w:hAnsi="Arial"/>
                <w:sz w:val="18"/>
                <w:szCs w:val="18"/>
                <w:i w:val="1"/>
                <w:iCs w:val="1"/>
                <w:color w:val="auto"/>
              </w:rPr>
              <w:t>Fair Value of Derivative Financial Instruments</w:t>
            </w:r>
          </w:p>
        </w:tc>
        <w:tc>
          <w:tcPr>
            <w:tcW w:w="12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Assets</w:t>
            </w:r>
            <w:r>
              <w:rPr>
                <w:rFonts w:ascii="Arial" w:cs="Arial" w:eastAsia="Arial" w:hAnsi="Arial"/>
                <w:sz w:val="24"/>
                <w:szCs w:val="24"/>
                <w:b w:val="1"/>
                <w:bCs w:val="1"/>
                <w:color w:val="auto"/>
                <w:w w:val="91"/>
                <w:vertAlign w:val="superscript"/>
              </w:rPr>
              <w:t>(1)</w:t>
            </w:r>
          </w:p>
        </w:tc>
        <w:tc>
          <w:tcPr>
            <w:tcW w:w="24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Liabilities</w:t>
            </w:r>
            <w:r>
              <w:rPr>
                <w:rFonts w:ascii="Arial" w:cs="Arial" w:eastAsia="Arial" w:hAnsi="Arial"/>
                <w:sz w:val="24"/>
                <w:szCs w:val="24"/>
                <w:b w:val="1"/>
                <w:bCs w:val="1"/>
                <w:color w:val="auto"/>
                <w:w w:val="99"/>
                <w:vertAlign w:val="superscript"/>
              </w:rPr>
              <w:t>(2)</w:t>
            </w:r>
          </w:p>
        </w:tc>
        <w:tc>
          <w:tcPr>
            <w:tcW w:w="2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restart"/>
          </w:tcPr>
          <w:p>
            <w:pPr>
              <w:jc w:val="right"/>
              <w:ind w:right="90"/>
              <w:spacing w:after="0"/>
              <w:rPr>
                <w:sz w:val="20"/>
                <w:szCs w:val="20"/>
                <w:color w:val="auto"/>
              </w:rPr>
            </w:pPr>
            <w:r>
              <w:rPr>
                <w:rFonts w:ascii="Arial" w:cs="Arial" w:eastAsia="Arial" w:hAnsi="Arial"/>
                <w:sz w:val="18"/>
                <w:szCs w:val="18"/>
                <w:b w:val="1"/>
                <w:bCs w:val="1"/>
                <w:color w:val="auto"/>
                <w:w w:val="96"/>
              </w:rPr>
              <w:t>Assets</w:t>
            </w:r>
            <w:r>
              <w:rPr>
                <w:rFonts w:ascii="Arial" w:cs="Arial" w:eastAsia="Arial" w:hAnsi="Arial"/>
                <w:sz w:val="24"/>
                <w:szCs w:val="24"/>
                <w:b w:val="1"/>
                <w:bCs w:val="1"/>
                <w:color w:val="auto"/>
                <w:w w:val="96"/>
                <w:vertAlign w:val="superscript"/>
              </w:rPr>
              <w:t>(1)</w:t>
            </w:r>
          </w:p>
        </w:tc>
        <w:tc>
          <w:tcPr>
            <w:tcW w:w="220" w:type="dxa"/>
            <w:vAlign w:val="bottom"/>
          </w:tcPr>
          <w:p>
            <w:pPr>
              <w:spacing w:after="0"/>
              <w:rPr>
                <w:sz w:val="14"/>
                <w:szCs w:val="14"/>
                <w:color w:val="auto"/>
              </w:rPr>
            </w:pP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b w:val="1"/>
                <w:bCs w:val="1"/>
                <w:color w:val="auto"/>
              </w:rPr>
              <w:t>Liabilities</w:t>
            </w:r>
            <w:r>
              <w:rPr>
                <w:rFonts w:ascii="Arial" w:cs="Arial" w:eastAsia="Arial" w:hAnsi="Arial"/>
                <w:sz w:val="19"/>
                <w:szCs w:val="19"/>
                <w:b w:val="1"/>
                <w:bCs w:val="1"/>
                <w:color w:val="auto"/>
                <w:vertAlign w:val="superscript"/>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394"/>
              <w:spacing w:after="0"/>
              <w:rPr>
                <w:sz w:val="20"/>
                <w:szCs w:val="20"/>
                <w:color w:val="auto"/>
              </w:rPr>
            </w:pPr>
            <w:r>
              <w:rPr>
                <w:rFonts w:ascii="Arial" w:cs="Arial" w:eastAsia="Arial" w:hAnsi="Arial"/>
                <w:sz w:val="12"/>
                <w:szCs w:val="12"/>
                <w:b w:val="1"/>
                <w:bCs w:val="1"/>
                <w:color w:val="auto"/>
                <w:w w:val="98"/>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designated as hedging instruments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80"/>
              <w:spacing w:after="0"/>
              <w:rPr>
                <w:sz w:val="20"/>
                <w:szCs w:val="20"/>
                <w:color w:val="auto"/>
              </w:rPr>
            </w:pPr>
            <w:r>
              <w:rPr>
                <w:rFonts w:ascii="Arial" w:cs="Arial" w:eastAsia="Arial" w:hAnsi="Arial"/>
                <w:sz w:val="18"/>
                <w:szCs w:val="18"/>
                <w:color w:val="auto"/>
              </w:rPr>
              <w:t>Cash flow hedges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not designated as hedging instruments</w:t>
            </w: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derivatives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-1842135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-1824990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1140" w:hanging="383"/>
        <w:spacing w:after="0"/>
        <w:tabs>
          <w:tab w:leader="none" w:pos="114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Derivative assets are included within prepaid and other current assets in the condensed consolidated balance sheets.</w:t>
      </w:r>
    </w:p>
    <w:p>
      <w:pPr>
        <w:spacing w:after="0" w:line="109" w:lineRule="exact"/>
        <w:rPr>
          <w:rFonts w:ascii="Arial" w:cs="Arial" w:eastAsia="Arial" w:hAnsi="Arial"/>
          <w:sz w:val="14"/>
          <w:szCs w:val="14"/>
          <w:color w:val="auto"/>
        </w:rPr>
      </w:pPr>
    </w:p>
    <w:p>
      <w:pPr>
        <w:ind w:left="1140" w:hanging="383"/>
        <w:spacing w:after="0"/>
        <w:tabs>
          <w:tab w:leader="none" w:pos="114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Derivative liabilities are included within "other" in accrued liabilities in the condensed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in Cash Flow Hedging Relationships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262626"/>
        </w:rPr>
        <w:t>The changes in accumulated other comprehensive income (loss) resulting from cash flow hedging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7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gridSpan w:val="5"/>
          </w:tcPr>
          <w:p>
            <w:pPr>
              <w:jc w:val="right"/>
              <w:ind w:right="14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Amounts recognized in core marketplace revenue and reclassified out of</w:t>
            </w:r>
          </w:p>
        </w:tc>
        <w:tc>
          <w:tcPr>
            <w:tcW w:w="140" w:type="dxa"/>
            <w:vAlign w:val="bottom"/>
            <w:shd w:val="clear" w:color="auto" w:fill="CFF0FC"/>
          </w:tcPr>
          <w:p>
            <w:pPr>
              <w:spacing w:after="0"/>
              <w:rPr>
                <w:sz w:val="17"/>
                <w:szCs w:val="17"/>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4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552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-659130</wp:posOffset>
            </wp:positionV>
            <wp:extent cx="6858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5" w:name="page16"/>
    <w:bookmarkEnd w:id="15"/>
    <w:p>
      <w:pPr>
        <w:jc w:val="both"/>
        <w:ind w:firstLine="644"/>
        <w:spacing w:after="0" w:line="238" w:lineRule="auto"/>
        <w:rPr>
          <w:sz w:val="20"/>
          <w:szCs w:val="20"/>
          <w:color w:val="auto"/>
        </w:rPr>
      </w:pPr>
      <w:r>
        <w:rPr>
          <w:rFonts w:ascii="Arial" w:cs="Arial" w:eastAsia="Arial" w:hAnsi="Arial"/>
          <w:sz w:val="18"/>
          <w:szCs w:val="18"/>
          <w:color w:val="262626"/>
        </w:rPr>
        <w:t>The Company recognizes changes in fair value of the cash flow hedges of foreign currency denominated merchants payable in accumulated other comprehensive loss in its condensed consolidated balance sheets until the forecasted transaction occurs. When the forecasted transaction affects earnings, the Company reclassifies the related gain or loss on the cash flow hedge to core marketplace 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loss to core marketplace revenue. For the three and nine months ended September 30, 2023 and 2022, there were no net gains or losses recognized in core marketplace revenue relating to hedges of forecasted transactions that did not occur or were not probable to occur.</w:t>
      </w:r>
    </w:p>
    <w:p>
      <w:pPr>
        <w:spacing w:after="0" w:line="140"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 Company classifies cash flows related to its cash flow hedges as operating activities in its condensed consolidated statements of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Derivatives Not Designated as Hedging Instruments</w:t>
      </w:r>
    </w:p>
    <w:p>
      <w:pPr>
        <w:spacing w:after="0" w:line="164"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The net gains and losses on the change in fair value of the Company’s foreign exchange forward contracts not designated as hedging instruments recognized in other income, net in the condensed consolidated statements of operations were approximately a net gain of $1 million and a net loss of $3 million for the three and nine months ended September 30, 2023, respectively, and were approximately net losses of $4 million and $8 million for the three and nine months ended September 30, 2022, respectively.</w:t>
      </w:r>
    </w:p>
    <w:p>
      <w:pPr>
        <w:spacing w:after="0" w:line="134" w:lineRule="exact"/>
        <w:rPr>
          <w:sz w:val="20"/>
          <w:szCs w:val="20"/>
          <w:color w:val="auto"/>
        </w:rPr>
      </w:pPr>
    </w:p>
    <w:p>
      <w:pPr>
        <w:jc w:val="both"/>
        <w:ind w:right="20" w:firstLine="636"/>
        <w:spacing w:after="0" w:line="260" w:lineRule="auto"/>
        <w:rPr>
          <w:sz w:val="20"/>
          <w:szCs w:val="20"/>
          <w:color w:val="auto"/>
        </w:rPr>
      </w:pPr>
      <w:r>
        <w:rPr>
          <w:rFonts w:ascii="Arial" w:cs="Arial" w:eastAsia="Arial" w:hAnsi="Arial"/>
          <w:sz w:val="18"/>
          <w:szCs w:val="18"/>
          <w:color w:val="auto"/>
        </w:rPr>
        <w:t>The Company classifies cash flows related to its non-designated hedging instruments as operating activities in its condensed consolidated statements of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OPERATING LEASES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its facilities and data center colocations under operating leases with various expiration dates through 2027.</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Total operating lease cost was $1 million and $3 million for the three and nine months ended September 30, 2023, respectively, and $2 million and $6 million for the three and nine months ended September 30, 2022, respectively. Short-term lease costs, variable lease costs and sublease income were not material.</w:t>
      </w:r>
    </w:p>
    <w:p>
      <w:pPr>
        <w:spacing w:after="0" w:line="13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 of September 30, 2023 and December 31, 2022, the Company’s condensed consolidated balance sheets included right-of-use assets in the amount of $6 million and $9 million, respectively, and current lease liabilities in the amount of $7 million and $7 million in accrued liabilities, respectively, and $7 million and $13 million in lease liabilities, non-current, respectively.</w:t>
      </w:r>
    </w:p>
    <w:p>
      <w:pPr>
        <w:spacing w:after="0" w:line="130"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As of September 30, 2023 and December 31, 2022, the weighted-average remaining lease term was 2 and 3 years, respectively, and the weighted-average discount rate used to determine the net present value of the lease liabilities was 6% for both periods.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cash flow information for the Company’s operating leases was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180" w:type="dxa"/>
            <w:vAlign w:val="bottom"/>
            <w:tcBorders>
              <w:bottom w:val="single" w:sz="8" w:color="auto"/>
            </w:tcBorders>
            <w:gridSpan w:val="5"/>
          </w:tcPr>
          <w:p>
            <w:pPr>
              <w:jc w:val="center"/>
              <w:ind w:left="54"/>
              <w:spacing w:after="0"/>
              <w:rPr>
                <w:sz w:val="20"/>
                <w:szCs w:val="20"/>
                <w:color w:val="auto"/>
              </w:rPr>
            </w:pPr>
            <w:r>
              <w:rPr>
                <w:rFonts w:ascii="Arial" w:cs="Arial" w:eastAsia="Arial" w:hAnsi="Arial"/>
                <w:sz w:val="18"/>
                <w:szCs w:val="18"/>
                <w:b w:val="1"/>
                <w:bCs w:val="1"/>
                <w:color w:val="auto"/>
                <w:w w:val="99"/>
              </w:rPr>
              <w:t>Nine Months Ended,</w:t>
            </w:r>
          </w:p>
        </w:tc>
        <w:tc>
          <w:tcPr>
            <w:tcW w:w="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400" w:type="dxa"/>
            <w:vAlign w:val="bottom"/>
          </w:tcPr>
          <w:p>
            <w:pPr>
              <w:jc w:val="center"/>
              <w:ind w:left="34"/>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left="55"/>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40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280" w:type="dxa"/>
            <w:vAlign w:val="bottom"/>
            <w:gridSpan w:val="2"/>
          </w:tcPr>
          <w:p>
            <w:pPr>
              <w:spacing w:after="0"/>
              <w:rPr>
                <w:sz w:val="20"/>
                <w:szCs w:val="20"/>
                <w:color w:val="auto"/>
              </w:rPr>
            </w:pPr>
          </w:p>
        </w:tc>
        <w:tc>
          <w:tcPr>
            <w:tcW w:w="1380" w:type="dxa"/>
            <w:vAlign w:val="bottom"/>
            <w:tcBorders>
              <w:bottom w:val="single" w:sz="8" w:color="auto"/>
            </w:tcBorders>
          </w:tcPr>
          <w:p>
            <w:pPr>
              <w:jc w:val="center"/>
              <w:ind w:left="55"/>
              <w:spacing w:after="0"/>
              <w:rPr>
                <w:sz w:val="20"/>
                <w:szCs w:val="20"/>
                <w:color w:val="auto"/>
              </w:rPr>
            </w:pPr>
            <w:r>
              <w:rPr>
                <w:rFonts w:ascii="Arial" w:cs="Arial" w:eastAsia="Arial" w:hAnsi="Arial"/>
                <w:sz w:val="18"/>
                <w:szCs w:val="18"/>
                <w:b w:val="1"/>
                <w:bCs w:val="1"/>
                <w:color w:val="auto"/>
                <w:w w:val="99"/>
              </w:rPr>
              <w:t>2022</w:t>
            </w:r>
          </w:p>
        </w:tc>
        <w:tc>
          <w:tcPr>
            <w:tcW w:w="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3180" w:type="dxa"/>
            <w:vAlign w:val="bottom"/>
            <w:gridSpan w:val="5"/>
          </w:tcPr>
          <w:p>
            <w:pPr>
              <w:jc w:val="center"/>
              <w:ind w:left="54"/>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gridSpan w:val="2"/>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400" w:type="dxa"/>
            <w:vAlign w:val="bottom"/>
          </w:tcPr>
          <w:p>
            <w:pPr>
              <w:jc w:val="right"/>
              <w:ind w:right="1214"/>
              <w:spacing w:after="0"/>
              <w:rPr>
                <w:sz w:val="20"/>
                <w:szCs w:val="20"/>
                <w:color w:val="auto"/>
              </w:rPr>
            </w:pPr>
            <w:r>
              <w:rPr>
                <w:rFonts w:ascii="Arial" w:cs="Arial" w:eastAsia="Arial" w:hAnsi="Arial"/>
                <w:sz w:val="18"/>
                <w:szCs w:val="18"/>
                <w:color w:val="auto"/>
                <w:w w:val="7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660" w:type="dxa"/>
            <w:vAlign w:val="bottom"/>
            <w:gridSpan w:val="3"/>
          </w:tcPr>
          <w:p>
            <w:pPr>
              <w:jc w:val="right"/>
              <w:ind w:right="1175"/>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20" w:type="dxa"/>
            <w:vAlign w:val="bottom"/>
            <w:gridSpan w:val="2"/>
          </w:tcPr>
          <w:p>
            <w:pPr>
              <w:ind w:left="640"/>
              <w:spacing w:after="0"/>
              <w:rPr>
                <w:sz w:val="20"/>
                <w:szCs w:val="20"/>
                <w:color w:val="auto"/>
              </w:rPr>
            </w:pPr>
            <w:r>
              <w:rPr>
                <w:rFonts w:ascii="Arial" w:cs="Arial" w:eastAsia="Arial" w:hAnsi="Arial"/>
                <w:sz w:val="18"/>
                <w:szCs w:val="18"/>
                <w:color w:val="auto"/>
              </w:rPr>
              <w:t>The maturities of the Company’s operating lease liabilities are as follows: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center"/>
              <w:ind w:left="55"/>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6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9"/>
              </w:rPr>
              <w:t>2023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4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left="55"/>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2023 (remaining three months)</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80"/>
              <w:spacing w:after="0"/>
              <w:rPr>
                <w:sz w:val="20"/>
                <w:szCs w:val="20"/>
                <w:color w:val="auto"/>
              </w:rPr>
            </w:pPr>
            <w:r>
              <w:rPr>
                <w:rFonts w:ascii="Arial" w:cs="Arial" w:eastAsia="Arial" w:hAnsi="Arial"/>
                <w:sz w:val="18"/>
                <w:szCs w:val="18"/>
                <w:color w:val="auto"/>
              </w:rPr>
              <w:t>2024</w:t>
            </w:r>
          </w:p>
        </w:tc>
        <w:tc>
          <w:tcPr>
            <w:tcW w:w="5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2025</w:t>
            </w:r>
          </w:p>
        </w:tc>
        <w:tc>
          <w:tcPr>
            <w:tcW w:w="5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80"/>
              <w:spacing w:after="0"/>
              <w:rPr>
                <w:sz w:val="20"/>
                <w:szCs w:val="20"/>
                <w:color w:val="auto"/>
              </w:rPr>
            </w:pPr>
            <w:r>
              <w:rPr>
                <w:rFonts w:ascii="Arial" w:cs="Arial" w:eastAsia="Arial" w:hAnsi="Arial"/>
                <w:sz w:val="18"/>
                <w:szCs w:val="18"/>
                <w:color w:val="auto"/>
              </w:rPr>
              <w:t>2026</w:t>
            </w:r>
          </w:p>
        </w:tc>
        <w:tc>
          <w:tcPr>
            <w:tcW w:w="5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2027</w:t>
            </w:r>
          </w:p>
        </w:tc>
        <w:tc>
          <w:tcPr>
            <w:tcW w:w="538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gridSpan w:val="2"/>
          </w:tcPr>
          <w:p>
            <w:pPr>
              <w:ind w:left="500"/>
              <w:spacing w:after="0"/>
              <w:rPr>
                <w:sz w:val="20"/>
                <w:szCs w:val="20"/>
                <w:color w:val="auto"/>
              </w:rPr>
            </w:pPr>
            <w:r>
              <w:rPr>
                <w:rFonts w:ascii="Arial" w:cs="Arial" w:eastAsia="Arial" w:hAnsi="Arial"/>
                <w:sz w:val="18"/>
                <w:szCs w:val="18"/>
                <w:color w:val="auto"/>
              </w:rPr>
              <w:t>Total lease payments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Less: imputed interest</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20" w:type="dxa"/>
            <w:vAlign w:val="bottom"/>
            <w:tcBorders>
              <w:top w:val="single" w:sz="8" w:color="CFF0FC"/>
            </w:tcBorders>
          </w:tcPr>
          <w:p>
            <w:pPr>
              <w:spacing w:after="0"/>
              <w:rPr>
                <w:sz w:val="19"/>
                <w:szCs w:val="19"/>
                <w:color w:val="auto"/>
              </w:rPr>
            </w:pPr>
          </w:p>
        </w:tc>
        <w:tc>
          <w:tcPr>
            <w:tcW w:w="7620" w:type="dxa"/>
            <w:vAlign w:val="bottom"/>
            <w:tcBorders>
              <w:top w:val="single" w:sz="8" w:color="CFF0FC"/>
            </w:tcBorders>
            <w:gridSpan w:val="2"/>
          </w:tcPr>
          <w:p>
            <w:pPr>
              <w:ind w:left="500"/>
              <w:spacing w:after="0"/>
              <w:rPr>
                <w:sz w:val="20"/>
                <w:szCs w:val="20"/>
                <w:color w:val="auto"/>
              </w:rPr>
            </w:pPr>
            <w:r>
              <w:rPr>
                <w:rFonts w:ascii="Arial" w:cs="Arial" w:eastAsia="Arial" w:hAnsi="Arial"/>
                <w:sz w:val="18"/>
                <w:szCs w:val="18"/>
                <w:color w:val="auto"/>
              </w:rPr>
              <w:t>Present value of lease liabilities</w:t>
            </w:r>
          </w:p>
        </w:tc>
        <w:tc>
          <w:tcPr>
            <w:tcW w:w="14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gridSpan w:val="3"/>
            <w:vMerge w:val="restart"/>
          </w:tcPr>
          <w:p>
            <w:pPr>
              <w:jc w:val="right"/>
              <w:ind w:right="1920"/>
              <w:spacing w:after="0"/>
              <w:rPr>
                <w:sz w:val="20"/>
                <w:szCs w:val="20"/>
                <w:color w:val="auto"/>
              </w:rPr>
            </w:pPr>
            <w:r>
              <w:rPr>
                <w:rFonts w:ascii="Arial" w:cs="Arial" w:eastAsia="Arial" w:hAnsi="Arial"/>
                <w:sz w:val="18"/>
                <w:szCs w:val="18"/>
                <w:color w:val="auto"/>
              </w:rPr>
              <w:t>13</w:t>
            </w: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64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53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68"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If the Company is able to secure additional lender commitments and satisfy certain other conditions, the aggregate facility commitments can be increased by up to $100 million through an accordion option. The Company also enters into letters of credit from time to time, which reduces its borrowing capacity under the Revolving Credit Facility.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w:t>
      </w:r>
    </w:p>
    <w:p>
      <w:pPr>
        <w:spacing w:after="0" w:line="140"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$7 million has been issued under the Revolving Credit Facility in conjunction with the lease of the Company’s headquarters in San Francisco, California. As of September 30, 2023, the Company had not made any borrowings under the Revolving Credit Facility and it was in compliance with the related financial covenants. Fees incurred under the Revolving Credit Facility were insignificant for the three and nine months ended September 30, 2023 and 2022.</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81"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Effective September 1, 2022, the Company entered into an amendment to a colocation and cloud services arrangement committing the Company to make payments of $85 million for services over 3 years. As of September 30, 2023, the remaining commitment under this amended agreement was approximately $51 million and is payable within the next two years.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Contingencies and Proceedings</w:t>
      </w:r>
    </w:p>
    <w:p>
      <w:pPr>
        <w:spacing w:after="0" w:line="168"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and the remaining three have been coordinated and consolidated. In May 2022, the Court appointed lead plaintiffs, who subsequently filed an amended consolidated class action complaint pursuant to Sections 11 and 15 of the Securities Act and Sections 10(b) and 20(a) of the Exchange Act. On April 10, 2023, the plaintiffs filed an amended complaint and assert only claims made under Sections 11 and 15 of the Securities Act. The Company believes these lawsuits are without merit and intends to vigorously defend them. Based on the preliminary nature of the proceedings in these cases, the Company cannot estimate a range of potential losses at this point in time.</w:t>
      </w:r>
    </w:p>
    <w:p>
      <w:pPr>
        <w:spacing w:after="0" w:line="137"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point in time.</w:t>
      </w:r>
    </w:p>
    <w:p>
      <w:pPr>
        <w:spacing w:after="0" w:line="140"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8"/>
          <w:szCs w:val="18"/>
          <w:color w:val="auto"/>
        </w:rPr>
        <w:t>As of September 30, 2023,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AWARD ACTIVITY AND STOCK-BASED COMPENSATION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7" w:name="page18"/>
    <w:bookmarkEnd w:id="17"/>
    <w:p>
      <w:pPr>
        <w:ind w:left="64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activity under the equity plans and related information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40" w:type="dxa"/>
            <w:vAlign w:val="bottom"/>
            <w:gridSpan w:val="4"/>
          </w:tcPr>
          <w:p>
            <w:pPr>
              <w:ind w:left="140"/>
              <w:spacing w:after="0"/>
              <w:rPr>
                <w:sz w:val="20"/>
                <w:szCs w:val="20"/>
                <w:color w:val="auto"/>
              </w:rPr>
            </w:pPr>
            <w:r>
              <w:rPr>
                <w:rFonts w:ascii="Arial" w:cs="Arial" w:eastAsia="Arial" w:hAnsi="Arial"/>
                <w:sz w:val="16"/>
                <w:szCs w:val="16"/>
                <w:b w:val="1"/>
                <w:bCs w:val="1"/>
                <w:color w:val="auto"/>
              </w:rPr>
              <w:t>Options Outstanding</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RSUs Outstanding</w:t>
            </w:r>
          </w:p>
        </w:tc>
      </w:tr>
      <w:tr>
        <w:trPr>
          <w:trHeight w:val="178"/>
        </w:trPr>
        <w:tc>
          <w:tcPr>
            <w:tcW w:w="44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Weighted-</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Average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Exercise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8"/>
              </w:rPr>
              <w:t>Term (In</w:t>
            </w:r>
          </w:p>
        </w:tc>
        <w:tc>
          <w:tcPr>
            <w:tcW w:w="2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r>
      <w:tr>
        <w:trPr>
          <w:trHeight w:val="221"/>
        </w:trPr>
        <w:tc>
          <w:tcPr>
            <w:tcW w:w="44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Price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8"/>
              </w:rPr>
              <w:t>Years)</w:t>
            </w:r>
          </w:p>
        </w:tc>
        <w:tc>
          <w:tcPr>
            <w:tcW w:w="2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RSUs</w:t>
            </w:r>
          </w:p>
        </w:tc>
      </w:tr>
      <w:tr>
        <w:trPr>
          <w:trHeight w:val="210"/>
        </w:trPr>
        <w:tc>
          <w:tcPr>
            <w:tcW w:w="442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at December 31, 2022</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31.17</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2,399</w:t>
            </w:r>
          </w:p>
        </w:tc>
        <w:tc>
          <w:tcPr>
            <w:tcW w:w="100" w:type="dxa"/>
            <w:vAlign w:val="bottom"/>
            <w:shd w:val="clear" w:color="auto" w:fill="CFF0FC"/>
          </w:tcPr>
          <w:p>
            <w:pPr>
              <w:spacing w:after="0"/>
              <w:rPr>
                <w:sz w:val="18"/>
                <w:szCs w:val="18"/>
                <w:color w:val="auto"/>
              </w:rPr>
            </w:pP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299</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15.03</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2,763</w:t>
            </w:r>
          </w:p>
        </w:tc>
        <w:tc>
          <w:tcPr>
            <w:tcW w:w="100" w:type="dxa"/>
            <w:vAlign w:val="bottom"/>
          </w:tcPr>
          <w:p>
            <w:pPr>
              <w:spacing w:after="0"/>
              <w:rPr>
                <w:sz w:val="18"/>
                <w:szCs w:val="18"/>
                <w:color w:val="auto"/>
              </w:rPr>
            </w:pPr>
          </w:p>
        </w:tc>
      </w:tr>
      <w:tr>
        <w:trPr>
          <w:trHeight w:val="219"/>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spacing w:after="0"/>
              <w:rPr>
                <w:sz w:val="19"/>
                <w:szCs w:val="19"/>
                <w:color w:val="auto"/>
              </w:rPr>
            </w:pPr>
          </w:p>
        </w:tc>
        <w:tc>
          <w:tcPr>
            <w:tcW w:w="184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(994 )</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Forfeited or cancelled</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6"/>
                <w:szCs w:val="16"/>
                <w:color w:val="auto"/>
              </w:rPr>
              <w:t>(1,526 )</w:t>
            </w:r>
          </w:p>
        </w:tc>
      </w:tr>
      <w:tr>
        <w:trPr>
          <w:trHeight w:val="253"/>
        </w:trPr>
        <w:tc>
          <w:tcPr>
            <w:tcW w:w="44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 at September 30, 2023</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5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5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-24765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-170815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weighted-average grant date fair value of restricted stock was $8.10 and $13.92 per share for the three and nine months ended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respectively, and $44.66 and $53.87 per share for the three and nine months ended September 30, 2022, respectively.</w:t>
      </w:r>
    </w:p>
    <w:p>
      <w:pPr>
        <w:spacing w:after="0"/>
        <w:rPr>
          <w:sz w:val="20"/>
          <w:szCs w:val="20"/>
          <w:color w:val="auto"/>
        </w:rPr>
      </w:pPr>
      <w:r>
        <w:rPr>
          <w:rFonts w:ascii="Arial" w:cs="Arial" w:eastAsia="Arial" w:hAnsi="Arial"/>
          <w:sz w:val="18"/>
          <w:szCs w:val="18"/>
          <w:color w:val="auto"/>
        </w:rPr>
        <w:t>As of September 30, 2023, 1,803 thousand shares remained available for grant under the Company’s equity incentive plans.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CEO Transition</w:t>
      </w:r>
    </w:p>
    <w:p>
      <w:pPr>
        <w:spacing w:after="0" w:line="16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February 2023, the Board appointed Jun Yan as the Company's CEO, who was then serving as the Company's interim CEO. According to the terms of his new employment agreement, Mr. Yan was granted (i) 167 thousand RSUs with an aggregate grant date fair value of $3 million and (ii) options to purchase 299 thousand shares of the Company's common stock at an exercise price $15.03 per share with an aggregate grant date fair value of $3 million. These RSUs and options will become vested and exercisable, respectively, in periodic installments over a 2-year term, subject to the CEO's continued service with the Company. The option award has a term of 10 years. Mr. Yan's equity awards granted under his previous employment agreement as interim CEO will continue to vest according to the terms of that agreement.</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6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fair value of options was estimated using the Black-Scholes option pricing model which takes into account inputs such as the exercise price, the value of the underlying shares as of the grant date, expected term, expected volatility, risk free interest rate, and dividend yield. The fair value of the options was determined using the methods and assumptions discussed below:</w:t>
      </w:r>
    </w:p>
    <w:p>
      <w:pPr>
        <w:spacing w:after="0" w:line="76" w:lineRule="exact"/>
        <w:rPr>
          <w:sz w:val="20"/>
          <w:szCs w:val="20"/>
          <w:color w:val="auto"/>
        </w:rPr>
      </w:pPr>
    </w:p>
    <w:p>
      <w:pPr>
        <w:jc w:val="both"/>
        <w:ind w:left="1020" w:hanging="503"/>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the options was determined using the “simplified” method as prescribed in the SEC’s Staff Accounting Bulletin No. 107, whereby the expected life equals the arithmetic average of the vesting term and the original contractual term of the option due to the Company’s lack of sufficient historical data.</w:t>
      </w:r>
    </w:p>
    <w:p>
      <w:pPr>
        <w:spacing w:after="0" w:line="76"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was based on the interest rate payable on the U.S. Treasury securities in effect at the time of grant for a period that is commensurate with the assumed expected term.</w:t>
      </w:r>
    </w:p>
    <w:p>
      <w:pPr>
        <w:spacing w:after="0" w:line="64"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was based on the historical volatility of the publicly traded common stock of peer group companies blended with the limited historical volatility of the Company’s own common stock weighted to reflect the short trading period of the Company’s stock since its IPO in December 2020.</w:t>
      </w:r>
    </w:p>
    <w:p>
      <w:pPr>
        <w:spacing w:after="0" w:line="76"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dividend yield was zero because the Company has not historically paid and does not expect to pay a dividend on its ordinary shares in the foreseeable future.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the assumptions used in the Black-Scholes option pricing model to determine the fair value of the options is as follows: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8" w:name="page19"/>
    <w:bookmarkEnd w:id="18"/>
    <w:p>
      <w:pPr>
        <w:ind w:left="808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67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4.15 %</w:t>
            </w:r>
          </w:p>
        </w:tc>
        <w:tc>
          <w:tcPr>
            <w:tcW w:w="44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2.28 %</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91.51 %</w:t>
            </w:r>
          </w:p>
        </w:tc>
        <w:tc>
          <w:tcPr>
            <w:tcW w:w="44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75.53 %</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26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fair value per share</w:t>
            </w:r>
          </w:p>
        </w:tc>
        <w:tc>
          <w:tcPr>
            <w:tcW w:w="126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47.25</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-436245</wp:posOffset>
            </wp:positionV>
            <wp:extent cx="698627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86270" cy="145415"/>
                    </a:xfrm>
                    <a:prstGeom prst="rect">
                      <a:avLst/>
                    </a:prstGeom>
                    <a:noFill/>
                  </pic:spPr>
                </pic:pic>
              </a:graphicData>
            </a:graphic>
          </wp:anchor>
        </w:drawing>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40" w:type="dxa"/>
            <w:vAlign w:val="bottom"/>
          </w:tcPr>
          <w:p>
            <w:pPr>
              <w:spacing w:after="0"/>
              <w:rPr>
                <w:sz w:val="19"/>
                <w:szCs w:val="19"/>
                <w:color w:val="auto"/>
              </w:rPr>
            </w:pPr>
          </w:p>
        </w:tc>
        <w:tc>
          <w:tcPr>
            <w:tcW w:w="27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5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w w:val="99"/>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gridSpan w:val="3"/>
          </w:tcPr>
          <w:p>
            <w:pPr>
              <w:jc w:val="right"/>
              <w:ind w:right="63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63"/>
        </w:trPr>
        <w:tc>
          <w:tcPr>
            <w:tcW w:w="4540" w:type="dxa"/>
            <w:vAlign w:val="bottom"/>
            <w:tcBorders>
              <w:bottom w:val="single" w:sz="8" w:color="CFF0FC"/>
            </w:tcBorders>
            <w:shd w:val="clear" w:color="auto" w:fill="CFF0FC"/>
          </w:tcPr>
          <w:p>
            <w:pPr>
              <w:ind w:left="280"/>
              <w:spacing w:after="0" w:line="222" w:lineRule="exact"/>
              <w:rPr>
                <w:sz w:val="20"/>
                <w:szCs w:val="20"/>
                <w:color w:val="auto"/>
              </w:rPr>
            </w:pPr>
            <w:r>
              <w:rPr>
                <w:rFonts w:ascii="Arial" w:cs="Arial" w:eastAsia="Arial" w:hAnsi="Arial"/>
                <w:sz w:val="18"/>
                <w:szCs w:val="18"/>
                <w:color w:val="auto"/>
              </w:rPr>
              <w:t>Total stock-based compensation</w:t>
            </w:r>
            <w:r>
              <w:rPr>
                <w:rFonts w:ascii="Arial" w:cs="Arial" w:eastAsia="Arial" w:hAnsi="Arial"/>
                <w:sz w:val="24"/>
                <w:szCs w:val="24"/>
                <w:color w:val="auto"/>
                <w:vertAlign w:val="superscript"/>
              </w:rPr>
              <w:t>(1)(2)</w:t>
            </w:r>
          </w:p>
        </w:tc>
        <w:tc>
          <w:tcPr>
            <w:tcW w:w="96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-25400</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jc w:val="both"/>
        <w:ind w:left="1140" w:hanging="383"/>
        <w:spacing w:after="0" w:line="249"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stock-based compensation for the three months September 30, 2023 decreased by $13 million compared to the three months ended September 30, 2022. This decrease was primarily due to (i) stock-based compensation of outstanding equity awards during the second quarter of 2023 was based off a lower weighted average grant date fair value compared to that of outstanding equity awards from the same period in 2022, (ii) the departures of the Company's former Chief Product Officer ("CPO") and Chief Administrative Officer ("CAO") during the first quarter of 2023 and (iii) the impacts of the reductions in force during the first and third quarters of 2023.</w:t>
      </w:r>
    </w:p>
    <w:p>
      <w:pPr>
        <w:spacing w:after="0" w:line="82" w:lineRule="exact"/>
        <w:rPr>
          <w:rFonts w:ascii="Arial" w:cs="Arial" w:eastAsia="Arial" w:hAnsi="Arial"/>
          <w:sz w:val="14"/>
          <w:szCs w:val="14"/>
          <w:color w:val="auto"/>
        </w:rPr>
      </w:pPr>
    </w:p>
    <w:p>
      <w:pPr>
        <w:jc w:val="both"/>
        <w:ind w:left="1140" w:hanging="383"/>
        <w:spacing w:after="0" w:line="247"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stock-based compensation for the nine months ended September 30, 2023 increased by $1 million compared to the nine months ended September 30, 2022 primarily due to (i) accelerated vesting of the Company's former CPO and CAO's RSUs upon their departures in accordance to their separation agreements during the first quarter of 2023, and (ii) forfeitures originating from the resignation of the Company’s former CEO, and modifications to the Company’s former Executive Chair’s equity awards, both during the first quarter of 2022. These contributing factors were offset by stock-based compensation of outstanding equity awards during the nine months ended September 2023 was based off a lower weighted average grant date fair value compared to that of outstanding equity awards from the same period in 2022 and the impacts of the reductions in force in the first and third quarters of 2023.</w:t>
      </w:r>
    </w:p>
    <w:p>
      <w:pPr>
        <w:spacing w:after="0" w:line="132"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The Company will recognize the remaining $2 million and $73 million of unrecognized stock-based compensation expense over a weighted-average period of approximately 1.4 years and 2.1 years related to options and RSUs, respectively.</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8"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8"/>
          <w:szCs w:val="18"/>
          <w:color w:val="auto"/>
        </w:rPr>
        <w:t>The Company’s Employee Stock Purchase Plan (“ESPP”) allows eligible employees to purchase shares of the Company’s common stock at a discount through payroll deductions of up to 15% of eligible compensation, subject to caps of $25,000 in any calendar year and 166 shares on any purchase date. The ESPP provides for 24-month offering periods, generally beginning in November and May of each year, and each offering period consists of four six-month purchase periods. During the nine months ended September 30, 2023, 29 thousand shares of common stock were purchased under the ESPP for an aggregate amount less than $1 million.</w:t>
      </w:r>
    </w:p>
    <w:p>
      <w:pPr>
        <w:spacing w:after="0" w:line="13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On each purchase date, participating employees will purchase common stock at a price per share equal to 85% of the lesser of the fair market value of the Company’s common stock on (i) the first trading day of the applicable offering period, or (ii) the last trading day of each purchase period in the applicable offering period. If the stock price of the Company's common stock on any purchase date in an offering period is lower than the stock price on the enrollment date of that offering period, the offering period will immediately reset after the purchase of shares on such purchase date and automatically roll into a new offering period (ESPP reset). During the nine months ended September 30, 2023, there was an ESPP reset that resulted in an additional expense of approximately $1 million, which is being recognized over an offering period ending May 20,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68"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 Company’s tax provision for the interim periods is determined using an estimate of the annual effective tax rate, adjusted for discrete items, if any, that arise during the period. Each quarter, the Company assesses its estimate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ind w:right="20"/>
        <w:spacing w:after="0" w:line="260" w:lineRule="auto"/>
        <w:rPr>
          <w:sz w:val="20"/>
          <w:szCs w:val="20"/>
          <w:color w:val="auto"/>
        </w:rPr>
      </w:pPr>
      <w:r>
        <w:rPr>
          <w:rFonts w:ascii="Arial" w:cs="Arial" w:eastAsia="Arial" w:hAnsi="Arial"/>
          <w:sz w:val="18"/>
          <w:szCs w:val="18"/>
          <w:color w:val="auto"/>
        </w:rPr>
        <w:t>annual effective tax rate, and if the estimated annual effective tax rate changes, the Company makes a cumulative adjustment in the period of change.</w:t>
      </w:r>
    </w:p>
    <w:p>
      <w:pPr>
        <w:spacing w:after="0" w:line="11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spacing w:after="0" w:line="130"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The provision for income taxes was $3 million and $6 million for the three and nine months ended September 30, 2023, respectively, and was $2 million and $3 million for the three and nine months ended September 30, 2022, respectively. The increase in the provision for income taxes was primarily related to an increase in unrecognized tax benefits during the three and nine months ended September 30, 2023. The Company continues to maintain a valuation allowance on the domestic net deferred tax assets.</w:t>
      </w:r>
    </w:p>
    <w:p>
      <w:pPr>
        <w:spacing w:after="0" w:line="134"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had $4 million and $9 million of unrecognized tax benefits as of September 30, 2023 and December 31, 2022, respectively. The unrecognized tax benefits as of September 30, 2023, if recognized, would affect the effective tax rate. The interest and penalties associated with the unrecognized tax benefits as of September 30, 2023 and December 31, 2022 were immaterial.</w:t>
      </w:r>
    </w:p>
    <w:p>
      <w:pPr>
        <w:spacing w:after="0" w:line="130"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51"/>
        </w:trPr>
        <w:tc>
          <w:tcPr>
            <w:tcW w:w="5900" w:type="dxa"/>
            <w:vAlign w:val="bottom"/>
          </w:tcPr>
          <w:p>
            <w:pPr>
              <w:spacing w:after="0"/>
              <w:rPr>
                <w:sz w:val="20"/>
                <w:szCs w:val="20"/>
                <w:color w:val="auto"/>
              </w:rPr>
            </w:pPr>
            <w:r>
              <w:rPr>
                <w:rFonts w:ascii="Arial" w:cs="Arial" w:eastAsia="Arial" w:hAnsi="Arial"/>
                <w:sz w:val="18"/>
                <w:szCs w:val="18"/>
                <w:b w:val="1"/>
                <w:bCs w:val="1"/>
                <w:color w:val="auto"/>
              </w:rPr>
              <w:t>NOTE 10. NET LOSS PER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7540" w:type="dxa"/>
            <w:vAlign w:val="bottom"/>
            <w:gridSpan w:val="5"/>
          </w:tcPr>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5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80" w:type="dxa"/>
            <w:vAlign w:val="bottom"/>
            <w:gridSpan w:val="11"/>
          </w:tcPr>
          <w:p>
            <w:pPr>
              <w:jc w:val="right"/>
              <w:ind w:right="740"/>
              <w:spacing w:after="0"/>
              <w:rPr>
                <w:sz w:val="20"/>
                <w:szCs w:val="20"/>
                <w:color w:val="auto"/>
              </w:rPr>
            </w:pPr>
            <w:r>
              <w:rPr>
                <w:rFonts w:ascii="Arial" w:cs="Arial" w:eastAsia="Arial" w:hAnsi="Arial"/>
                <w:sz w:val="14"/>
                <w:szCs w:val="14"/>
                <w:b w:val="1"/>
                <w:bCs w:val="1"/>
                <w:color w:val="auto"/>
              </w:rPr>
              <w:t>($ in millions, shares in thousands, except per share data)</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8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(80 )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(124 )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(249 )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80"/>
              <w:spacing w:after="0" w:line="203" w:lineRule="exact"/>
              <w:rPr>
                <w:sz w:val="20"/>
                <w:szCs w:val="20"/>
                <w:color w:val="auto"/>
              </w:rPr>
            </w:pPr>
            <w:r>
              <w:rPr>
                <w:rFonts w:ascii="Arial" w:cs="Arial" w:eastAsia="Arial" w:hAnsi="Arial"/>
                <w:sz w:val="18"/>
                <w:szCs w:val="18"/>
                <w:color w:val="auto"/>
              </w:rPr>
              <w:t>Weighted-average shares used in computing net loss per share,</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23,897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22,435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23,601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900" w:type="dxa"/>
            <w:vAlign w:val="bottom"/>
          </w:tcPr>
          <w:p>
            <w:pPr>
              <w:ind w:left="280"/>
              <w:spacing w:after="0" w:line="189" w:lineRule="exact"/>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(3.35 )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(5.53 )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(10.55 )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(12.32 )</w:t>
            </w: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9" w:lineRule="exact"/>
        <w:rPr>
          <w:sz w:val="20"/>
          <w:szCs w:val="20"/>
          <w:color w:val="auto"/>
        </w:rPr>
      </w:pPr>
    </w:p>
    <w:p>
      <w:pPr>
        <w:jc w:val="both"/>
        <w:ind w:right="60" w:firstLine="636"/>
        <w:spacing w:after="0" w:line="260"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63"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As of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194"/>
        </w:trPr>
        <w:tc>
          <w:tcPr>
            <w:tcW w:w="7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gridSpan w:val="3"/>
          </w:tcPr>
          <w:p>
            <w:pPr>
              <w:ind w:left="16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9"/>
        </w:trPr>
        <w:tc>
          <w:tcPr>
            <w:tcW w:w="87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8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Common stock options outstanding</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FF0FC"/>
          </w:tcPr>
          <w:p>
            <w:pPr>
              <w:spacing w:after="0"/>
              <w:rPr>
                <w:sz w:val="19"/>
                <w:szCs w:val="19"/>
                <w:color w:val="auto"/>
              </w:rPr>
            </w:pP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rPr>
              <w:t>2,642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9"/>
                <w:szCs w:val="19"/>
                <w:color w:val="auto"/>
              </w:rPr>
            </w:pPr>
          </w:p>
        </w:tc>
      </w:tr>
      <w:tr>
        <w:trPr>
          <w:trHeight w:val="22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0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rPr>
              <w:t>3,125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GEOGRAPHICAL INFORMATION</w:t>
      </w:r>
    </w:p>
    <w:p>
      <w:pPr>
        <w:spacing w:after="0" w:line="168" w:lineRule="exact"/>
        <w:rPr>
          <w:sz w:val="20"/>
          <w:szCs w:val="20"/>
          <w:color w:val="auto"/>
        </w:rPr>
      </w:pPr>
    </w:p>
    <w:p>
      <w:pPr>
        <w:jc w:val="both"/>
        <w:ind w:right="60" w:firstLine="644"/>
        <w:spacing w:after="0" w:line="260" w:lineRule="auto"/>
        <w:rPr>
          <w:sz w:val="20"/>
          <w:szCs w:val="20"/>
          <w:color w:val="auto"/>
        </w:rPr>
      </w:pPr>
      <w:r>
        <w:rPr>
          <w:rFonts w:ascii="Arial" w:cs="Arial" w:eastAsia="Arial" w:hAnsi="Arial"/>
          <w:sz w:val="18"/>
          <w:szCs w:val="18"/>
          <w:color w:val="auto"/>
        </w:rPr>
        <w:t>The Company believes it is relevant to disclose geographical revenue information on both a demand basis, determined by the ship-to address of the user, and on a supply basis, determined by the location of the merchants’ operations.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Core marketplace revenue by geographic area based on the ship-to address of the user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9"/>
              </w:rPr>
              <w:t>Three Months Ended</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8"/>
                <w:szCs w:val="18"/>
                <w:b w:val="1"/>
                <w:bCs w:val="1"/>
                <w:color w:val="auto"/>
                <w:w w:val="94"/>
              </w:rPr>
              <w:t>2022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80" w:type="dxa"/>
            <w:vAlign w:val="bottom"/>
          </w:tcPr>
          <w:p>
            <w:pPr>
              <w:ind w:left="20"/>
              <w:spacing w:after="0"/>
              <w:rPr>
                <w:sz w:val="20"/>
                <w:szCs w:val="20"/>
                <w:color w:val="auto"/>
              </w:rPr>
            </w:pPr>
            <w:r>
              <w:rPr>
                <w:rFonts w:ascii="Arial" w:cs="Arial" w:eastAsia="Arial" w:hAnsi="Arial"/>
                <w:sz w:val="18"/>
                <w:szCs w:val="18"/>
                <w:color w:val="auto"/>
              </w:rPr>
              <w:t>Europe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53 % $</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40 % $</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51 % $</w:t>
            </w: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52"/>
        </w:trPr>
        <w:tc>
          <w:tcPr>
            <w:tcW w:w="2480" w:type="dxa"/>
            <w:vAlign w:val="bottom"/>
          </w:tcPr>
          <w:p>
            <w:pPr>
              <w:ind w:left="20"/>
              <w:spacing w:after="0" w:line="252" w:lineRule="exact"/>
              <w:rPr>
                <w:sz w:val="20"/>
                <w:szCs w:val="20"/>
                <w:color w:val="auto"/>
              </w:rPr>
            </w:pPr>
            <w:r>
              <w:rPr>
                <w:rFonts w:ascii="Arial" w:cs="Arial" w:eastAsia="Arial" w:hAnsi="Arial"/>
                <w:sz w:val="18"/>
                <w:szCs w:val="18"/>
                <w:color w:val="auto"/>
              </w:rPr>
              <w:t>North America</w:t>
            </w:r>
            <w:r>
              <w:rPr>
                <w:rFonts w:ascii="Arial" w:cs="Arial" w:eastAsia="Arial" w:hAnsi="Arial"/>
                <w:sz w:val="24"/>
                <w:szCs w:val="24"/>
                <w:color w:val="auto"/>
                <w:vertAlign w:val="superscript"/>
              </w:rPr>
              <w:t>(1)</w:t>
            </w:r>
          </w:p>
        </w:tc>
        <w:tc>
          <w:tcPr>
            <w:tcW w:w="3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32 %</w:t>
            </w:r>
          </w:p>
        </w:tc>
        <w:tc>
          <w:tcPr>
            <w:tcW w:w="5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45 %</w:t>
            </w:r>
          </w:p>
        </w:tc>
        <w:tc>
          <w:tcPr>
            <w:tcW w:w="4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35 %</w:t>
            </w: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South America</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10 %</w:t>
            </w: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10 %</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280"/>
              <w:spacing w:after="0" w:line="194" w:lineRule="exact"/>
              <w:rPr>
                <w:sz w:val="20"/>
                <w:szCs w:val="20"/>
                <w:color w:val="auto"/>
              </w:rPr>
            </w:pPr>
            <w:r>
              <w:rPr>
                <w:rFonts w:ascii="Arial" w:cs="Arial" w:eastAsia="Arial" w:hAnsi="Arial"/>
                <w:sz w:val="18"/>
                <w:szCs w:val="18"/>
                <w:color w:val="auto"/>
              </w:rPr>
              <w:t>Core marketplace</w:t>
            </w: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480" w:type="dxa"/>
            <w:vAlign w:val="bottom"/>
            <w:vMerge w:val="continue"/>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100 % $</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100 % $</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100 % $</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2"/>
        </w:trPr>
        <w:tc>
          <w:tcPr>
            <w:tcW w:w="2480" w:type="dxa"/>
            <w:vAlign w:val="bottom"/>
          </w:tcPr>
          <w:p>
            <w:pPr>
              <w:ind w:left="280"/>
              <w:spacing w:after="0" w:line="212" w:lineRule="exact"/>
              <w:rPr>
                <w:sz w:val="20"/>
                <w:szCs w:val="20"/>
                <w:color w:val="auto"/>
              </w:rPr>
            </w:pPr>
            <w:r>
              <w:rPr>
                <w:rFonts w:ascii="Arial" w:cs="Arial" w:eastAsia="Arial" w:hAnsi="Arial"/>
                <w:sz w:val="18"/>
                <w:szCs w:val="18"/>
                <w:color w:val="auto"/>
              </w:rPr>
              <w:t>revenue</w:t>
            </w:r>
            <w:r>
              <w:rPr>
                <w:rFonts w:ascii="Arial" w:cs="Arial" w:eastAsia="Arial" w:hAnsi="Arial"/>
                <w:sz w:val="24"/>
                <w:szCs w:val="24"/>
                <w:color w:val="auto"/>
                <w:vertAlign w:val="superscript"/>
              </w:rPr>
              <w:t>(2)</w:t>
            </w:r>
          </w:p>
        </w:tc>
        <w:tc>
          <w:tcPr>
            <w:tcW w:w="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72" w:lineRule="exact"/>
        <w:rPr>
          <w:sz w:val="20"/>
          <w:szCs w:val="20"/>
          <w:color w:val="auto"/>
        </w:rPr>
      </w:pPr>
    </w:p>
    <w:p>
      <w:pPr>
        <w:ind w:left="1020" w:right="160" w:hanging="503"/>
        <w:spacing w:after="0" w:line="273"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color w:val="auto"/>
        </w:rPr>
        <w:t>United States accounted for $4 million and $19 million of core marketplace revenue for the three and nine months ended September 30, 2023, respectively and $14 million and $71 million for the three and nine months ended September 30, 2022, respectively.</w:t>
      </w:r>
    </w:p>
    <w:p>
      <w:pPr>
        <w:spacing w:after="0" w:line="65" w:lineRule="exact"/>
        <w:rPr>
          <w:rFonts w:ascii="Arial" w:cs="Arial" w:eastAsia="Arial" w:hAnsi="Arial"/>
          <w:sz w:val="14"/>
          <w:szCs w:val="14"/>
          <w:color w:val="auto"/>
        </w:rPr>
      </w:pPr>
    </w:p>
    <w:p>
      <w:pPr>
        <w:ind w:left="1020" w:right="180" w:hanging="503"/>
        <w:spacing w:after="0" w:line="273"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Core marketplace revenue included a $3 million and $4 million net loss for the three months ended September 30, 2023 and 2022, and a $4 million net loss for both the nine months ended September 30, 2023 and 2022, from our cash flow hedging program.</w:t>
      </w:r>
    </w:p>
    <w:p>
      <w:pPr>
        <w:spacing w:after="0" w:line="112" w:lineRule="exact"/>
        <w:rPr>
          <w:sz w:val="20"/>
          <w:szCs w:val="20"/>
          <w:color w:val="auto"/>
        </w:rPr>
      </w:pPr>
    </w:p>
    <w:p>
      <w:pPr>
        <w:jc w:val="both"/>
        <w:ind w:right="60" w:firstLine="644"/>
        <w:spacing w:after="0" w:line="247" w:lineRule="auto"/>
        <w:rPr>
          <w:sz w:val="20"/>
          <w:szCs w:val="20"/>
          <w:color w:val="auto"/>
        </w:rPr>
      </w:pPr>
      <w:r>
        <w:rPr>
          <w:rFonts w:ascii="Arial" w:cs="Arial" w:eastAsia="Arial" w:hAnsi="Arial"/>
          <w:sz w:val="18"/>
          <w:szCs w:val="18"/>
          <w:color w:val="auto"/>
        </w:rPr>
        <w:t>China accounted for substantially all of marketplace and logistics revenue during the three and nine months ended September 30, 2023 and 2022 based on the location of the merchants’ operations. Marketplace and logistics revenue from merchants based in the United States was immaterial in both periods presented.</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81" w:right="279" w:bottom="1440" w:gutter="0" w:footer="0" w:header="0"/>
        </w:sectPr>
      </w:pPr>
    </w:p>
    <w:bookmarkStart w:id="21" w:name="page22"/>
    <w:bookmarkEnd w:id="21"/>
    <w:p>
      <w:pPr>
        <w:ind w:firstLine="644"/>
        <w:spacing w:after="0" w:line="260" w:lineRule="auto"/>
        <w:rPr>
          <w:sz w:val="20"/>
          <w:szCs w:val="20"/>
          <w:color w:val="auto"/>
        </w:rPr>
      </w:pPr>
      <w:r>
        <w:rPr>
          <w:rFonts w:ascii="Arial" w:cs="Arial" w:eastAsia="Arial" w:hAnsi="Arial"/>
          <w:sz w:val="18"/>
          <w:szCs w:val="18"/>
          <w:color w:val="auto"/>
        </w:rPr>
        <w:t>The Company’s long-lived tangible assets, which consist of property and equipment, net and operating lease right-of-use assets, net, was as follows: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b w:val="1"/>
                <w:bCs w:val="1"/>
                <w:color w:val="auto"/>
              </w:rPr>
              <w:t>December 31,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40" w:type="dxa"/>
            <w:vAlign w:val="bottom"/>
            <w:gridSpan w:val="7"/>
          </w:tcPr>
          <w:p>
            <w:pPr>
              <w:ind w:left="140"/>
              <w:spacing w:after="0"/>
              <w:rPr>
                <w:sz w:val="20"/>
                <w:szCs w:val="20"/>
                <w:color w:val="auto"/>
              </w:rPr>
            </w:pPr>
            <w:r>
              <w:rPr>
                <w:rFonts w:ascii="Arial" w:cs="Arial" w:eastAsia="Arial" w:hAnsi="Arial"/>
                <w:sz w:val="14"/>
                <w:szCs w:val="14"/>
                <w:b w:val="1"/>
                <w:bCs w:val="1"/>
                <w:color w:val="auto"/>
              </w:rPr>
              <w:t>($ in millions, except percentages)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7"/>
        </w:trPr>
        <w:tc>
          <w:tcPr>
            <w:tcW w:w="5460" w:type="dxa"/>
            <w:vAlign w:val="bottom"/>
          </w:tcPr>
          <w:p>
            <w:pPr>
              <w:ind w:left="20"/>
              <w:spacing w:after="0"/>
              <w:rPr>
                <w:sz w:val="20"/>
                <w:szCs w:val="20"/>
                <w:color w:val="auto"/>
              </w:rPr>
            </w:pPr>
            <w:r>
              <w:rPr>
                <w:rFonts w:ascii="Arial" w:cs="Arial" w:eastAsia="Arial" w:hAnsi="Arial"/>
                <w:sz w:val="18"/>
                <w:szCs w:val="18"/>
                <w:color w:val="auto"/>
              </w:rPr>
              <w:t>China</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40 %</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52"/>
        </w:trPr>
        <w:tc>
          <w:tcPr>
            <w:tcW w:w="5460" w:type="dxa"/>
            <w:vAlign w:val="bottom"/>
          </w:tcPr>
          <w:p>
            <w:pPr>
              <w:ind w:left="20"/>
              <w:spacing w:after="0" w:line="252" w:lineRule="exact"/>
              <w:rPr>
                <w:sz w:val="20"/>
                <w:szCs w:val="20"/>
                <w:color w:val="auto"/>
              </w:rPr>
            </w:pPr>
            <w:r>
              <w:rPr>
                <w:rFonts w:ascii="Arial" w:cs="Arial" w:eastAsia="Arial" w:hAnsi="Arial"/>
                <w:sz w:val="18"/>
                <w:szCs w:val="18"/>
                <w:color w:val="auto"/>
              </w:rPr>
              <w:t>Other</w:t>
            </w:r>
            <w:r>
              <w:rPr>
                <w:rFonts w:ascii="Arial" w:cs="Arial" w:eastAsia="Arial" w:hAnsi="Arial"/>
                <w:sz w:val="24"/>
                <w:szCs w:val="24"/>
                <w:color w:val="auto"/>
                <w:vertAlign w:val="superscript"/>
              </w:rPr>
              <w:t>(1)</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10 %</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60"/>
              <w:spacing w:after="0"/>
              <w:rPr>
                <w:sz w:val="20"/>
                <w:szCs w:val="20"/>
                <w:color w:val="auto"/>
              </w:rPr>
            </w:pPr>
            <w:r>
              <w:rPr>
                <w:rFonts w:ascii="Arial" w:cs="Arial" w:eastAsia="Arial" w:hAnsi="Arial"/>
                <w:sz w:val="18"/>
                <w:szCs w:val="18"/>
                <w:color w:val="auto"/>
              </w:rPr>
              <w:t>Total property and equipment, net and right-of-use assets</w:t>
            </w: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-616585</wp:posOffset>
            </wp:positionV>
            <wp:extent cx="698627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86270" cy="14605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-325120</wp:posOffset>
            </wp:positionV>
            <wp:extent cx="6986270" cy="3257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86270" cy="325755"/>
                    </a:xfrm>
                    <a:prstGeom prst="rect">
                      <a:avLst/>
                    </a:prstGeom>
                    <a:noFill/>
                  </pic:spPr>
                </pic:pic>
              </a:graphicData>
            </a:graphic>
          </wp:anchor>
        </w:drawing>
      </w:r>
    </w:p>
    <w:p>
      <w:pPr>
        <w:spacing w:after="0" w:line="83"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Long-lived tangible assets outside the United States and China were primarily located in Canada.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REDUCTION IN WORKFORCE</w:t>
      </w:r>
    </w:p>
    <w:p>
      <w:pPr>
        <w:spacing w:after="0" w:line="16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January 2023, the Company announced a plan to reduce its workforce by up to 150 employees, representing approximately 17% of the Company's then global workforce ("January RIF"). In connection with the January RIF, the Company incurred a charge of approximately $3 million in severance and other personnel reduction costs. The implementation of the January RIF was substantially complete by the end of the second quarter of 2023.</w:t>
      </w:r>
    </w:p>
    <w:p>
      <w:pPr>
        <w:spacing w:after="0" w:line="134"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August 2023, the Company began implementing a plan to further reduce its workforce by approximately 255 employees, representing approximately 34% of the Company's then global workforce ("August RIF"). In connection with the August RIF, the Company incurred a charge of approximately $ 9 million in severance and other personnel reduction costs. The Company expects that the implementation of the August RIF will be substantially complete by the end of the fourth quarter of 2023.</w:t>
      </w:r>
    </w:p>
    <w:p>
      <w:pPr>
        <w:spacing w:after="0" w:line="134"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January RIF and the August RIF were intended to refocus the Company’s operations to support its ongoing business prioritization efforts, better align resources, and improve operational efficiencies. Total severance and other personnel reduction costs included in the condensed consolidated statements of operations are as follows:</w:t>
      </w:r>
    </w:p>
    <w:p>
      <w:pPr>
        <w:spacing w:after="0" w:line="33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Nine Months Ended</w:t>
            </w:r>
          </w:p>
        </w:tc>
        <w:tc>
          <w:tcPr>
            <w:tcW w:w="120" w:type="dxa"/>
            <w:vAlign w:val="bottom"/>
          </w:tcPr>
          <w:p>
            <w:pPr>
              <w:spacing w:after="0"/>
              <w:rPr>
                <w:sz w:val="17"/>
                <w:szCs w:val="17"/>
                <w:color w:val="auto"/>
              </w:rPr>
            </w:pPr>
          </w:p>
        </w:tc>
      </w:tr>
      <w:tr>
        <w:trPr>
          <w:trHeight w:val="239"/>
        </w:trPr>
        <w:tc>
          <w:tcPr>
            <w:tcW w:w="6040" w:type="dxa"/>
            <w:vAlign w:val="bottom"/>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2023</w:t>
            </w:r>
          </w:p>
        </w:tc>
        <w:tc>
          <w:tcPr>
            <w:tcW w:w="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September 30, 2023</w:t>
            </w:r>
          </w:p>
        </w:tc>
        <w:tc>
          <w:tcPr>
            <w:tcW w:w="120" w:type="dxa"/>
            <w:vAlign w:val="bottom"/>
          </w:tcPr>
          <w:p>
            <w:pPr>
              <w:spacing w:after="0"/>
              <w:rPr>
                <w:sz w:val="20"/>
                <w:szCs w:val="20"/>
                <w:color w:val="auto"/>
              </w:rPr>
            </w:pPr>
          </w:p>
        </w:tc>
      </w:tr>
      <w:tr>
        <w:trPr>
          <w:trHeight w:val="223"/>
        </w:trPr>
        <w:tc>
          <w:tcPr>
            <w:tcW w:w="60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000" w:type="dxa"/>
            <w:vAlign w:val="bottom"/>
            <w:shd w:val="clear" w:color="auto" w:fill="CFF0FC"/>
          </w:tcPr>
          <w:p>
            <w:pPr>
              <w:jc w:val="right"/>
              <w:ind w:right="17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0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20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63"/>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severance and other personnel reduction costs</w:t>
            </w:r>
          </w:p>
        </w:tc>
        <w:tc>
          <w:tcPr>
            <w:tcW w:w="2000" w:type="dxa"/>
            <w:vAlign w:val="bottom"/>
            <w:tcBorders>
              <w:bottom w:val="single" w:sz="8" w:color="auto"/>
            </w:tcBorders>
            <w:shd w:val="clear" w:color="auto" w:fill="CFF0FC"/>
          </w:tcPr>
          <w:p>
            <w:pPr>
              <w:jc w:val="right"/>
              <w:ind w:right="17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9" w:lineRule="exact"/>
        <w:rPr>
          <w:sz w:val="20"/>
          <w:szCs w:val="20"/>
          <w:color w:val="auto"/>
        </w:rPr>
      </w:pPr>
    </w:p>
    <w:p>
      <w:pPr>
        <w:ind w:firstLine="644"/>
        <w:spacing w:after="0" w:line="260" w:lineRule="auto"/>
        <w:rPr>
          <w:sz w:val="20"/>
          <w:szCs w:val="20"/>
          <w:color w:val="auto"/>
        </w:rPr>
      </w:pPr>
      <w:r>
        <w:rPr>
          <w:rFonts w:ascii="Arial" w:cs="Arial" w:eastAsia="Arial" w:hAnsi="Arial"/>
          <w:sz w:val="18"/>
          <w:szCs w:val="18"/>
          <w:color w:val="auto"/>
        </w:rPr>
        <w:t>The following table is a summary of the changes in severance and other personnel reduction liabilities, included within accrued liabilities on the condensed consolidated balance sheet as of September 30, 2023, in connection with each of the two RIFs in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January RIF</w:t>
            </w:r>
          </w:p>
        </w:tc>
        <w:tc>
          <w:tcPr>
            <w:tcW w:w="4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August RIF</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the beginning of the period</w:t>
            </w:r>
          </w:p>
        </w:tc>
        <w:tc>
          <w:tcPr>
            <w:tcW w:w="3340" w:type="dxa"/>
            <w:vAlign w:val="bottom"/>
            <w:gridSpan w:val="2"/>
            <w:shd w:val="clear" w:color="auto" w:fill="CFF0FC"/>
          </w:tcPr>
          <w:p>
            <w:pPr>
              <w:jc w:val="right"/>
              <w:ind w:right="15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Severance and other personnel reduction costs</w:t>
            </w:r>
          </w:p>
        </w:tc>
        <w:tc>
          <w:tcPr>
            <w:tcW w:w="1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payments during the period</w:t>
            </w:r>
          </w:p>
        </w:tc>
        <w:tc>
          <w:tcPr>
            <w:tcW w:w="16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(3 )</w:t>
            </w:r>
          </w:p>
        </w:tc>
        <w:tc>
          <w:tcPr>
            <w:tcW w:w="4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the end of the period</w:t>
            </w:r>
          </w:p>
        </w:tc>
        <w:tc>
          <w:tcPr>
            <w:tcW w:w="1620" w:type="dxa"/>
            <w:vAlign w:val="bottom"/>
            <w:tcBorders>
              <w:top w:val="single" w:sz="8" w:color="CFF0FC"/>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1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20" w:type="dxa"/>
            <w:vAlign w:val="bottom"/>
            <w:vMerge w:val="restart"/>
          </w:tcPr>
          <w:p>
            <w:pPr>
              <w:jc w:val="right"/>
              <w:ind w:right="650"/>
              <w:spacing w:after="0"/>
              <w:rPr>
                <w:sz w:val="20"/>
                <w:szCs w:val="20"/>
                <w:color w:val="auto"/>
              </w:rPr>
            </w:pPr>
            <w:r>
              <w:rPr>
                <w:rFonts w:ascii="Arial" w:cs="Arial" w:eastAsia="Arial" w:hAnsi="Arial"/>
                <w:sz w:val="18"/>
                <w:szCs w:val="18"/>
                <w:color w:val="auto"/>
              </w:rPr>
              <w:t>19</w:t>
            </w:r>
          </w:p>
        </w:tc>
        <w:tc>
          <w:tcPr>
            <w:tcW w:w="1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-805180</wp:posOffset>
            </wp:positionV>
            <wp:extent cx="6858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-805180</wp:posOffset>
            </wp:positionV>
            <wp:extent cx="68580"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2022 included in our Annual Report on Form 10-K for the year ended December 31, 2022 (the "2022 Form 10-K"). Unless otherwise indicated, all results presented are prepared in a manner that complies, in all material respects, with U.S.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2022 Form 10-K, as updated and supplemented by our Quarterly Reports on Form 10-Q, including in Part 2, Item 1A, the Special Note Regarding Forward-Looking Statements in this Quarterly Report on Form 10-Q, and elsewhere in this Quarterly Report on 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September 30, 2023</w:t>
      </w:r>
    </w:p>
    <w:p>
      <w:pPr>
        <w:spacing w:after="0" w:line="168" w:lineRule="exact"/>
        <w:rPr>
          <w:sz w:val="20"/>
          <w:szCs w:val="20"/>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 was $60 million.</w:t>
      </w:r>
    </w:p>
    <w:p>
      <w:pPr>
        <w:spacing w:after="0" w:line="90" w:lineRule="exact"/>
        <w:rPr>
          <w:rFonts w:ascii="Arial" w:cs="Arial" w:eastAsia="Arial" w:hAnsi="Arial"/>
          <w:sz w:val="18"/>
          <w:szCs w:val="18"/>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cost of revenue and operating expenses were $140 million, including stock-based compensation expense of $13 million.</w:t>
      </w:r>
    </w:p>
    <w:p>
      <w:pPr>
        <w:spacing w:after="0" w:line="90" w:lineRule="exact"/>
        <w:rPr>
          <w:rFonts w:ascii="Arial" w:cs="Arial" w:eastAsia="Arial" w:hAnsi="Arial"/>
          <w:sz w:val="18"/>
          <w:szCs w:val="18"/>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from operations was $80 million.</w:t>
      </w:r>
    </w:p>
    <w:p>
      <w:pPr>
        <w:spacing w:after="0" w:line="90" w:lineRule="exact"/>
        <w:rPr>
          <w:rFonts w:ascii="Arial" w:cs="Arial" w:eastAsia="Arial" w:hAnsi="Arial"/>
          <w:sz w:val="18"/>
          <w:szCs w:val="18"/>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loss was $80 million.</w:t>
      </w:r>
    </w:p>
    <w:p>
      <w:pPr>
        <w:spacing w:after="0" w:line="90" w:lineRule="exact"/>
        <w:rPr>
          <w:rFonts w:ascii="Arial" w:cs="Arial" w:eastAsia="Arial" w:hAnsi="Arial"/>
          <w:sz w:val="18"/>
          <w:szCs w:val="18"/>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was a loss of $54 million or (90)% of total revenue.</w:t>
      </w:r>
    </w:p>
    <w:p>
      <w:pPr>
        <w:spacing w:after="0" w:line="90" w:lineRule="exact"/>
        <w:rPr>
          <w:rFonts w:ascii="Arial" w:cs="Arial" w:eastAsia="Arial" w:hAnsi="Arial"/>
          <w:sz w:val="18"/>
          <w:szCs w:val="18"/>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and marketable securities were $445 million.</w:t>
      </w:r>
    </w:p>
    <w:p>
      <w:pPr>
        <w:spacing w:after="0" w:line="171"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 of September 30, 2023, we had an accumulated deficit of $3.2 billion. We expect losses from operations to continue for the foreseeable future as we incur costs and expenses related to brand development, expansion of market share, and continued development of our mobile shopping marketplace infrastructure.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Strategic Alternatives</w:t>
      </w:r>
    </w:p>
    <w:p>
      <w:pPr>
        <w:spacing w:after="0" w:line="16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Our Board of Directors regularly reviews our strategic plan, priorities and opportunities as part of its commitment to act in the best interest of us and our stockholders. To that end, our Board has initiated a process to explore a range of strategic alternatives to maximize value for our stockholders. We have retained J.P. Morgan as the financial advisor to assist in the process.</w:t>
      </w:r>
    </w:p>
    <w:p>
      <w:pPr>
        <w:spacing w:after="0" w:line="130"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We have not set a definitive timetable for completion of this process, and there can be no assurance regarding the results or outcome of this process. It is possible that we may not pursue a strategic alternative as a result of this process, that a strategic alternative that has been pursued may not be attractive, or that a strategic alternative may not ultimately be consummated. As part of the process, our Board of Directors will consider a full range of strategic alternatives, which may include a corporate sale, merger or other business combination, a sale of all or a portion of the company’s assets, or other significant transaction, including a cash distribution to existing stockholders followed by a corporate dissolution and liquidation.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Considerations</w:t>
      </w:r>
    </w:p>
    <w:p>
      <w:pPr>
        <w:spacing w:after="0" w:line="168"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We are monitoring the ongoing volatility in the global financial markets, including inflation and rising interest rates. These developments could continue to negatively impact global economic activity and consumer behavior, which may adversely affect our business and our results of operations. For example, we believe that consumers are generally searching for higher-value deals in the current environment. As our customers continue to react to these global economic conditions, we may take additional precautionary measures to limit or delay expenditures and preserve capital and liquidity.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Reductions in Workforce</w:t>
      </w:r>
    </w:p>
    <w:p>
      <w:pPr>
        <w:spacing w:after="0" w:line="16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January 2023, we announced a plan to reduce our workforce by up to 150 employees, representing approximately 17% of our then global workforce. In connection with this reduction in workforce ("January RIF"), or the January RIF, we incurred a charge of approximately $3 million consisting of severance and other personnel reduction costs. The implementation of the January RIF was substantially complete by the end of the second quarter of 2023.</w:t>
      </w:r>
    </w:p>
    <w:p>
      <w:pPr>
        <w:spacing w:after="0" w:line="134"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In August 2023, the Company began implementing a plan to further reduce the Company’s workforce by approximately 255 employees, representing about 34% of our then global workforce ("August RIF"). This includes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3" w:name="page24"/>
    <w:bookmarkEnd w:id="23"/>
    <w:p>
      <w:pPr>
        <w:jc w:val="both"/>
        <w:ind w:right="100"/>
        <w:spacing w:after="0" w:line="243" w:lineRule="auto"/>
        <w:rPr>
          <w:sz w:val="20"/>
          <w:szCs w:val="20"/>
          <w:color w:val="auto"/>
        </w:rPr>
      </w:pPr>
      <w:r>
        <w:rPr>
          <w:rFonts w:ascii="Arial" w:cs="Arial" w:eastAsia="Arial" w:hAnsi="Arial"/>
          <w:sz w:val="18"/>
          <w:szCs w:val="18"/>
          <w:color w:val="auto"/>
        </w:rPr>
        <w:t>approximately 160 employees in the United States, representing about 41% of our domestic workforce and approximately 95 non-U.S. employees, representing about 26% of our international workforce. In connection with the August RIF, we incurred a charge of approximately $9 million primarily consisting of severance and other personnel reduction costs. We expect that the implementation of the August RIF will be substantially complete by the end of 2023.</w:t>
      </w:r>
    </w:p>
    <w:p>
      <w:pPr>
        <w:spacing w:after="0" w:line="134" w:lineRule="exact"/>
        <w:rPr>
          <w:sz w:val="20"/>
          <w:szCs w:val="20"/>
          <w:color w:val="auto"/>
        </w:rPr>
      </w:pPr>
    </w:p>
    <w:p>
      <w:pPr>
        <w:jc w:val="both"/>
        <w:ind w:right="100" w:firstLine="644"/>
        <w:spacing w:after="0" w:line="260" w:lineRule="auto"/>
        <w:rPr>
          <w:sz w:val="20"/>
          <w:szCs w:val="20"/>
          <w:color w:val="auto"/>
        </w:rPr>
      </w:pPr>
      <w:r>
        <w:rPr>
          <w:rFonts w:ascii="Arial" w:cs="Arial" w:eastAsia="Arial" w:hAnsi="Arial"/>
          <w:sz w:val="18"/>
          <w:szCs w:val="18"/>
          <w:color w:val="auto"/>
        </w:rPr>
        <w:t>The January RIF and the August RIF were intended to refocus the Company’s operations to support its ongoing business prioritization efforts, better align resources, and improve operational efficiencies.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Financial Model</w:t>
      </w:r>
    </w:p>
    <w:p>
      <w:pPr>
        <w:spacing w:after="0" w:line="168" w:lineRule="exact"/>
        <w:rPr>
          <w:sz w:val="20"/>
          <w:szCs w:val="20"/>
          <w:color w:val="auto"/>
        </w:rPr>
      </w:pPr>
    </w:p>
    <w:p>
      <w:pPr>
        <w:jc w:val="both"/>
        <w:ind w:right="100" w:firstLine="644"/>
        <w:spacing w:after="0" w:line="241" w:lineRule="auto"/>
        <w:rPr>
          <w:sz w:val="20"/>
          <w:szCs w:val="20"/>
          <w:color w:val="auto"/>
        </w:rPr>
      </w:pPr>
      <w:r>
        <w:rPr>
          <w:rFonts w:ascii="Arial" w:cs="Arial" w:eastAsia="Arial" w:hAnsi="Arial"/>
          <w:sz w:val="18"/>
          <w:szCs w:val="18"/>
          <w:color w:val="auto"/>
        </w:rPr>
        <w:t>Our business benefits from powerful network effects, fueled by our data advantage and scale. As more users join Wish, attracted by our affordable value proposition and personalized shopping experiences, we can increase revenue potential for our merchants. The successes of our merchants can then attract more merchants and broaden the product selection on Wish’s platform, which further improves user experiences. As users and merchants grow, we can generate more data, which, in turn, refines our algorithm and strengthens our data advantage. By focusing on users and merchants, we align their success with our own.</w:t>
      </w:r>
    </w:p>
    <w:p>
      <w:pPr>
        <w:spacing w:after="0" w:line="135" w:lineRule="exact"/>
        <w:rPr>
          <w:sz w:val="20"/>
          <w:szCs w:val="20"/>
          <w:color w:val="auto"/>
        </w:rPr>
      </w:pPr>
    </w:p>
    <w:p>
      <w:pPr>
        <w:jc w:val="both"/>
        <w:ind w:right="100" w:firstLine="636"/>
        <w:spacing w:after="0" w:line="247" w:lineRule="auto"/>
        <w:rPr>
          <w:sz w:val="20"/>
          <w:szCs w:val="20"/>
          <w:color w:val="auto"/>
        </w:rPr>
      </w:pPr>
      <w:r>
        <w:rPr>
          <w:rFonts w:ascii="Arial" w:cs="Arial" w:eastAsia="Arial" w:hAnsi="Arial"/>
          <w:sz w:val="18"/>
          <w:szCs w:val="18"/>
          <w:color w:val="auto"/>
        </w:rPr>
        <w:t>The economics of the Wish platform rely on cost-effectively adding new users, converting those users into buyers, and driving engagement and monetization of those buyers over time as well as acquiring new merchants and monetizing the end-to-end services that we provide to them.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Performance Metrics</w:t>
      </w:r>
    </w:p>
    <w:p>
      <w:pPr>
        <w:spacing w:after="0" w:line="168" w:lineRule="exact"/>
        <w:rPr>
          <w:sz w:val="20"/>
          <w:szCs w:val="20"/>
          <w:color w:val="auto"/>
        </w:rPr>
      </w:pPr>
    </w:p>
    <w:p>
      <w:pPr>
        <w:jc w:val="both"/>
        <w:ind w:right="100" w:firstLine="644"/>
        <w:spacing w:after="0" w:line="260" w:lineRule="auto"/>
        <w:rPr>
          <w:sz w:val="20"/>
          <w:szCs w:val="20"/>
          <w:color w:val="auto"/>
        </w:rPr>
      </w:pPr>
      <w:r>
        <w:rPr>
          <w:rFonts w:ascii="Arial" w:cs="Arial" w:eastAsia="Arial" w:hAnsi="Arial"/>
          <w:sz w:val="18"/>
          <w:szCs w:val="18"/>
          <w:color w:val="auto"/>
        </w:rPr>
        <w:t>In addition to the measures presented in our condensed consolidated financial statements, we monitor the following key metrics and other financial information to measure our performance, identify trends affecting our business, and make strategic decisions.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7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4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4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18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w w:val="99"/>
              </w:rPr>
              <w:t>except percentages)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MAU</w:t>
            </w: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LTM Active Buyers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Adjusted EBITDA</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(54 )</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(95 )</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(182 )</w:t>
            </w:r>
          </w:p>
        </w:tc>
        <w:tc>
          <w:tcPr>
            <w:tcW w:w="1200" w:type="dxa"/>
            <w:vAlign w:val="bottom"/>
            <w:shd w:val="clear" w:color="auto" w:fill="CFF0FC"/>
          </w:tcPr>
          <w:p>
            <w:pPr>
              <w:jc w:val="right"/>
              <w:ind w:right="101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19"/>
                <w:szCs w:val="19"/>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9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(90 )%</w:t>
            </w: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(76 )%</w:t>
            </w:r>
          </w:p>
        </w:tc>
        <w:tc>
          <w:tcPr>
            <w:tcW w:w="10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(78 )%</w:t>
            </w:r>
          </w:p>
        </w:tc>
        <w:tc>
          <w:tcPr>
            <w:tcW w:w="12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(43 )%</w:t>
            </w:r>
          </w:p>
        </w:tc>
      </w:tr>
      <w:tr>
        <w:trPr>
          <w:trHeight w:val="219"/>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Free Cash Flow</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(86 )</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(100 )</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(269 )</w:t>
            </w:r>
          </w:p>
        </w:tc>
        <w:tc>
          <w:tcPr>
            <w:tcW w:w="1200" w:type="dxa"/>
            <w:vAlign w:val="bottom"/>
            <w:shd w:val="clear" w:color="auto" w:fill="CFF0FC"/>
          </w:tcPr>
          <w:p>
            <w:pPr>
              <w:jc w:val="right"/>
              <w:ind w:right="101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(315 )</w:t>
            </w:r>
          </w:p>
        </w:tc>
        <w:tc>
          <w:tcPr>
            <w:tcW w:w="100" w:type="dxa"/>
            <w:vAlign w:val="bottom"/>
          </w:tcPr>
          <w:p>
            <w:pPr>
              <w:spacing w:after="0"/>
              <w:rPr>
                <w:sz w:val="19"/>
                <w:szCs w:val="19"/>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Users</w:t>
      </w:r>
    </w:p>
    <w:p>
      <w:pPr>
        <w:spacing w:after="0" w:line="168" w:lineRule="exact"/>
        <w:rPr>
          <w:sz w:val="20"/>
          <w:szCs w:val="20"/>
          <w:color w:val="auto"/>
        </w:rPr>
      </w:pPr>
    </w:p>
    <w:p>
      <w:pPr>
        <w:jc w:val="both"/>
        <w:ind w:right="100" w:firstLine="636"/>
        <w:spacing w:after="0" w:line="241" w:lineRule="auto"/>
        <w:rPr>
          <w:sz w:val="20"/>
          <w:szCs w:val="20"/>
          <w:color w:val="auto"/>
        </w:rPr>
      </w:pPr>
      <w:r>
        <w:rPr>
          <w:rFonts w:ascii="Arial" w:cs="Arial" w:eastAsia="Arial" w:hAnsi="Arial"/>
          <w:sz w:val="18"/>
          <w:szCs w:val="18"/>
          <w:color w:val="auto"/>
        </w:rPr>
        <w:t>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a key driver of revenue growth as well as a key indicator of user engagement and brand awareness.</w:t>
      </w:r>
    </w:p>
    <w:p>
      <w:pPr>
        <w:spacing w:after="0" w:line="135" w:lineRule="exact"/>
        <w:rPr>
          <w:sz w:val="20"/>
          <w:szCs w:val="20"/>
          <w:color w:val="auto"/>
        </w:rPr>
      </w:pPr>
    </w:p>
    <w:p>
      <w:pPr>
        <w:jc w:val="both"/>
        <w:ind w:right="100" w:firstLine="636"/>
        <w:spacing w:after="0" w:line="247" w:lineRule="auto"/>
        <w:rPr>
          <w:sz w:val="20"/>
          <w:szCs w:val="20"/>
          <w:color w:val="auto"/>
        </w:rPr>
      </w:pPr>
      <w:r>
        <w:rPr>
          <w:rFonts w:ascii="Arial" w:cs="Arial" w:eastAsia="Arial" w:hAnsi="Arial"/>
          <w:sz w:val="18"/>
          <w:szCs w:val="18"/>
          <w:color w:val="auto"/>
        </w:rPr>
        <w:t>MAUs decreased approximately 54% and 48% for the three and nine months ended September 30, 2023, respectively, compared to the same periods in 2022. We believe this decline was primarily driven by our decision to significantly reduce our digital advertising expenditures.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LTM Active Buyers</w:t>
      </w:r>
    </w:p>
    <w:p>
      <w:pPr>
        <w:spacing w:after="0" w:line="168" w:lineRule="exact"/>
        <w:rPr>
          <w:sz w:val="20"/>
          <w:szCs w:val="20"/>
          <w:color w:val="auto"/>
        </w:rPr>
      </w:pPr>
    </w:p>
    <w:p>
      <w:pPr>
        <w:jc w:val="both"/>
        <w:ind w:right="100" w:firstLine="636"/>
        <w:spacing w:after="0" w:line="239" w:lineRule="auto"/>
        <w:rPr>
          <w:sz w:val="20"/>
          <w:szCs w:val="20"/>
          <w:color w:val="auto"/>
        </w:rPr>
      </w:pPr>
      <w:r>
        <w:rPr>
          <w:rFonts w:ascii="Arial" w:cs="Arial" w:eastAsia="Arial" w:hAnsi="Arial"/>
          <w:sz w:val="18"/>
          <w:szCs w:val="18"/>
          <w:color w:val="auto"/>
        </w:rPr>
        <w:t>As of the last date of each reported period, we determine our number of unique last-twelve-months active buyers ("LTM active buyers") by counting the total number of individual users who have placed at least one order on the Wish platform, either on our mobile app, mobile web, or on a desktop, during the preceding 12 months. We, however, exclude from the computation those buyers whose order is canceled before the item is shipped and the purchase price is refunded. The number of LTM active buyers is an indicator of our ability to attract and monetize a large user base to our platform and of our ability to convert visits into purchases. We believe that increasing our LTM active buyers will be a significant driver to our future revenue growth.</w:t>
      </w:r>
    </w:p>
    <w:p>
      <w:pPr>
        <w:spacing w:after="0" w:line="140" w:lineRule="exact"/>
        <w:rPr>
          <w:sz w:val="20"/>
          <w:szCs w:val="20"/>
          <w:color w:val="auto"/>
        </w:rPr>
      </w:pPr>
    </w:p>
    <w:p>
      <w:pPr>
        <w:jc w:val="both"/>
        <w:ind w:right="100" w:firstLine="636"/>
        <w:spacing w:after="0" w:line="247" w:lineRule="auto"/>
        <w:rPr>
          <w:sz w:val="20"/>
          <w:szCs w:val="20"/>
          <w:color w:val="auto"/>
        </w:rPr>
      </w:pPr>
      <w:r>
        <w:rPr>
          <w:rFonts w:ascii="Arial" w:cs="Arial" w:eastAsia="Arial" w:hAnsi="Arial"/>
          <w:sz w:val="18"/>
          <w:szCs w:val="18"/>
          <w:color w:val="auto"/>
        </w:rPr>
        <w:t>LTM Active Buyers decreased approximately 44% for the three and nine months ended September 30, 2023 compared to the three and nine months ended September 30, 2022. We believe this decline was primarily driven by lower MAUs which we believe was driven by reduced digital advertising expenditures.</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9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 Note About Metrics</w:t>
      </w:r>
    </w:p>
    <w:p>
      <w:pPr>
        <w:spacing w:after="0" w:line="16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numbers for some of our metrics, including MAUs, are calculated and tracked with internal tools, which are not independently verified by any third party. We use these metrics to assess the growth and health of our overall business. While these numbers are based on what we believe to be reasonable estimates of our user or merchant base for the applicable period of measurement, there are inherent challenges in measurement as the methodologies used require significant judgment and may be susceptible to algorithm or other technical errors. In addition, we regularly review and adjust our processes for calculating metrics to improve their accuracy, and our estimates may change due to improvements or changes in technology or our methodology.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6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We provide Adjusted EBITDA, a non-GAAP financial measure that represents our loss before interest and other income, net (which includes foreign exchange gain or loss and other non-operating income and expenses), income tax expense, and depreciation and amortization, adjusted to eliminate stock-based compensation expense, lease termination and impairment related expenses, restructuring and other discrete charges, and to add back certain recurring other items. Additionally, we provide Adjusted EBITDA Margin, a non-GAAP financial measure that represents Adjusted EBITDA divided by revenue. Below is a reconciliation of Adjusted EBITDA to net loss, the most directly comparable GAAP financial measure.</w:t>
      </w:r>
    </w:p>
    <w:p>
      <w:pPr>
        <w:spacing w:after="0" w:line="140"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8"/>
          <w:szCs w:val="18"/>
          <w:color w:val="auto"/>
        </w:rPr>
        <w:t>We have included Adjusted EBITDA and Adjusted EBITDA Margin in this report because they are key measures used by our management and the Board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and certain variable charges.</w:t>
      </w:r>
    </w:p>
    <w:p>
      <w:pPr>
        <w:spacing w:after="0" w:line="135" w:lineRule="exact"/>
        <w:rPr>
          <w:sz w:val="20"/>
          <w:szCs w:val="20"/>
          <w:color w:val="auto"/>
        </w:rPr>
      </w:pPr>
    </w:p>
    <w:p>
      <w:pPr>
        <w:jc w:val="both"/>
        <w:ind w:right="20" w:firstLine="644"/>
        <w:spacing w:after="0" w:line="260" w:lineRule="auto"/>
        <w:rPr>
          <w:sz w:val="20"/>
          <w:szCs w:val="20"/>
          <w:color w:val="auto"/>
        </w:rPr>
      </w:pPr>
      <w:r>
        <w:rPr>
          <w:rFonts w:ascii="Arial" w:cs="Arial" w:eastAsia="Arial" w:hAnsi="Arial"/>
          <w:sz w:val="18"/>
          <w:szCs w:val="18"/>
          <w:color w:val="auto"/>
        </w:rPr>
        <w:t>Adjusted EBITDA has limitations as an analytical measure, and you should not consider it in isolation or as a substitute for analysis of our results as reported under U.S. GAAP. Some of these limitations are:</w:t>
      </w:r>
    </w:p>
    <w:p>
      <w:pPr>
        <w:spacing w:after="0" w:line="119" w:lineRule="exact"/>
        <w:rPr>
          <w:sz w:val="20"/>
          <w:szCs w:val="20"/>
          <w:color w:val="auto"/>
        </w:rPr>
      </w:pPr>
    </w:p>
    <w:p>
      <w:pPr>
        <w:jc w:val="both"/>
        <w:ind w:left="1020" w:hanging="376"/>
        <w:spacing w:after="0" w:line="24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49" w:lineRule="exact"/>
        <w:rPr>
          <w:rFonts w:ascii="Arial" w:cs="Arial" w:eastAsia="Arial" w:hAnsi="Arial"/>
          <w:sz w:val="18"/>
          <w:szCs w:val="18"/>
          <w:color w:val="auto"/>
        </w:rPr>
      </w:pPr>
    </w:p>
    <w:p>
      <w:pPr>
        <w:ind w:left="1020" w:hanging="376"/>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1020" w:hanging="376"/>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consider the impact of stock-based compensation and related payroll taxes;</w:t>
      </w:r>
    </w:p>
    <w:p>
      <w:pPr>
        <w:spacing w:after="0" w:line="90" w:lineRule="exact"/>
        <w:rPr>
          <w:rFonts w:ascii="Arial" w:cs="Arial" w:eastAsia="Arial" w:hAnsi="Arial"/>
          <w:sz w:val="18"/>
          <w:szCs w:val="18"/>
          <w:color w:val="auto"/>
        </w:rPr>
      </w:pPr>
    </w:p>
    <w:p>
      <w:pPr>
        <w:ind w:left="1020" w:hanging="376"/>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0" w:lineRule="exact"/>
        <w:rPr>
          <w:rFonts w:ascii="Arial" w:cs="Arial" w:eastAsia="Arial" w:hAnsi="Arial"/>
          <w:sz w:val="18"/>
          <w:szCs w:val="18"/>
          <w:color w:val="auto"/>
        </w:rPr>
      </w:pPr>
    </w:p>
    <w:p>
      <w:pPr>
        <w:ind w:left="1020" w:hanging="376"/>
        <w:spacing w:after="0" w:line="26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19" w:lineRule="exact"/>
        <w:rPr>
          <w:sz w:val="20"/>
          <w:szCs w:val="20"/>
          <w:color w:val="auto"/>
        </w:rPr>
      </w:pPr>
    </w:p>
    <w:p>
      <w:pPr>
        <w:ind w:firstLine="636"/>
        <w:spacing w:after="0" w:line="260" w:lineRule="auto"/>
        <w:rPr>
          <w:sz w:val="20"/>
          <w:szCs w:val="20"/>
          <w:color w:val="auto"/>
        </w:rPr>
      </w:pPr>
      <w:r>
        <w:rPr>
          <w:rFonts w:ascii="Arial" w:cs="Arial" w:eastAsia="Arial" w:hAnsi="Arial"/>
          <w:sz w:val="18"/>
          <w:szCs w:val="18"/>
          <w:color w:val="auto"/>
        </w:rPr>
        <w:t>Because of these limitations, you should consider Adjusted EBITDA and Adjusted EBITDA Margin alongside other financial performance measures, including various cash flow metrics, net loss and our other U.S. GAAP results.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5" w:name="page26"/>
    <w:bookmarkEnd w:id="25"/>
    <w:p>
      <w:pPr>
        <w:ind w:right="100" w:firstLine="644"/>
        <w:spacing w:after="0" w:line="260" w:lineRule="auto"/>
        <w:rPr>
          <w:sz w:val="20"/>
          <w:szCs w:val="20"/>
          <w:color w:val="auto"/>
        </w:rPr>
      </w:pPr>
      <w:r>
        <w:rPr>
          <w:rFonts w:ascii="Arial" w:cs="Arial" w:eastAsia="Arial" w:hAnsi="Arial"/>
          <w:sz w:val="18"/>
          <w:szCs w:val="18"/>
          <w:color w:val="auto"/>
        </w:rPr>
        <w:t>The following table reflects the reconciliation of net loss to Adjusted EBITDA and net loss as a percentage of revenue to Adjusted EBITDA margin for each of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140" w:type="dxa"/>
            <w:vAlign w:val="bottom"/>
            <w:gridSpan w:val="4"/>
          </w:tcPr>
          <w:p>
            <w:pPr>
              <w:jc w:val="center"/>
              <w:ind w:left="29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1"/>
        </w:trPr>
        <w:tc>
          <w:tcPr>
            <w:tcW w:w="5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4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6"/>
          </w:tcPr>
          <w:p>
            <w:pPr>
              <w:jc w:val="right"/>
              <w:ind w:right="80"/>
              <w:spacing w:after="0"/>
              <w:rPr>
                <w:sz w:val="20"/>
                <w:szCs w:val="20"/>
                <w:color w:val="auto"/>
              </w:rPr>
            </w:pPr>
            <w:r>
              <w:rPr>
                <w:rFonts w:ascii="Arial" w:cs="Arial" w:eastAsia="Arial" w:hAnsi="Arial"/>
                <w:sz w:val="16"/>
                <w:szCs w:val="16"/>
                <w:b w:val="1"/>
                <w:bCs w:val="1"/>
                <w:color w:val="auto"/>
                <w:w w:val="99"/>
              </w:rPr>
              <w:t>($ in millions, except percentages)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70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60" w:type="dxa"/>
            <w:vAlign w:val="bottom"/>
            <w:tcBorders>
              <w:right w:val="single" w:sz="8" w:color="CFF0FC"/>
            </w:tcBorders>
            <w:shd w:val="clear" w:color="auto" w:fill="CFF0FC"/>
          </w:tcPr>
          <w:p>
            <w:pPr>
              <w:spacing w:after="0"/>
              <w:rPr>
                <w:sz w:val="18"/>
                <w:szCs w:val="18"/>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20"/>
              <w:spacing w:after="0"/>
              <w:rPr>
                <w:sz w:val="20"/>
                <w:szCs w:val="20"/>
                <w:color w:val="auto"/>
              </w:rPr>
            </w:pPr>
            <w:r>
              <w:rPr>
                <w:rFonts w:ascii="Arial" w:cs="Arial" w:eastAsia="Arial" w:hAnsi="Arial"/>
                <w:sz w:val="16"/>
                <w:szCs w:val="16"/>
                <w:color w:val="auto"/>
              </w:rPr>
              <w:t>Net loss</w:t>
            </w:r>
          </w:p>
        </w:tc>
        <w:tc>
          <w:tcPr>
            <w:tcW w:w="7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(80 )</w:t>
            </w:r>
          </w:p>
        </w:tc>
        <w:tc>
          <w:tcPr>
            <w:tcW w:w="8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(124 )</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(249 )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(274 )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Net loss as a percentage of revenue</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(133 )%</w:t>
            </w:r>
          </w:p>
        </w:tc>
        <w:tc>
          <w:tcPr>
            <w:tcW w:w="8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(99 )%</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(106 )%</w:t>
            </w:r>
          </w:p>
        </w:tc>
        <w:tc>
          <w:tcPr>
            <w:tcW w:w="2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9"/>
        </w:trPr>
        <w:tc>
          <w:tcPr>
            <w:tcW w:w="5940" w:type="dxa"/>
            <w:vAlign w:val="bottom"/>
          </w:tcPr>
          <w:p>
            <w:pPr>
              <w:ind w:left="20"/>
              <w:spacing w:after="0"/>
              <w:rPr>
                <w:sz w:val="20"/>
                <w:szCs w:val="20"/>
                <w:color w:val="auto"/>
              </w:rPr>
            </w:pPr>
            <w:r>
              <w:rPr>
                <w:rFonts w:ascii="Arial" w:cs="Arial" w:eastAsia="Arial" w:hAnsi="Arial"/>
                <w:sz w:val="16"/>
                <w:szCs w:val="16"/>
                <w:color w:val="auto"/>
              </w:rPr>
              <w:t>Excluding:</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and other income, net</w:t>
            </w:r>
          </w:p>
        </w:tc>
        <w:tc>
          <w:tcPr>
            <w:tcW w:w="700" w:type="dxa"/>
            <w:vAlign w:val="bottom"/>
            <w:shd w:val="clear" w:color="auto" w:fill="CFF0FC"/>
          </w:tcPr>
          <w:p>
            <w:pPr>
              <w:spacing w:after="0"/>
              <w:rPr>
                <w:sz w:val="19"/>
                <w:szCs w:val="19"/>
                <w:color w:val="auto"/>
              </w:rPr>
            </w:pPr>
          </w:p>
        </w:tc>
        <w:tc>
          <w:tcPr>
            <w:tcW w:w="6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(3 )</w:t>
            </w: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(6 )</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(13 )</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0"/>
              <w:spacing w:after="0"/>
              <w:rPr>
                <w:sz w:val="20"/>
                <w:szCs w:val="20"/>
                <w:color w:val="auto"/>
              </w:rPr>
            </w:pPr>
            <w:r>
              <w:rPr>
                <w:rFonts w:ascii="Arial" w:cs="Arial" w:eastAsia="Arial" w:hAnsi="Arial"/>
                <w:sz w:val="16"/>
                <w:szCs w:val="16"/>
                <w:color w:val="auto"/>
              </w:rPr>
              <w:t>Provision for income taxes</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0"/>
              <w:spacing w:after="0" w:line="216" w:lineRule="exact"/>
              <w:rPr>
                <w:sz w:val="20"/>
                <w:szCs w:val="20"/>
                <w:color w:val="auto"/>
              </w:rPr>
            </w:pPr>
            <w:r>
              <w:rPr>
                <w:rFonts w:ascii="Arial" w:cs="Arial" w:eastAsia="Arial" w:hAnsi="Arial"/>
                <w:sz w:val="16"/>
                <w:szCs w:val="16"/>
                <w:color w:val="auto"/>
              </w:rPr>
              <w:t>Stock-based compensation expense and related employer payroll taxes</w:t>
            </w:r>
            <w:r>
              <w:rPr>
                <w:rFonts w:ascii="Arial" w:cs="Arial" w:eastAsia="Arial" w:hAnsi="Arial"/>
                <w:sz w:val="21"/>
                <w:szCs w:val="21"/>
                <w:color w:val="auto"/>
                <w:vertAlign w:val="superscript"/>
              </w:rPr>
              <w:t>(1)(2)(3)</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0"/>
              <w:spacing w:after="0" w:line="216" w:lineRule="exact"/>
              <w:rPr>
                <w:sz w:val="20"/>
                <w:szCs w:val="20"/>
                <w:color w:val="auto"/>
              </w:rPr>
            </w:pPr>
            <w:r>
              <w:rPr>
                <w:rFonts w:ascii="Arial" w:cs="Arial" w:eastAsia="Arial" w:hAnsi="Arial"/>
                <w:sz w:val="16"/>
                <w:szCs w:val="16"/>
                <w:color w:val="auto"/>
              </w:rPr>
              <w:t>Restructuring and other discrete items</w:t>
            </w:r>
            <w:r>
              <w:rPr>
                <w:rFonts w:ascii="Arial" w:cs="Arial" w:eastAsia="Arial" w:hAnsi="Arial"/>
                <w:sz w:val="21"/>
                <w:szCs w:val="21"/>
                <w:color w:val="auto"/>
                <w:vertAlign w:val="superscript"/>
              </w:rPr>
              <w:t>(4)</w:t>
            </w: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right w:val="single" w:sz="8" w:color="CFF0FC"/>
            </w:tcBorders>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0"/>
              <w:spacing w:after="0" w:line="216" w:lineRule="exact"/>
              <w:rPr>
                <w:sz w:val="20"/>
                <w:szCs w:val="20"/>
                <w:color w:val="auto"/>
              </w:rPr>
            </w:pPr>
            <w:r>
              <w:rPr>
                <w:rFonts w:ascii="Arial" w:cs="Arial" w:eastAsia="Arial" w:hAnsi="Arial"/>
                <w:sz w:val="16"/>
                <w:szCs w:val="16"/>
                <w:color w:val="auto"/>
              </w:rPr>
              <w:t>Impairment of lease assets and property and equipment</w:t>
            </w:r>
            <w:r>
              <w:rPr>
                <w:rFonts w:ascii="Arial" w:cs="Arial" w:eastAsia="Arial" w:hAnsi="Arial"/>
                <w:sz w:val="21"/>
                <w:szCs w:val="21"/>
                <w:color w:val="auto"/>
                <w:vertAlign w:val="superscript"/>
              </w:rPr>
              <w:t>(5)</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Others</w:t>
            </w: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40" w:type="dxa"/>
            <w:vAlign w:val="bottom"/>
          </w:tcPr>
          <w:p>
            <w:pPr>
              <w:ind w:left="200"/>
              <w:spacing w:after="0"/>
              <w:rPr>
                <w:sz w:val="20"/>
                <w:szCs w:val="20"/>
                <w:color w:val="auto"/>
              </w:rPr>
            </w:pPr>
            <w:r>
              <w:rPr>
                <w:rFonts w:ascii="Arial" w:cs="Arial" w:eastAsia="Arial" w:hAnsi="Arial"/>
                <w:sz w:val="16"/>
                <w:szCs w:val="16"/>
                <w:color w:val="auto"/>
              </w:rPr>
              <w:t>Adjusted EBITDA</w:t>
            </w:r>
          </w:p>
        </w:tc>
        <w:tc>
          <w:tcPr>
            <w:tcW w:w="70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(54 )</w:t>
            </w:r>
          </w:p>
        </w:tc>
        <w:tc>
          <w:tcPr>
            <w:tcW w:w="84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(95 )</w:t>
            </w: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(182 )</w:t>
            </w: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300"/>
              <w:spacing w:after="0"/>
              <w:rPr>
                <w:sz w:val="20"/>
                <w:szCs w:val="20"/>
                <w:color w:val="auto"/>
              </w:rPr>
            </w:pPr>
            <w:r>
              <w:rPr>
                <w:rFonts w:ascii="Arial" w:cs="Arial" w:eastAsia="Arial" w:hAnsi="Arial"/>
                <w:sz w:val="16"/>
                <w:szCs w:val="16"/>
                <w:color w:val="auto"/>
              </w:rPr>
              <w:t>Adjusted EBITDA margin</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(90 )%</w:t>
            </w:r>
          </w:p>
        </w:tc>
        <w:tc>
          <w:tcPr>
            <w:tcW w:w="84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(76 )%</w:t>
            </w:r>
          </w:p>
        </w:tc>
        <w:tc>
          <w:tcPr>
            <w:tcW w:w="2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(78 )%</w:t>
            </w:r>
          </w:p>
        </w:tc>
        <w:tc>
          <w:tcPr>
            <w:tcW w:w="26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3346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83" w:lineRule="exact"/>
        <w:rPr>
          <w:sz w:val="20"/>
          <w:szCs w:val="20"/>
          <w:color w:val="auto"/>
        </w:rPr>
      </w:pPr>
    </w:p>
    <w:p>
      <w:pPr>
        <w:jc w:val="both"/>
        <w:ind w:left="1020" w:right="100" w:hanging="503"/>
        <w:spacing w:after="0" w:line="249" w:lineRule="auto"/>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amount for the three months ended September 30, 2023 consists of $13 million of stock-based compensation expense and insignificant payroll taxes. Total amount for the three months ended September 30, 2022 consists of $26 million of stock-based compensation expense and $1 million of related employer payroll taxes. Total amount for the nine months ended September 30, 2023 consists of $54 million of stock-based compensation expense and $1 million of related employer payroll taxes. Total amount for nine months ended September 30, 2022 consists of $53 million of stock-based compensation expense and $2 million of related employer payroll taxes.</w:t>
      </w:r>
    </w:p>
    <w:p>
      <w:pPr>
        <w:spacing w:after="0" w:line="82" w:lineRule="exact"/>
        <w:rPr>
          <w:rFonts w:ascii="Arial" w:cs="Arial" w:eastAsia="Arial" w:hAnsi="Arial"/>
          <w:sz w:val="14"/>
          <w:szCs w:val="14"/>
          <w:color w:val="auto"/>
        </w:rPr>
      </w:pPr>
    </w:p>
    <w:p>
      <w:pPr>
        <w:jc w:val="both"/>
        <w:ind w:left="1020" w:right="100" w:hanging="503"/>
        <w:spacing w:after="0" w:line="252" w:lineRule="auto"/>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stock-based compensation for the three months September 30, 2023 decreased by $13 million compared to the three months ended September 30, 2022 due to fewer outstanding equity awards being amortized during the third quarter of 2023 compared to the same period in 2022. This was driven by lower headcount due to reduction in force and the departures of the Company's former Chief Product Officer ("CPO") and Chief Administrative Officer ("CAO") during the first quarter of 2023.</w:t>
      </w:r>
    </w:p>
    <w:p>
      <w:pPr>
        <w:spacing w:after="0" w:line="79" w:lineRule="exact"/>
        <w:rPr>
          <w:rFonts w:ascii="Arial" w:cs="Arial" w:eastAsia="Arial" w:hAnsi="Arial"/>
          <w:sz w:val="14"/>
          <w:szCs w:val="14"/>
          <w:color w:val="auto"/>
        </w:rPr>
      </w:pPr>
    </w:p>
    <w:p>
      <w:pPr>
        <w:jc w:val="both"/>
        <w:ind w:left="1020" w:right="100" w:hanging="503"/>
        <w:spacing w:after="0" w:line="247" w:lineRule="auto"/>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stock-based compensation for the nine months ended September 30, 2023 increased by $1 million compared to the nine months ended September 30, 2022 primarily due to reductions in headcount year over year offset by significant non-recurring items in the following denoted periods, (i) accelerated vesting of the Company's former CPO and CAO's RSUs upon their departures in accordance to their separation agreements during the first quarter of 2023, and (ii) forfeitures originating from the resignation of the Company’s former Chief Executive Officer, and modifications to the Company’s former Executive Chair’s equity awards, both during the first quarter of 2022. Employer related payroll taxes decreased from $2 million for the nine months ended September 30, 2022 to $1 million for the nine months ended September 30, 2023, driven by lower headcount due to reduction in force.</w:t>
      </w:r>
    </w:p>
    <w:p>
      <w:pPr>
        <w:spacing w:after="0" w:line="85" w:lineRule="exact"/>
        <w:rPr>
          <w:rFonts w:ascii="Arial" w:cs="Arial" w:eastAsia="Arial" w:hAnsi="Arial"/>
          <w:sz w:val="14"/>
          <w:szCs w:val="14"/>
          <w:color w:val="auto"/>
        </w:rPr>
      </w:pPr>
    </w:p>
    <w:p>
      <w:pPr>
        <w:jc w:val="both"/>
        <w:ind w:left="1020" w:right="100" w:hanging="503"/>
        <w:spacing w:after="0" w:line="252" w:lineRule="auto"/>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amount for the nine months ended September 30, 2023 consisted of $12 million of employee severance and other personnel reduction costs. Total amount for the nine months ended September 30, 2022 includes restructuring charges consisting of $3 million of employee severance and $11 million in impairment of lease assets and property and equipment as well as a $15 million one-time discretionary cash bonus paid to select employees to help cover their tax obligations triggered by the settlement of their RSUs that vested upon the Company’s IPO.</w:t>
      </w:r>
    </w:p>
    <w:p>
      <w:pPr>
        <w:spacing w:after="0" w:line="79" w:lineRule="exact"/>
        <w:rPr>
          <w:rFonts w:ascii="Arial" w:cs="Arial" w:eastAsia="Arial" w:hAnsi="Arial"/>
          <w:sz w:val="14"/>
          <w:szCs w:val="14"/>
          <w:color w:val="auto"/>
        </w:rPr>
      </w:pPr>
    </w:p>
    <w:p>
      <w:pPr>
        <w:ind w:left="1020" w:hanging="503"/>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Impairment of lease assets and property and equipment unrelated to restructuring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68" w:lineRule="exact"/>
        <w:rPr>
          <w:sz w:val="20"/>
          <w:szCs w:val="20"/>
          <w:color w:val="auto"/>
        </w:rPr>
      </w:pPr>
    </w:p>
    <w:p>
      <w:pPr>
        <w:jc w:val="both"/>
        <w:ind w:right="100" w:firstLine="636"/>
        <w:spacing w:after="0" w:line="247" w:lineRule="auto"/>
        <w:rPr>
          <w:sz w:val="20"/>
          <w:szCs w:val="20"/>
          <w:color w:val="auto"/>
        </w:rPr>
      </w:pPr>
      <w:r>
        <w:rPr>
          <w:rFonts w:ascii="Arial" w:cs="Arial" w:eastAsia="Arial" w:hAnsi="Arial"/>
          <w:sz w:val="18"/>
          <w:szCs w:val="18"/>
          <w:color w:val="auto"/>
        </w:rPr>
        <w:t>We also provide Free Cash Flow, a non-GAAP financial measure that represents net cash used in operating activities less purchases of property and equipment and development of internal-use software. We believe that Free Cash Flow is an important measure since we use third parties to host our services and therefore, we do not incur significant capital expenditures to support revenue generating activities.</w:t>
      </w:r>
    </w:p>
    <w:p>
      <w:pPr>
        <w:spacing w:after="0" w:line="130" w:lineRule="exact"/>
        <w:rPr>
          <w:sz w:val="20"/>
          <w:szCs w:val="20"/>
          <w:color w:val="auto"/>
        </w:rPr>
      </w:pPr>
    </w:p>
    <w:p>
      <w:pPr>
        <w:jc w:val="both"/>
        <w:ind w:right="100" w:firstLine="636"/>
        <w:spacing w:after="0" w:line="260" w:lineRule="auto"/>
        <w:rPr>
          <w:sz w:val="20"/>
          <w:szCs w:val="20"/>
          <w:color w:val="auto"/>
        </w:rPr>
      </w:pPr>
      <w:r>
        <w:rPr>
          <w:rFonts w:ascii="Arial" w:cs="Arial" w:eastAsia="Arial" w:hAnsi="Arial"/>
          <w:sz w:val="18"/>
          <w:szCs w:val="18"/>
          <w:color w:val="auto"/>
        </w:rPr>
        <w:t>Free Cash Flow has limitations as an analytical measure, and you should not consider it in isolation or as a substitute for analysis of our results as reported under U.S. GAAP. Some of these limitations are:</w:t>
      </w:r>
    </w:p>
    <w:p>
      <w:pPr>
        <w:spacing w:after="0" w:line="119" w:lineRule="exact"/>
        <w:rPr>
          <w:sz w:val="20"/>
          <w:szCs w:val="20"/>
          <w:color w:val="auto"/>
        </w:rPr>
      </w:pPr>
    </w:p>
    <w:p>
      <w:pPr>
        <w:ind w:left="1020" w:hanging="376"/>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not a substitute for net cash used in operating activities;</w:t>
      </w:r>
    </w:p>
    <w:p>
      <w:pPr>
        <w:spacing w:after="0" w:line="90" w:lineRule="exact"/>
        <w:rPr>
          <w:rFonts w:ascii="Arial" w:cs="Arial" w:eastAsia="Arial" w:hAnsi="Arial"/>
          <w:sz w:val="18"/>
          <w:szCs w:val="18"/>
          <w:color w:val="auto"/>
        </w:rPr>
      </w:pPr>
    </w:p>
    <w:p>
      <w:pPr>
        <w:jc w:val="both"/>
        <w:ind w:left="1020" w:right="100" w:hanging="376"/>
        <w:spacing w:after="0" w:line="26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may calculate Free Cash Flow or similarly titled non-U.S. GAAP measures differently or may use other measures to evaluate their performance, all of which could reduce the usefulness of free cash flow as a tool for comparison; and</w:t>
      </w:r>
    </w:p>
    <w:p>
      <w:pPr>
        <w:spacing w:after="0" w:line="37" w:lineRule="exact"/>
        <w:rPr>
          <w:rFonts w:ascii="Arial" w:cs="Arial" w:eastAsia="Arial" w:hAnsi="Arial"/>
          <w:sz w:val="18"/>
          <w:szCs w:val="18"/>
          <w:color w:val="auto"/>
        </w:rPr>
      </w:pPr>
    </w:p>
    <w:p>
      <w:pPr>
        <w:ind w:left="1020" w:right="100" w:hanging="376"/>
        <w:spacing w:after="0" w:line="26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utility of free cash flow is further limited as it does not reflect our future contractual commitments and does not represent the total increase or decrease in our cash balance for any given period.</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91" w:right="239" w:bottom="1440" w:gutter="0" w:footer="0" w:header="0"/>
        </w:sectPr>
      </w:pPr>
    </w:p>
    <w:bookmarkStart w:id="26" w:name="page27"/>
    <w:bookmarkEnd w:id="26"/>
    <w:p>
      <w:pPr>
        <w:ind w:firstLine="636"/>
        <w:spacing w:after="0" w:line="260" w:lineRule="auto"/>
        <w:rPr>
          <w:sz w:val="20"/>
          <w:szCs w:val="20"/>
          <w:color w:val="auto"/>
        </w:rPr>
      </w:pPr>
      <w:r>
        <w:rPr>
          <w:rFonts w:ascii="Arial" w:cs="Arial" w:eastAsia="Arial" w:hAnsi="Arial"/>
          <w:sz w:val="18"/>
          <w:szCs w:val="18"/>
          <w:color w:val="auto"/>
        </w:rPr>
        <w:t>Because of these limitations, you should consider Free Cash Flow alongside other financial performance measures, such as net cash used in operating activities, net loss and our other U.S. GAAP results.</w:t>
      </w:r>
    </w:p>
    <w:p>
      <w:pPr>
        <w:spacing w:after="0" w:line="119" w:lineRule="exact"/>
        <w:rPr>
          <w:sz w:val="20"/>
          <w:szCs w:val="20"/>
          <w:color w:val="auto"/>
        </w:rPr>
      </w:pPr>
    </w:p>
    <w:p>
      <w:pPr>
        <w:ind w:firstLine="644"/>
        <w:spacing w:after="0" w:line="260" w:lineRule="auto"/>
        <w:rPr>
          <w:sz w:val="20"/>
          <w:szCs w:val="20"/>
          <w:color w:val="auto"/>
        </w:rPr>
      </w:pPr>
      <w:r>
        <w:rPr>
          <w:rFonts w:ascii="Arial" w:cs="Arial" w:eastAsia="Arial" w:hAnsi="Arial"/>
          <w:sz w:val="18"/>
          <w:szCs w:val="18"/>
          <w:color w:val="auto"/>
        </w:rPr>
        <w:t>The following table reflects the reconciliation of net cash used in operating activities to Free Cash Flow for each of the periods indicated:</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4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26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(266 )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Purchases of property and equipment and</w:t>
            </w:r>
          </w:p>
        </w:tc>
        <w:tc>
          <w:tcPr>
            <w:tcW w:w="3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development of internal-use software</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vMerge w:val="continue"/>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vMerge w:val="continue"/>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Arial" w:cs="Arial" w:eastAsia="Arial" w:hAnsi="Arial"/>
                <w:sz w:val="18"/>
                <w:szCs w:val="18"/>
                <w:color w:val="auto"/>
              </w:rPr>
              <w:t>Free Cash Flow</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color w:val="auto"/>
                <w:highlight w:val="white"/>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(269 </w:t>
            </w:r>
            <w:r>
              <w:rPr>
                <w:rFonts w:ascii="Arial" w:cs="Arial" w:eastAsia="Arial" w:hAnsi="Arial"/>
                <w:sz w:val="18"/>
                <w:szCs w:val="18"/>
                <w:color w:val="auto"/>
                <w:highlight w:val="white"/>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8" w:lineRule="exact"/>
        <w:rPr>
          <w:sz w:val="20"/>
          <w:szCs w:val="20"/>
          <w:color w:val="auto"/>
        </w:rPr>
      </w:pPr>
    </w:p>
    <w:p>
      <w:pPr>
        <w:ind w:right="20" w:firstLine="636"/>
        <w:spacing w:after="0" w:line="260" w:lineRule="auto"/>
        <w:rPr>
          <w:sz w:val="20"/>
          <w:szCs w:val="20"/>
          <w:color w:val="auto"/>
        </w:rPr>
      </w:pPr>
      <w:r>
        <w:rPr>
          <w:rFonts w:ascii="Arial" w:cs="Arial" w:eastAsia="Arial" w:hAnsi="Arial"/>
          <w:sz w:val="18"/>
          <w:szCs w:val="18"/>
          <w:color w:val="auto"/>
        </w:rPr>
        <w:t>The following table shows our results of operations for the periods presented and expresses the relationship of certain line items as a percentage of revenue for those periods. The period-to-period comparison of financial results is not necessarily indicative of future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Nine Months Ended</w:t>
            </w:r>
          </w:p>
        </w:tc>
      </w:tr>
      <w:tr>
        <w:trPr>
          <w:trHeight w:val="221"/>
        </w:trPr>
        <w:tc>
          <w:tcPr>
            <w:tcW w:w="5920" w:type="dxa"/>
            <w:vAlign w:val="bottom"/>
          </w:tcPr>
          <w:p>
            <w:pPr>
              <w:spacing w:after="0"/>
              <w:rPr>
                <w:sz w:val="19"/>
                <w:szCs w:val="19"/>
                <w:color w:val="auto"/>
              </w:rPr>
            </w:pPr>
          </w:p>
        </w:tc>
        <w:tc>
          <w:tcPr>
            <w:tcW w:w="214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59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209"/>
        </w:trPr>
        <w:tc>
          <w:tcPr>
            <w:tcW w:w="5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(in</w:t>
            </w:r>
          </w:p>
        </w:tc>
        <w:tc>
          <w:tcPr>
            <w:tcW w:w="560" w:type="dxa"/>
            <w:vAlign w:val="bottom"/>
            <w:gridSpan w:val="2"/>
          </w:tcPr>
          <w:p>
            <w:pPr>
              <w:jc w:val="center"/>
              <w:spacing w:after="0"/>
              <w:rPr>
                <w:sz w:val="20"/>
                <w:szCs w:val="20"/>
                <w:color w:val="auto"/>
              </w:rPr>
            </w:pPr>
            <w:r>
              <w:rPr>
                <w:rFonts w:ascii="Arial" w:cs="Arial" w:eastAsia="Arial" w:hAnsi="Arial"/>
                <w:sz w:val="16"/>
                <w:szCs w:val="16"/>
                <w:b w:val="1"/>
                <w:bCs w:val="1"/>
                <w:color w:val="auto"/>
                <w:w w:val="78"/>
              </w:rPr>
              <w:t>millions)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0"/>
              <w:spacing w:after="0" w:line="216"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w:t>
            </w: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r>
      <w:tr>
        <w:trPr>
          <w:trHeight w:val="209"/>
        </w:trPr>
        <w:tc>
          <w:tcPr>
            <w:tcW w:w="59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Gross profit</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FF0FC"/>
          </w:tcPr>
          <w:p>
            <w:pPr>
              <w:spacing w:after="0"/>
              <w:rPr>
                <w:sz w:val="18"/>
                <w:szCs w:val="18"/>
                <w:color w:val="auto"/>
              </w:rPr>
            </w:pPr>
          </w:p>
        </w:tc>
      </w:tr>
      <w:tr>
        <w:trPr>
          <w:trHeight w:val="213"/>
        </w:trPr>
        <w:tc>
          <w:tcPr>
            <w:tcW w:w="59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920" w:type="dxa"/>
            <w:vAlign w:val="bottom"/>
            <w:shd w:val="clear" w:color="auto" w:fill="CFF0FC"/>
          </w:tcPr>
          <w:p>
            <w:pPr>
              <w:ind w:left="280"/>
              <w:spacing w:after="0" w:line="219"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FF0FC"/>
          </w:tcPr>
          <w:p>
            <w:pPr>
              <w:spacing w:after="0"/>
              <w:rPr>
                <w:sz w:val="19"/>
                <w:szCs w:val="19"/>
                <w:color w:val="auto"/>
              </w:rPr>
            </w:pPr>
          </w:p>
        </w:tc>
      </w:tr>
      <w:tr>
        <w:trPr>
          <w:trHeight w:val="216"/>
        </w:trPr>
        <w:tc>
          <w:tcPr>
            <w:tcW w:w="5920" w:type="dxa"/>
            <w:vAlign w:val="bottom"/>
          </w:tcPr>
          <w:p>
            <w:pPr>
              <w:ind w:left="280"/>
              <w:spacing w:after="0" w:line="216" w:lineRule="exact"/>
              <w:rPr>
                <w:sz w:val="20"/>
                <w:szCs w:val="20"/>
                <w:color w:val="auto"/>
              </w:rPr>
            </w:pPr>
            <w:r>
              <w:rPr>
                <w:rFonts w:ascii="Arial" w:cs="Arial" w:eastAsia="Arial" w:hAnsi="Arial"/>
                <w:sz w:val="16"/>
                <w:szCs w:val="16"/>
                <w:color w:val="auto"/>
              </w:rPr>
              <w:t>Product development</w:t>
            </w:r>
            <w:r>
              <w:rPr>
                <w:rFonts w:ascii="Arial" w:cs="Arial" w:eastAsia="Arial" w:hAnsi="Arial"/>
                <w:sz w:val="21"/>
                <w:szCs w:val="21"/>
                <w:color w:val="auto"/>
                <w:vertAlign w:val="superscript"/>
              </w:rPr>
              <w:t>(1)</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ind w:left="280"/>
              <w:spacing w:after="0" w:line="216"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8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6"/>
        </w:trPr>
        <w:tc>
          <w:tcPr>
            <w:tcW w:w="5920" w:type="dxa"/>
            <w:vAlign w:val="bottom"/>
          </w:tcPr>
          <w:p>
            <w:pPr>
              <w:ind w:left="520"/>
              <w:spacing w:after="0"/>
              <w:rPr>
                <w:sz w:val="20"/>
                <w:szCs w:val="20"/>
                <w:color w:val="auto"/>
              </w:rPr>
            </w:pPr>
            <w:r>
              <w:rPr>
                <w:rFonts w:ascii="Arial" w:cs="Arial" w:eastAsia="Arial" w:hAnsi="Arial"/>
                <w:sz w:val="16"/>
                <w:szCs w:val="16"/>
                <w:color w:val="auto"/>
              </w:rPr>
              <w:t>Total operating expenses</w:t>
            </w: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94</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7"/>
                <w:szCs w:val="17"/>
                <w:color w:val="auto"/>
              </w:rPr>
            </w:pPr>
          </w:p>
        </w:tc>
      </w:tr>
      <w:tr>
        <w:trPr>
          <w:trHeight w:val="219"/>
        </w:trPr>
        <w:tc>
          <w:tcPr>
            <w:tcW w:w="5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(80 )</w:t>
            </w:r>
          </w:p>
        </w:tc>
        <w:tc>
          <w:tcPr>
            <w:tcW w:w="7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(128 )</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(256 )</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(281 )</w:t>
            </w:r>
          </w:p>
        </w:tc>
      </w:tr>
      <w:tr>
        <w:trPr>
          <w:trHeight w:val="213"/>
        </w:trPr>
        <w:tc>
          <w:tcPr>
            <w:tcW w:w="592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Interest and other income, net</w:t>
            </w:r>
          </w:p>
        </w:tc>
        <w:tc>
          <w:tcPr>
            <w:tcW w:w="8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20" w:type="dxa"/>
            <w:vAlign w:val="bottom"/>
          </w:tcPr>
          <w:p>
            <w:pPr>
              <w:ind w:left="280"/>
              <w:spacing w:after="0"/>
              <w:rPr>
                <w:sz w:val="20"/>
                <w:szCs w:val="20"/>
                <w:color w:val="auto"/>
              </w:rPr>
            </w:pPr>
            <w:r>
              <w:rPr>
                <w:rFonts w:ascii="Arial" w:cs="Arial" w:eastAsia="Arial" w:hAnsi="Arial"/>
                <w:sz w:val="16"/>
                <w:szCs w:val="16"/>
                <w:color w:val="auto"/>
              </w:rPr>
              <w:t>Loss before provision for income taxes</w:t>
            </w:r>
          </w:p>
        </w:tc>
        <w:tc>
          <w:tcPr>
            <w:tcW w:w="8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(77 )</w:t>
            </w:r>
          </w:p>
        </w:tc>
        <w:tc>
          <w:tcPr>
            <w:tcW w:w="740" w:type="dxa"/>
            <w:vAlign w:val="bottom"/>
          </w:tcPr>
          <w:p>
            <w:pPr>
              <w:spacing w:after="0"/>
              <w:rPr>
                <w:sz w:val="18"/>
                <w:szCs w:val="18"/>
                <w:color w:val="auto"/>
              </w:rPr>
            </w:pPr>
          </w:p>
        </w:tc>
        <w:tc>
          <w:tcPr>
            <w:tcW w:w="620" w:type="dxa"/>
            <w:vAlign w:val="bottom"/>
            <w:gridSpan w:val="2"/>
          </w:tcPr>
          <w:p>
            <w:pPr>
              <w:jc w:val="right"/>
              <w:ind w:right="79"/>
              <w:spacing w:after="0"/>
              <w:rPr>
                <w:sz w:val="20"/>
                <w:szCs w:val="20"/>
                <w:color w:val="auto"/>
              </w:rPr>
            </w:pPr>
            <w:r>
              <w:rPr>
                <w:rFonts w:ascii="Arial" w:cs="Arial" w:eastAsia="Arial" w:hAnsi="Arial"/>
                <w:sz w:val="16"/>
                <w:szCs w:val="16"/>
                <w:color w:val="auto"/>
              </w:rPr>
              <w:t>(122 )</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(243 )</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(271 )</w:t>
            </w:r>
          </w:p>
        </w:tc>
      </w:tr>
      <w:tr>
        <w:trPr>
          <w:trHeight w:val="216"/>
        </w:trPr>
        <w:tc>
          <w:tcPr>
            <w:tcW w:w="5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8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(80 )</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79"/>
              <w:spacing w:after="0"/>
              <w:rPr>
                <w:sz w:val="20"/>
                <w:szCs w:val="20"/>
                <w:color w:val="auto"/>
              </w:rPr>
            </w:pPr>
            <w:r>
              <w:rPr>
                <w:rFonts w:ascii="Arial" w:cs="Arial" w:eastAsia="Arial" w:hAnsi="Arial"/>
                <w:sz w:val="16"/>
                <w:szCs w:val="16"/>
                <w:color w:val="auto"/>
              </w:rPr>
              <w:t>(124 )</w:t>
            </w:r>
          </w:p>
        </w:tc>
        <w:tc>
          <w:tcPr>
            <w:tcW w:w="340" w:type="dxa"/>
            <w:vAlign w:val="bottom"/>
          </w:tcPr>
          <w:p>
            <w:pPr>
              <w:jc w:val="center"/>
              <w:ind w:right="15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(249 )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(274 )</w:t>
            </w:r>
          </w:p>
        </w:tc>
      </w:tr>
      <w:tr>
        <w:trPr>
          <w:trHeight w:val="20"/>
        </w:trPr>
        <w:tc>
          <w:tcPr>
            <w:tcW w:w="5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-1010920</wp:posOffset>
            </wp:positionV>
            <wp:extent cx="7747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-1010920</wp:posOffset>
            </wp:positionV>
            <wp:extent cx="68580"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-1010920</wp:posOffset>
            </wp:positionV>
            <wp:extent cx="6858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-453390</wp:posOffset>
            </wp:positionV>
            <wp:extent cx="7747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-453390</wp:posOffset>
            </wp:positionV>
            <wp:extent cx="6858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-453390</wp:posOffset>
            </wp:positionV>
            <wp:extent cx="6858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7747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0"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Includes stock-based compensation expense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1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90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900" w:type="dxa"/>
            <w:vAlign w:val="bottom"/>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(in</w:t>
            </w:r>
          </w:p>
        </w:tc>
        <w:tc>
          <w:tcPr>
            <w:tcW w:w="1080" w:type="dxa"/>
            <w:vAlign w:val="bottom"/>
            <w:gridSpan w:val="2"/>
          </w:tcPr>
          <w:p>
            <w:pPr>
              <w:jc w:val="center"/>
              <w:ind w:right="479"/>
              <w:spacing w:after="0"/>
              <w:rPr>
                <w:sz w:val="20"/>
                <w:szCs w:val="20"/>
                <w:color w:val="auto"/>
              </w:rPr>
            </w:pPr>
            <w:r>
              <w:rPr>
                <w:rFonts w:ascii="Arial" w:cs="Arial" w:eastAsia="Arial" w:hAnsi="Arial"/>
                <w:sz w:val="16"/>
                <w:szCs w:val="16"/>
                <w:b w:val="1"/>
                <w:bCs w:val="1"/>
                <w:color w:val="auto"/>
                <w:w w:val="78"/>
              </w:rPr>
              <w:t>millions)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0" w:type="dxa"/>
            <w:vAlign w:val="bottom"/>
            <w:gridSpan w:val="2"/>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2"/>
            <w:shd w:val="clear" w:color="auto" w:fill="CFF0FC"/>
          </w:tcPr>
          <w:p>
            <w:pPr>
              <w:jc w:val="center"/>
              <w:ind w:right="43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40" w:type="dxa"/>
            <w:vAlign w:val="bottom"/>
            <w:gridSpan w:val="2"/>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8"/>
                <w:szCs w:val="18"/>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r>
      <w:tr>
        <w:trPr>
          <w:trHeight w:val="219"/>
        </w:trPr>
        <w:tc>
          <w:tcPr>
            <w:tcW w:w="5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 development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9"/>
                <w:szCs w:val="19"/>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r>
      <w:tr>
        <w:trPr>
          <w:trHeight w:val="249"/>
        </w:trPr>
        <w:tc>
          <w:tcPr>
            <w:tcW w:w="5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Total stock-based compensation</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center"/>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revenue: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180" w:type="dxa"/>
            <w:vAlign w:val="bottom"/>
            <w:gridSpan w:val="4"/>
          </w:tcPr>
          <w:p>
            <w:pPr>
              <w:jc w:val="center"/>
              <w:ind w:left="31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Nine Months Ended</w:t>
            </w:r>
          </w:p>
        </w:tc>
      </w:tr>
      <w:tr>
        <w:trPr>
          <w:trHeight w:val="221"/>
        </w:trPr>
        <w:tc>
          <w:tcPr>
            <w:tcW w:w="5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right"/>
              <w:ind w:right="900"/>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58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r>
      <w:tr>
        <w:trPr>
          <w:trHeight w:val="204"/>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Revenue</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100 %</w:t>
            </w:r>
          </w:p>
        </w:tc>
        <w:tc>
          <w:tcPr>
            <w:tcW w:w="86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100 %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100 %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100 %</w:t>
            </w:r>
          </w:p>
        </w:tc>
      </w:tr>
      <w:tr>
        <w:trPr>
          <w:trHeight w:val="219"/>
        </w:trPr>
        <w:tc>
          <w:tcPr>
            <w:tcW w:w="58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7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77 %</w:t>
            </w:r>
          </w:p>
        </w:tc>
        <w:tc>
          <w:tcPr>
            <w:tcW w:w="86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73 %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79 %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69 %</w:t>
            </w:r>
          </w:p>
        </w:tc>
      </w:tr>
      <w:tr>
        <w:trPr>
          <w:trHeight w:val="20"/>
        </w:trPr>
        <w:tc>
          <w:tcPr>
            <w:tcW w:w="5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6"/>
        </w:trPr>
        <w:tc>
          <w:tcPr>
            <w:tcW w:w="582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7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23 %</w:t>
            </w:r>
          </w:p>
        </w:tc>
        <w:tc>
          <w:tcPr>
            <w:tcW w:w="86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27 %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21 %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31 %</w:t>
            </w:r>
          </w:p>
        </w:tc>
      </w:tr>
      <w:tr>
        <w:trPr>
          <w:trHeight w:val="216"/>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4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58 %</w:t>
            </w:r>
          </w:p>
        </w:tc>
        <w:tc>
          <w:tcPr>
            <w:tcW w:w="8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64 %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47 %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40 %</w:t>
            </w:r>
          </w:p>
        </w:tc>
      </w:tr>
      <w:tr>
        <w:trPr>
          <w:trHeight w:val="216"/>
        </w:trPr>
        <w:tc>
          <w:tcPr>
            <w:tcW w:w="6540" w:type="dxa"/>
            <w:vAlign w:val="bottom"/>
            <w:gridSpan w:val="2"/>
          </w:tcPr>
          <w:p>
            <w:pPr>
              <w:ind w:left="280"/>
              <w:spacing w:after="0"/>
              <w:rPr>
                <w:sz w:val="20"/>
                <w:szCs w:val="20"/>
                <w:color w:val="auto"/>
              </w:rPr>
            </w:pPr>
            <w:r>
              <w:rPr>
                <w:rFonts w:ascii="Arial" w:cs="Arial" w:eastAsia="Arial" w:hAnsi="Arial"/>
                <w:sz w:val="16"/>
                <w:szCs w:val="16"/>
                <w:color w:val="auto"/>
              </w:rPr>
              <w:t>Product development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63 %</w:t>
            </w:r>
          </w:p>
        </w:tc>
        <w:tc>
          <w:tcPr>
            <w:tcW w:w="8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33 %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54 %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34 %</w:t>
            </w:r>
          </w:p>
        </w:tc>
      </w:tr>
      <w:tr>
        <w:trPr>
          <w:trHeight w:val="219"/>
        </w:trPr>
        <w:tc>
          <w:tcPr>
            <w:tcW w:w="58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7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35 %</w:t>
            </w:r>
          </w:p>
        </w:tc>
        <w:tc>
          <w:tcPr>
            <w:tcW w:w="86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32 %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29 %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19 %</w:t>
            </w:r>
          </w:p>
        </w:tc>
      </w:tr>
      <w:tr>
        <w:trPr>
          <w:trHeight w:val="20"/>
        </w:trPr>
        <w:tc>
          <w:tcPr>
            <w:tcW w:w="5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5820" w:type="dxa"/>
            <w:vAlign w:val="bottom"/>
          </w:tcPr>
          <w:p>
            <w:pPr>
              <w:ind w:left="520"/>
              <w:spacing w:after="0"/>
              <w:rPr>
                <w:sz w:val="20"/>
                <w:szCs w:val="20"/>
                <w:color w:val="auto"/>
              </w:rPr>
            </w:pPr>
            <w:r>
              <w:rPr>
                <w:rFonts w:ascii="Arial" w:cs="Arial" w:eastAsia="Arial" w:hAnsi="Arial"/>
                <w:sz w:val="16"/>
                <w:szCs w:val="16"/>
                <w:color w:val="auto"/>
              </w:rPr>
              <w:t>Total operating expenses</w:t>
            </w:r>
          </w:p>
        </w:tc>
        <w:tc>
          <w:tcPr>
            <w:tcW w:w="7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 xml:space="preserve">156 </w:t>
            </w:r>
            <w:r>
              <w:rPr>
                <w:rFonts w:ascii="Arial" w:cs="Arial" w:eastAsia="Arial" w:hAnsi="Arial"/>
                <w:sz w:val="16"/>
                <w:szCs w:val="16"/>
                <w:color w:val="auto"/>
                <w:highlight w:val="white"/>
              </w:rPr>
              <w:t>%</w:t>
            </w:r>
          </w:p>
        </w:tc>
        <w:tc>
          <w:tcPr>
            <w:tcW w:w="86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color w:val="auto"/>
                <w:highlight w:val="white"/>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130 </w:t>
            </w:r>
            <w:r>
              <w:rPr>
                <w:rFonts w:ascii="Arial" w:cs="Arial" w:eastAsia="Arial" w:hAnsi="Arial"/>
                <w:sz w:val="16"/>
                <w:szCs w:val="16"/>
                <w:color w:val="auto"/>
                <w:highlight w:val="white"/>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color w:val="auto"/>
                <w:highlight w:val="white"/>
              </w:rPr>
              <w:t>%</w:t>
            </w:r>
          </w:p>
        </w:tc>
      </w:tr>
      <w:tr>
        <w:trPr>
          <w:trHeight w:val="216"/>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Loss from operations</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(133 )%</w:t>
            </w:r>
          </w:p>
        </w:tc>
        <w:tc>
          <w:tcPr>
            <w:tcW w:w="8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(102 )%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(62 )%</w:t>
            </w:r>
          </w:p>
        </w:tc>
      </w:tr>
      <w:tr>
        <w:trPr>
          <w:trHeight w:val="216"/>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Other income, net: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5820" w:type="dxa"/>
            <w:vAlign w:val="bottom"/>
          </w:tcPr>
          <w:p>
            <w:pPr>
              <w:ind w:left="280"/>
              <w:spacing w:after="0"/>
              <w:rPr>
                <w:sz w:val="20"/>
                <w:szCs w:val="20"/>
                <w:color w:val="auto"/>
              </w:rPr>
            </w:pPr>
            <w:r>
              <w:rPr>
                <w:rFonts w:ascii="Arial" w:cs="Arial" w:eastAsia="Arial" w:hAnsi="Arial"/>
                <w:sz w:val="16"/>
                <w:szCs w:val="16"/>
                <w:color w:val="auto"/>
              </w:rPr>
              <w:t>Interest and other income, net</w:t>
            </w:r>
          </w:p>
        </w:tc>
        <w:tc>
          <w:tcPr>
            <w:tcW w:w="7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5 %</w:t>
            </w:r>
          </w:p>
        </w:tc>
        <w:tc>
          <w:tcPr>
            <w:tcW w:w="86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5 %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2 %</w:t>
            </w:r>
          </w:p>
        </w:tc>
      </w:tr>
      <w:tr>
        <w:trPr>
          <w:trHeight w:val="20"/>
        </w:trPr>
        <w:tc>
          <w:tcPr>
            <w:tcW w:w="5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5820" w:type="dxa"/>
            <w:vAlign w:val="bottom"/>
          </w:tcPr>
          <w:p>
            <w:pPr>
              <w:ind w:left="520"/>
              <w:spacing w:after="0"/>
              <w:rPr>
                <w:sz w:val="20"/>
                <w:szCs w:val="20"/>
                <w:color w:val="auto"/>
              </w:rPr>
            </w:pPr>
            <w:r>
              <w:rPr>
                <w:rFonts w:ascii="Arial" w:cs="Arial" w:eastAsia="Arial" w:hAnsi="Arial"/>
                <w:sz w:val="16"/>
                <w:szCs w:val="16"/>
                <w:color w:val="auto"/>
              </w:rPr>
              <w:t>Loss before provision for income taxes</w:t>
            </w:r>
          </w:p>
        </w:tc>
        <w:tc>
          <w:tcPr>
            <w:tcW w:w="7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 xml:space="preserve">(128 </w:t>
            </w:r>
            <w:r>
              <w:rPr>
                <w:rFonts w:ascii="Arial" w:cs="Arial" w:eastAsia="Arial" w:hAnsi="Arial"/>
                <w:sz w:val="16"/>
                <w:szCs w:val="16"/>
                <w:color w:val="auto"/>
                <w:highlight w:val="white"/>
                <w:w w:val="96"/>
              </w:rPr>
              <w:t>)</w:t>
            </w:r>
            <w:r>
              <w:rPr>
                <w:rFonts w:ascii="Arial" w:cs="Arial" w:eastAsia="Arial" w:hAnsi="Arial"/>
                <w:sz w:val="16"/>
                <w:szCs w:val="16"/>
                <w:color w:val="auto"/>
                <w:w w:val="96"/>
              </w:rPr>
              <w:t>%</w:t>
            </w:r>
          </w:p>
        </w:tc>
        <w:tc>
          <w:tcPr>
            <w:tcW w:w="8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 xml:space="preserve">(60 </w:t>
            </w:r>
            <w:r>
              <w:rPr>
                <w:rFonts w:ascii="Arial" w:cs="Arial" w:eastAsia="Arial" w:hAnsi="Arial"/>
                <w:sz w:val="16"/>
                <w:szCs w:val="16"/>
                <w:color w:val="auto"/>
                <w:highlight w:val="white"/>
              </w:rPr>
              <w:t>)</w:t>
            </w:r>
            <w:r>
              <w:rPr>
                <w:rFonts w:ascii="Arial" w:cs="Arial" w:eastAsia="Arial" w:hAnsi="Arial"/>
                <w:sz w:val="16"/>
                <w:szCs w:val="16"/>
                <w:color w:val="auto"/>
              </w:rPr>
              <w:t>%</w:t>
            </w:r>
          </w:p>
        </w:tc>
      </w:tr>
      <w:tr>
        <w:trPr>
          <w:trHeight w:val="219"/>
        </w:trPr>
        <w:tc>
          <w:tcPr>
            <w:tcW w:w="58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7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5 %</w:t>
            </w:r>
          </w:p>
        </w:tc>
        <w:tc>
          <w:tcPr>
            <w:tcW w:w="86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2 %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r>
      <w:tr>
        <w:trPr>
          <w:trHeight w:val="20"/>
        </w:trPr>
        <w:tc>
          <w:tcPr>
            <w:tcW w:w="5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7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 xml:space="preserve">(133 </w:t>
            </w:r>
            <w:r>
              <w:rPr>
                <w:rFonts w:ascii="Arial" w:cs="Arial" w:eastAsia="Arial" w:hAnsi="Arial"/>
                <w:sz w:val="16"/>
                <w:szCs w:val="16"/>
                <w:color w:val="auto"/>
                <w:highlight w:val="white"/>
                <w:w w:val="96"/>
              </w:rPr>
              <w:t>)</w:t>
            </w:r>
            <w:r>
              <w:rPr>
                <w:rFonts w:ascii="Arial" w:cs="Arial" w:eastAsia="Arial" w:hAnsi="Arial"/>
                <w:sz w:val="16"/>
                <w:szCs w:val="16"/>
                <w:color w:val="auto"/>
                <w:w w:val="96"/>
              </w:rPr>
              <w:t>%</w:t>
            </w:r>
          </w:p>
        </w:tc>
        <w:tc>
          <w:tcPr>
            <w:tcW w:w="8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color w:val="auto"/>
                <w:highlight w:val="white"/>
              </w:rPr>
              <w:t>)</w:t>
            </w:r>
            <w:r>
              <w:rPr>
                <w:rFonts w:ascii="Arial" w:cs="Arial" w:eastAsia="Arial" w:hAnsi="Arial"/>
                <w:sz w:val="16"/>
                <w:szCs w:val="16"/>
                <w:color w:val="auto"/>
              </w:rPr>
              <w:t>%</w:t>
            </w:r>
          </w:p>
        </w:tc>
      </w:tr>
      <w:tr>
        <w:trPr>
          <w:trHeight w:val="20"/>
        </w:trPr>
        <w:tc>
          <w:tcPr>
            <w:tcW w:w="5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5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9" w:lineRule="exact"/>
        <w:rPr>
          <w:sz w:val="20"/>
          <w:szCs w:val="20"/>
          <w:color w:val="auto"/>
        </w:rPr>
      </w:pPr>
    </w:p>
    <w:p>
      <w:pPr>
        <w:ind w:right="4880"/>
        <w:spacing w:after="0" w:line="456" w:lineRule="auto"/>
        <w:rPr>
          <w:sz w:val="20"/>
          <w:szCs w:val="20"/>
          <w:color w:val="auto"/>
        </w:rPr>
      </w:pPr>
      <w:r>
        <w:rPr>
          <w:rFonts w:ascii="Arial" w:cs="Arial" w:eastAsia="Arial" w:hAnsi="Arial"/>
          <w:sz w:val="18"/>
          <w:szCs w:val="18"/>
          <w:b w:val="1"/>
          <w:bCs w:val="1"/>
          <w:i w:val="1"/>
          <w:iCs w:val="1"/>
          <w:color w:val="auto"/>
        </w:rPr>
        <w:t>Comparison of Three and Nine Months Ended September 30, 2023 and 2022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100" w:type="dxa"/>
            <w:vAlign w:val="bottom"/>
            <w:gridSpan w:val="5"/>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80" w:type="dxa"/>
            <w:vAlign w:val="bottom"/>
          </w:tcPr>
          <w:p>
            <w:pPr>
              <w:spacing w:after="0"/>
              <w:rPr>
                <w:sz w:val="19"/>
                <w:szCs w:val="19"/>
                <w:color w:val="auto"/>
              </w:rPr>
            </w:pPr>
          </w:p>
        </w:tc>
        <w:tc>
          <w:tcPr>
            <w:tcW w:w="18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vMerge w:val="restart"/>
          </w:tcPr>
          <w:p>
            <w:pPr>
              <w:ind w:left="20"/>
              <w:spacing w:after="0"/>
              <w:rPr>
                <w:sz w:val="20"/>
                <w:szCs w:val="20"/>
                <w:color w:val="auto"/>
              </w:rPr>
            </w:pPr>
            <w:r>
              <w:rPr>
                <w:rFonts w:ascii="Arial" w:cs="Arial" w:eastAsia="Arial" w:hAnsi="Arial"/>
                <w:sz w:val="16"/>
                <w:szCs w:val="16"/>
                <w:color w:val="auto"/>
              </w:rPr>
              <w:t>Core marketplace revenue</w:t>
            </w:r>
            <w:r>
              <w:rPr>
                <w:rFonts w:ascii="Arial" w:cs="Arial" w:eastAsia="Arial" w:hAnsi="Arial"/>
                <w:sz w:val="21"/>
                <w:szCs w:val="21"/>
                <w:color w:val="auto"/>
                <w:vertAlign w:val="superscript"/>
              </w:rPr>
              <w:t>(1)</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9"/>
          </w:tcPr>
          <w:p>
            <w:pPr>
              <w:jc w:val="right"/>
              <w:ind w:right="40"/>
              <w:spacing w:after="0"/>
              <w:rPr>
                <w:sz w:val="20"/>
                <w:szCs w:val="20"/>
                <w:color w:val="auto"/>
              </w:rPr>
            </w:pPr>
            <w:r>
              <w:rPr>
                <w:rFonts w:ascii="Arial" w:cs="Arial" w:eastAsia="Arial" w:hAnsi="Arial"/>
                <w:sz w:val="16"/>
                <w:szCs w:val="16"/>
                <w:b w:val="1"/>
                <w:bCs w:val="1"/>
                <w:color w:val="auto"/>
              </w:rPr>
              <w:t>($ in millions, except percentages)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19</w:t>
            </w:r>
          </w:p>
        </w:tc>
        <w:tc>
          <w:tcPr>
            <w:tcW w:w="88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40</w:t>
            </w:r>
          </w:p>
        </w:tc>
        <w:tc>
          <w:tcPr>
            <w:tcW w:w="4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(21 )</w:t>
            </w:r>
          </w:p>
        </w:tc>
        <w:tc>
          <w:tcPr>
            <w:tcW w:w="300" w:type="dxa"/>
            <w:vAlign w:val="bottom"/>
          </w:tcPr>
          <w:p>
            <w:pPr>
              <w:spacing w:after="0"/>
              <w:rPr>
                <w:sz w:val="18"/>
                <w:szCs w:val="18"/>
                <w:color w:val="auto"/>
              </w:rPr>
            </w:pPr>
          </w:p>
        </w:tc>
        <w:tc>
          <w:tcPr>
            <w:tcW w:w="860" w:type="dxa"/>
            <w:vAlign w:val="bottom"/>
            <w:gridSpan w:val="3"/>
          </w:tcPr>
          <w:p>
            <w:pPr>
              <w:ind w:left="280"/>
              <w:spacing w:after="0"/>
              <w:rPr>
                <w:sz w:val="20"/>
                <w:szCs w:val="20"/>
                <w:color w:val="auto"/>
              </w:rPr>
            </w:pPr>
            <w:r>
              <w:rPr>
                <w:rFonts w:ascii="Arial" w:cs="Arial" w:eastAsia="Arial" w:hAnsi="Arial"/>
                <w:sz w:val="16"/>
                <w:szCs w:val="16"/>
                <w:color w:val="auto"/>
                <w:w w:val="92"/>
              </w:rPr>
              <w:t>(53 )% $</w:t>
            </w:r>
          </w:p>
        </w:tc>
        <w:tc>
          <w:tcPr>
            <w:tcW w:w="640" w:type="dxa"/>
            <w:vAlign w:val="bottom"/>
          </w:tcPr>
          <w:p>
            <w:pPr>
              <w:jc w:val="right"/>
              <w:spacing w:after="0"/>
              <w:rPr>
                <w:sz w:val="20"/>
                <w:szCs w:val="20"/>
                <w:color w:val="auto"/>
              </w:rPr>
            </w:pPr>
            <w:r>
              <w:rPr>
                <w:rFonts w:ascii="Arial" w:cs="Arial" w:eastAsia="Arial" w:hAnsi="Arial"/>
                <w:sz w:val="16"/>
                <w:szCs w:val="16"/>
                <w:color w:val="auto"/>
              </w:rPr>
              <w:t>71</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184</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(113 )</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6"/>
                <w:szCs w:val="16"/>
                <w:color w:val="auto"/>
              </w:rPr>
              <w:t>ProductBoost revenue</w:t>
            </w:r>
          </w:p>
        </w:tc>
        <w:tc>
          <w:tcPr>
            <w:tcW w:w="7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(6 )</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w w:val="97"/>
              </w:rPr>
              <w:t>(55 )%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(17 )</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20"/>
              <w:spacing w:after="0"/>
              <w:rPr>
                <w:sz w:val="20"/>
                <w:szCs w:val="20"/>
                <w:color w:val="auto"/>
              </w:rPr>
            </w:pPr>
            <w:r>
              <w:rPr>
                <w:rFonts w:ascii="Arial" w:cs="Arial" w:eastAsia="Arial" w:hAnsi="Arial"/>
                <w:sz w:val="16"/>
                <w:szCs w:val="16"/>
                <w:color w:val="auto"/>
              </w:rPr>
              <w:t>Marketplace revenue</w:t>
            </w: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6"/>
                <w:szCs w:val="16"/>
                <w:color w:val="auto"/>
                <w:w w:val="97"/>
              </w:rPr>
              <w:t>(53 )%</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line="20" w:lineRule="exact"/>
              <w:rPr>
                <w:sz w:val="1"/>
                <w:szCs w:val="1"/>
                <w:color w:val="auto"/>
              </w:rPr>
            </w:pPr>
          </w:p>
        </w:tc>
      </w:tr>
      <w:tr>
        <w:trPr>
          <w:trHeight w:val="203"/>
        </w:trPr>
        <w:tc>
          <w:tcPr>
            <w:tcW w:w="28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(27 )</w:t>
            </w:r>
          </w:p>
        </w:tc>
        <w:tc>
          <w:tcPr>
            <w:tcW w:w="3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(130 )</w:t>
            </w:r>
          </w:p>
        </w:tc>
        <w:tc>
          <w:tcPr>
            <w:tcW w:w="2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20"/>
              <w:spacing w:after="0"/>
              <w:rPr>
                <w:sz w:val="20"/>
                <w:szCs w:val="20"/>
                <w:color w:val="auto"/>
              </w:rPr>
            </w:pPr>
            <w:r>
              <w:rPr>
                <w:rFonts w:ascii="Arial" w:cs="Arial" w:eastAsia="Arial" w:hAnsi="Arial"/>
                <w:sz w:val="16"/>
                <w:szCs w:val="16"/>
                <w:color w:val="auto"/>
              </w:rPr>
              <w:t>Logistics revenue</w:t>
            </w:r>
          </w:p>
        </w:tc>
        <w:tc>
          <w:tcPr>
            <w:tcW w:w="7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(38 )</w:t>
            </w:r>
          </w:p>
        </w:tc>
        <w:tc>
          <w:tcPr>
            <w:tcW w:w="30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w w:val="97"/>
              </w:rPr>
              <w:t>(51 )%</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(84 )</w:t>
            </w: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tcPr>
          <w:p>
            <w:pPr>
              <w:ind w:left="520"/>
              <w:spacing w:after="0"/>
              <w:rPr>
                <w:sz w:val="20"/>
                <w:szCs w:val="20"/>
                <w:color w:val="auto"/>
              </w:rPr>
            </w:pPr>
            <w:r>
              <w:rPr>
                <w:rFonts w:ascii="Arial" w:cs="Arial" w:eastAsia="Arial" w:hAnsi="Arial"/>
                <w:sz w:val="16"/>
                <w:szCs w:val="16"/>
                <w:color w:val="auto"/>
              </w:rPr>
              <w:t>Revenue</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97"/>
              </w:rPr>
              <w:t>125</w:t>
            </w:r>
          </w:p>
        </w:tc>
        <w:tc>
          <w:tcPr>
            <w:tcW w:w="2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(65 )</w:t>
            </w:r>
          </w:p>
        </w:tc>
        <w:tc>
          <w:tcPr>
            <w:tcW w:w="300" w:type="dxa"/>
            <w:vAlign w:val="bottom"/>
          </w:tcPr>
          <w:p>
            <w:pPr>
              <w:spacing w:after="0"/>
              <w:rPr>
                <w:sz w:val="18"/>
                <w:szCs w:val="18"/>
                <w:color w:val="auto"/>
              </w:rPr>
            </w:pPr>
          </w:p>
        </w:tc>
        <w:tc>
          <w:tcPr>
            <w:tcW w:w="860" w:type="dxa"/>
            <w:vAlign w:val="bottom"/>
            <w:gridSpan w:val="3"/>
          </w:tcPr>
          <w:p>
            <w:pPr>
              <w:ind w:left="280"/>
              <w:spacing w:after="0" w:line="210" w:lineRule="exact"/>
              <w:rPr>
                <w:sz w:val="20"/>
                <w:szCs w:val="20"/>
                <w:color w:val="auto"/>
              </w:rPr>
            </w:pPr>
            <w:r>
              <w:rPr>
                <w:rFonts w:ascii="Arial" w:cs="Arial" w:eastAsia="Arial" w:hAnsi="Arial"/>
                <w:sz w:val="13"/>
                <w:szCs w:val="13"/>
                <w:color w:val="auto"/>
              </w:rPr>
              <w:t xml:space="preserve">(52 )% </w:t>
            </w:r>
            <w:r>
              <w:rPr>
                <w:rFonts w:ascii="Arial" w:cs="Arial" w:eastAsia="Arial" w:hAnsi="Arial"/>
                <w:sz w:val="24"/>
                <w:szCs w:val="24"/>
                <w:color w:val="auto"/>
                <w:vertAlign w:val="superscript"/>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234</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448</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(214 )</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ind w:left="760" w:right="120" w:hanging="378"/>
        <w:spacing w:after="0" w:line="273"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Core marketplace revenue included a $3 million and $4 million net loss for the three months ended September 30, 2023 and 2022, and a $4 million net loss for both the nine months ended September 30, 2023 and 2022, from our cash flow hedging program.</w:t>
      </w:r>
    </w:p>
    <w:p>
      <w:pPr>
        <w:spacing w:after="0" w:line="112" w:lineRule="exact"/>
        <w:rPr>
          <w:sz w:val="20"/>
          <w:szCs w:val="20"/>
          <w:color w:val="auto"/>
        </w:rPr>
      </w:pPr>
    </w:p>
    <w:p>
      <w:pPr>
        <w:jc w:val="both"/>
        <w:ind w:right="100" w:firstLine="636"/>
        <w:spacing w:after="0" w:line="243" w:lineRule="auto"/>
        <w:rPr>
          <w:sz w:val="20"/>
          <w:szCs w:val="20"/>
          <w:color w:val="auto"/>
        </w:rPr>
      </w:pPr>
      <w:r>
        <w:rPr>
          <w:rFonts w:ascii="Arial" w:cs="Arial" w:eastAsia="Arial" w:hAnsi="Arial"/>
          <w:sz w:val="18"/>
          <w:szCs w:val="18"/>
          <w:color w:val="auto"/>
        </w:rPr>
        <w:t>Revenue decreased $65 million, or 52%, to $60 million for the three months ended September 30, 2023 as compared to $125 million for the three months ended September 30, 2022. Revenue decreased $214 million, or 48%, to $234 million for the nine months ended September 30, 2023 as compared to $448 million for the nine months ended September 30, 2022. The decreases were attributable to decreased marketplace and logistics revenue, as noted below.</w:t>
      </w:r>
    </w:p>
    <w:p>
      <w:pPr>
        <w:spacing w:after="0" w:line="134" w:lineRule="exact"/>
        <w:rPr>
          <w:sz w:val="20"/>
          <w:szCs w:val="20"/>
          <w:color w:val="auto"/>
        </w:rPr>
      </w:pPr>
    </w:p>
    <w:p>
      <w:pPr>
        <w:jc w:val="both"/>
        <w:ind w:right="100" w:firstLine="636"/>
        <w:spacing w:after="0" w:line="241" w:lineRule="auto"/>
        <w:rPr>
          <w:sz w:val="20"/>
          <w:szCs w:val="20"/>
          <w:color w:val="auto"/>
        </w:rPr>
      </w:pPr>
      <w:r>
        <w:rPr>
          <w:rFonts w:ascii="Arial" w:cs="Arial" w:eastAsia="Arial" w:hAnsi="Arial"/>
          <w:sz w:val="18"/>
          <w:szCs w:val="18"/>
          <w:color w:val="auto"/>
        </w:rPr>
        <w:t>Marketplace revenue for the three months ended September 30, 2023 decreased $27 million, or 53% compared to the same period in 2022, primarily driven by lower order volumes associated with reduced MAUs and LTM Active Buyers. Marketplace revenue for the nine months ended September 30, 2023 decreased $130 million, or 59% compared to the same period in 2022, primarily driven by lower order volumes associated with reduced MAUs and LTM Active Buyers and to a lesser extent, revisions to our pricing strategy, which resulted in lower marketplace revenue per order.</w:t>
      </w:r>
    </w:p>
    <w:p>
      <w:pPr>
        <w:spacing w:after="0" w:line="135" w:lineRule="exact"/>
        <w:rPr>
          <w:sz w:val="20"/>
          <w:szCs w:val="20"/>
          <w:color w:val="auto"/>
        </w:rPr>
      </w:pPr>
    </w:p>
    <w:p>
      <w:pPr>
        <w:jc w:val="both"/>
        <w:ind w:right="100" w:firstLine="636"/>
        <w:spacing w:after="0" w:line="260" w:lineRule="auto"/>
        <w:rPr>
          <w:sz w:val="20"/>
          <w:szCs w:val="20"/>
          <w:color w:val="auto"/>
        </w:rPr>
      </w:pPr>
      <w:r>
        <w:rPr>
          <w:rFonts w:ascii="Arial" w:cs="Arial" w:eastAsia="Arial" w:hAnsi="Arial"/>
          <w:sz w:val="18"/>
          <w:szCs w:val="18"/>
          <w:color w:val="auto"/>
        </w:rPr>
        <w:t>Logistics revenue for the three and nine months ended September 30, 2023 decreased $38 million, or 51%, and $84 million, or 37%, respectively, compared to the same periods in 2022. Like marketplace revenue, the decrease was primarily driven by lower order volumes.</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9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ind w:left="580"/>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3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in</w:t>
            </w:r>
          </w:p>
        </w:tc>
        <w:tc>
          <w:tcPr>
            <w:tcW w:w="2620" w:type="dxa"/>
            <w:vAlign w:val="bottom"/>
            <w:gridSpan w:val="8"/>
          </w:tcPr>
          <w:p>
            <w:pPr>
              <w:jc w:val="right"/>
              <w:ind w:right="259"/>
              <w:spacing w:after="0"/>
              <w:rPr>
                <w:sz w:val="20"/>
                <w:szCs w:val="20"/>
                <w:color w:val="auto"/>
              </w:rPr>
            </w:pPr>
            <w:r>
              <w:rPr>
                <w:rFonts w:ascii="Arial" w:cs="Arial" w:eastAsia="Arial" w:hAnsi="Arial"/>
                <w:sz w:val="16"/>
                <w:szCs w:val="16"/>
                <w:b w:val="1"/>
                <w:bCs w:val="1"/>
                <w:color w:val="auto"/>
              </w:rPr>
              <w:t>millions, except percentages)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ind w:left="400"/>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ind w:left="440"/>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(45 )</w:t>
            </w:r>
          </w:p>
        </w:tc>
        <w:tc>
          <w:tcPr>
            <w:tcW w:w="3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(49 )% $</w:t>
            </w:r>
          </w:p>
        </w:tc>
        <w:tc>
          <w:tcPr>
            <w:tcW w:w="60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308</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   (124 )</w:t>
            </w:r>
          </w:p>
        </w:tc>
        <w:tc>
          <w:tcPr>
            <w:tcW w:w="3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(40 )%</w:t>
            </w:r>
          </w:p>
        </w:tc>
      </w:tr>
      <w:tr>
        <w:trPr>
          <w:trHeight w:val="219"/>
        </w:trPr>
        <w:tc>
          <w:tcPr>
            <w:tcW w:w="318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140" w:type="dxa"/>
            <w:vAlign w:val="bottom"/>
          </w:tcPr>
          <w:p>
            <w:pPr>
              <w:spacing w:after="0"/>
              <w:rPr>
                <w:sz w:val="19"/>
                <w:szCs w:val="19"/>
                <w:color w:val="auto"/>
              </w:rPr>
            </w:pPr>
          </w:p>
        </w:tc>
        <w:tc>
          <w:tcPr>
            <w:tcW w:w="840" w:type="dxa"/>
            <w:vAlign w:val="bottom"/>
            <w:gridSpan w:val="2"/>
          </w:tcPr>
          <w:p>
            <w:pPr>
              <w:ind w:left="400"/>
              <w:spacing w:after="0"/>
              <w:rPr>
                <w:sz w:val="20"/>
                <w:szCs w:val="20"/>
                <w:color w:val="auto"/>
              </w:rPr>
            </w:pPr>
            <w:r>
              <w:rPr>
                <w:rFonts w:ascii="Arial" w:cs="Arial" w:eastAsia="Arial" w:hAnsi="Arial"/>
                <w:sz w:val="16"/>
                <w:szCs w:val="16"/>
                <w:color w:val="auto"/>
              </w:rPr>
              <w:t>77 %</w:t>
            </w:r>
          </w:p>
        </w:tc>
        <w:tc>
          <w:tcPr>
            <w:tcW w:w="16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73 %</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79 %</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69 %</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9"/>
        </w:trPr>
        <w:tc>
          <w:tcPr>
            <w:tcW w:w="3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23 %</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40"/>
              <w:spacing w:after="0"/>
              <w:rPr>
                <w:sz w:val="20"/>
                <w:szCs w:val="20"/>
                <w:color w:val="auto"/>
              </w:rPr>
            </w:pPr>
            <w:r>
              <w:rPr>
                <w:rFonts w:ascii="Arial" w:cs="Arial" w:eastAsia="Arial" w:hAnsi="Arial"/>
                <w:sz w:val="16"/>
                <w:szCs w:val="16"/>
                <w:color w:val="auto"/>
              </w:rPr>
              <w:t>27 %</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21 %</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3"/>
              </w:rPr>
              <w:t>31 %</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-410845</wp:posOffset>
            </wp:positionV>
            <wp:extent cx="698627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12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Cost of revenue for the three and nine months ended September 30, 2023 decreased $45 million, or 49%, and $124 million, or 40%, respectively, compared to the same periods in 2022. These decreases were primarily due to lower marketplace and logistics related costs as a result of lower order volumes.</w:t>
      </w:r>
    </w:p>
    <w:p>
      <w:pPr>
        <w:spacing w:after="0" w:line="13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Gross margin decreased to 23% and 21% for the three and nine months ended September 30, 2023, respectively, from 27% and 31% for the three and nine months ended September 30, 2022, respectively. These decreases were primarily driven by a greater percentage of overall revenue coming from lower margin logistics services and revisions to our pricing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1"/>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3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09"/>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in</w:t>
            </w:r>
          </w:p>
        </w:tc>
        <w:tc>
          <w:tcPr>
            <w:tcW w:w="3040" w:type="dxa"/>
            <w:vAlign w:val="bottom"/>
            <w:gridSpan w:val="9"/>
          </w:tcPr>
          <w:p>
            <w:pPr>
              <w:jc w:val="right"/>
              <w:ind w:right="760"/>
              <w:spacing w:after="0"/>
              <w:rPr>
                <w:sz w:val="20"/>
                <w:szCs w:val="20"/>
                <w:color w:val="auto"/>
              </w:rPr>
            </w:pPr>
            <w:r>
              <w:rPr>
                <w:rFonts w:ascii="Arial" w:cs="Arial" w:eastAsia="Arial" w:hAnsi="Arial"/>
                <w:sz w:val="16"/>
                <w:szCs w:val="16"/>
                <w:b w:val="1"/>
                <w:bCs w:val="1"/>
                <w:color w:val="auto"/>
              </w:rPr>
              <w:t>millions, except percentages)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ind w:left="400"/>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ind w:left="440"/>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(45 )</w:t>
            </w:r>
          </w:p>
        </w:tc>
        <w:tc>
          <w:tcPr>
            <w:tcW w:w="3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(56 )% $</w:t>
            </w:r>
          </w:p>
        </w:tc>
        <w:tc>
          <w:tcPr>
            <w:tcW w:w="600" w:type="dxa"/>
            <w:vAlign w:val="bottom"/>
          </w:tcPr>
          <w:p>
            <w:pPr>
              <w:jc w:val="right"/>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(70 )</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16"/>
        </w:trPr>
        <w:tc>
          <w:tcPr>
            <w:tcW w:w="318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14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6"/>
                <w:szCs w:val="16"/>
                <w:color w:val="auto"/>
              </w:rPr>
              <w:t>58 %</w:t>
            </w:r>
          </w:p>
        </w:tc>
        <w:tc>
          <w:tcPr>
            <w:tcW w:w="16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64 %</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47 %</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40 %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-269875</wp:posOffset>
            </wp:positionV>
            <wp:extent cx="698627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13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Sales and marketing expense decreased $45 million, or 56% to $35 million for the three months ended September 30, 2023, compared to $80 million for the three months ended September 30, 2022. The decrease was primarily due to a $42 million reduction in advertising expenditures, a $1 million reduction in customer support service as a result of lower order volumes, a $1 million reduction of employee-related costs due to lower headcount, and a $1 million reduction in other sales and marketing related expenditures.</w:t>
      </w:r>
    </w:p>
    <w:p>
      <w:pPr>
        <w:spacing w:after="0" w:line="134"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Sales and marketing expense decreased $70 million, or 39% to $111 million for the nine months ended September 30, 2023, compared to $181 million for the nine months ended September 30, 2022. The decrease was primarily due to a $ 57 million reduction in advertising expenditures, a $8 million reduction of employee-related costs due to lower headcount, and a $5 million reduction in customer support service and other costs as a result of lower order volumes.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1"/>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3"/>
          </w:tcPr>
          <w:p>
            <w:pPr>
              <w:ind w:left="120"/>
              <w:spacing w:after="0"/>
              <w:rPr>
                <w:sz w:val="20"/>
                <w:szCs w:val="20"/>
                <w:color w:val="auto"/>
              </w:rPr>
            </w:pPr>
            <w:r>
              <w:rPr>
                <w:rFonts w:ascii="Arial" w:cs="Arial" w:eastAsia="Arial" w:hAnsi="Arial"/>
                <w:sz w:val="16"/>
                <w:szCs w:val="16"/>
                <w:b w:val="1"/>
                <w:bCs w:val="1"/>
                <w:color w:val="auto"/>
              </w:rPr>
              <w:t>Change</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9"/>
        </w:trPr>
        <w:tc>
          <w:tcPr>
            <w:tcW w:w="3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10"/>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w w:val="84"/>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in</w:t>
            </w:r>
          </w:p>
        </w:tc>
        <w:tc>
          <w:tcPr>
            <w:tcW w:w="3040" w:type="dxa"/>
            <w:vAlign w:val="bottom"/>
            <w:gridSpan w:val="9"/>
          </w:tcPr>
          <w:p>
            <w:pPr>
              <w:jc w:val="right"/>
              <w:ind w:right="760"/>
              <w:spacing w:after="0"/>
              <w:rPr>
                <w:sz w:val="20"/>
                <w:szCs w:val="20"/>
                <w:color w:val="auto"/>
              </w:rPr>
            </w:pPr>
            <w:r>
              <w:rPr>
                <w:rFonts w:ascii="Arial" w:cs="Arial" w:eastAsia="Arial" w:hAnsi="Arial"/>
                <w:sz w:val="16"/>
                <w:szCs w:val="16"/>
                <w:b w:val="1"/>
                <w:bCs w:val="1"/>
                <w:color w:val="auto"/>
              </w:rPr>
              <w:t>millions, except percentages)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ind w:left="400"/>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(4 )</w:t>
            </w:r>
          </w:p>
        </w:tc>
        <w:tc>
          <w:tcPr>
            <w:tcW w:w="5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(10 )% $</w:t>
            </w:r>
          </w:p>
        </w:tc>
        <w:tc>
          <w:tcPr>
            <w:tcW w:w="600" w:type="dxa"/>
            <w:vAlign w:val="bottom"/>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154</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(27 )</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(18 )%</w:t>
            </w:r>
          </w:p>
        </w:tc>
      </w:tr>
      <w:tr>
        <w:trPr>
          <w:trHeight w:val="216"/>
        </w:trPr>
        <w:tc>
          <w:tcPr>
            <w:tcW w:w="318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14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6"/>
                <w:szCs w:val="16"/>
                <w:color w:val="auto"/>
              </w:rPr>
              <w:t>63 %</w:t>
            </w:r>
          </w:p>
        </w:tc>
        <w:tc>
          <w:tcPr>
            <w:tcW w:w="5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6"/>
                <w:szCs w:val="16"/>
                <w:color w:val="auto"/>
              </w:rPr>
              <w:t>34 %</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54 %</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34 %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-269875</wp:posOffset>
            </wp:positionV>
            <wp:extent cx="698627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13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Product development expense decreased $4 million, or 10% to $38 million for the three months ended September 30, 2023, compared to $42 million for the three months ended September 30, 2022. The decrease was primarily due to a $9 million reduction of employee-related costs including stock-based compensation due to lower headcount, offset by a $3 million increase in impairment of lease assets and property and equipment, and a $2 million increase in service costs from external consultants.</w:t>
      </w:r>
    </w:p>
    <w:p>
      <w:pPr>
        <w:spacing w:after="0" w:line="134"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Product development expense decreased $27 million, or 18% to $127 million for the nine months ended September 30, 2023, compared to $154 million for the nine months ended September 30, 2022. The decrease was primarily due to a $30 million reduction of employee-related costs including stock-based compensation due to lower headcount and a $9 million one-time discretionary bonus paid to select product development employees during the first quarter of 2022 to help cover their tax obligations triggered by the settlement of their RSUs that vested upon the Company’s IPO. These decreases were partially offset by an increase of $3 million in impairment of lease assets and property and equipment.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1"/>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9"/>
        </w:trPr>
        <w:tc>
          <w:tcPr>
            <w:tcW w:w="3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09"/>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in</w:t>
            </w:r>
          </w:p>
        </w:tc>
        <w:tc>
          <w:tcPr>
            <w:tcW w:w="2620" w:type="dxa"/>
            <w:vAlign w:val="bottom"/>
            <w:gridSpan w:val="7"/>
          </w:tcPr>
          <w:p>
            <w:pPr>
              <w:jc w:val="right"/>
              <w:ind w:right="259"/>
              <w:spacing w:after="0"/>
              <w:rPr>
                <w:sz w:val="20"/>
                <w:szCs w:val="20"/>
                <w:color w:val="auto"/>
              </w:rPr>
            </w:pPr>
            <w:r>
              <w:rPr>
                <w:rFonts w:ascii="Arial" w:cs="Arial" w:eastAsia="Arial" w:hAnsi="Arial"/>
                <w:sz w:val="16"/>
                <w:szCs w:val="16"/>
                <w:b w:val="1"/>
                <w:bCs w:val="1"/>
                <w:color w:val="auto"/>
              </w:rPr>
              <w:t>millions, except percentages)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ind w:left="400"/>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ind w:left="440"/>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(19 )</w:t>
            </w:r>
          </w:p>
        </w:tc>
        <w:tc>
          <w:tcPr>
            <w:tcW w:w="3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(48 )% $</w:t>
            </w:r>
          </w:p>
        </w:tc>
        <w:tc>
          <w:tcPr>
            <w:tcW w:w="600" w:type="dxa"/>
            <w:vAlign w:val="bottom"/>
          </w:tcPr>
          <w:p>
            <w:pPr>
              <w:ind w:left="400"/>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(18 )</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16"/>
        </w:trPr>
        <w:tc>
          <w:tcPr>
            <w:tcW w:w="318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14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6"/>
                <w:szCs w:val="16"/>
                <w:color w:val="auto"/>
              </w:rPr>
              <w:t>35 %</w:t>
            </w:r>
          </w:p>
        </w:tc>
        <w:tc>
          <w:tcPr>
            <w:tcW w:w="16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32 %</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6"/>
                <w:szCs w:val="16"/>
                <w:color w:val="auto"/>
              </w:rPr>
              <w:t>29 %</w:t>
            </w:r>
          </w:p>
        </w:tc>
        <w:tc>
          <w:tcPr>
            <w:tcW w:w="60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rPr>
              <w:t>19 %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-269875</wp:posOffset>
            </wp:positionV>
            <wp:extent cx="698627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135"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8"/>
          <w:szCs w:val="18"/>
          <w:color w:val="auto"/>
        </w:rPr>
        <w:t>General and administrative expense decreased $19 million, or 48% to $21 million for the three months ended September 30, 2023, compared to $40 million for the three months ended September 30, 2022. The decrease was primarily due to a $8 million reduction of employee-related costs, including stock-based compensation, due to lower headcount, a $ 5 million decrease in impairment of lease assets and property and equipment, a $3 million reduction in legal and insurance-related costs, and a $3 million reduction in other general and administrative related expenditures.</w:t>
      </w:r>
    </w:p>
    <w:p>
      <w:pPr>
        <w:spacing w:after="0" w:line="135"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General and administrative expense decreased $18 million, or 21% to $68 million for the nine months ended September 30, 2023, compared to $86 million for the nine months ended September 30, 2022. The decrease was primarily due to a $8 million reduction of employee-related cost, including stock-based compensation, due to lower headcount, $11 million decrease in impairment of lease assets and property and equipment, $ 11 million decrease in insurance and legal expenses, and a $2 million reduction in other general and administrative related expenditures. The decrease was offset by a $14 million increase in stock-based compensation mostly driven by a one-time reversal of $21 million of stock-based compensation during the first quarter of 2022 in connection with the resignation of Mr. Szulczewski from his former position as CEO offset in part by $2 million share-based compensation recognized in connection with accelerated vesting of the Company’s former CAO’s RSU’s in accordance with his separation agreement during the first quarter of 2023, and other stock-based compensation due to lower headcount.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3160" w:type="dxa"/>
            <w:vAlign w:val="bottom"/>
          </w:tcPr>
          <w:p>
            <w:pPr>
              <w:spacing w:after="0"/>
              <w:rPr>
                <w:sz w:val="19"/>
                <w:szCs w:val="19"/>
                <w:color w:val="auto"/>
              </w:rPr>
            </w:pPr>
          </w:p>
        </w:tc>
        <w:tc>
          <w:tcPr>
            <w:tcW w:w="1600" w:type="dxa"/>
            <w:vAlign w:val="bottom"/>
            <w:tcBorders>
              <w:bottom w:val="single" w:sz="8" w:color="auto"/>
            </w:tcBorders>
            <w:gridSpan w:val="4"/>
          </w:tcPr>
          <w:p>
            <w:pPr>
              <w:jc w:val="center"/>
              <w:ind w:left="9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3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ind w:left="60"/>
              <w:spacing w:after="0"/>
              <w:rPr>
                <w:sz w:val="20"/>
                <w:szCs w:val="20"/>
                <w:color w:val="auto"/>
              </w:rPr>
            </w:pPr>
            <w:r>
              <w:rPr>
                <w:rFonts w:ascii="Arial" w:cs="Arial" w:eastAsia="Arial" w:hAnsi="Arial"/>
                <w:sz w:val="16"/>
                <w:szCs w:val="16"/>
                <w:b w:val="1"/>
                <w:bCs w:val="1"/>
                <w:color w:val="auto"/>
                <w:w w:val="98"/>
              </w:rPr>
              <w:t>in</w:t>
            </w:r>
          </w:p>
        </w:tc>
        <w:tc>
          <w:tcPr>
            <w:tcW w:w="2600" w:type="dxa"/>
            <w:vAlign w:val="bottom"/>
            <w:gridSpan w:val="7"/>
          </w:tcPr>
          <w:p>
            <w:pPr>
              <w:jc w:val="right"/>
              <w:ind w:right="219"/>
              <w:spacing w:after="0"/>
              <w:rPr>
                <w:sz w:val="20"/>
                <w:szCs w:val="20"/>
                <w:color w:val="auto"/>
              </w:rPr>
            </w:pPr>
            <w:r>
              <w:rPr>
                <w:rFonts w:ascii="Arial" w:cs="Arial" w:eastAsia="Arial" w:hAnsi="Arial"/>
                <w:sz w:val="16"/>
                <w:szCs w:val="16"/>
                <w:b w:val="1"/>
                <w:bCs w:val="1"/>
                <w:color w:val="auto"/>
              </w:rPr>
              <w:t>millions, except percentages)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160" w:type="dxa"/>
            <w:vAlign w:val="bottom"/>
          </w:tcPr>
          <w:p>
            <w:pPr>
              <w:jc w:val="center"/>
              <w:ind w:right="899"/>
              <w:spacing w:after="0"/>
              <w:rPr>
                <w:sz w:val="20"/>
                <w:szCs w:val="20"/>
                <w:color w:val="auto"/>
              </w:rPr>
            </w:pPr>
            <w:r>
              <w:rPr>
                <w:rFonts w:ascii="Arial" w:cs="Arial" w:eastAsia="Arial" w:hAnsi="Arial"/>
                <w:sz w:val="16"/>
                <w:szCs w:val="16"/>
                <w:color w:val="auto"/>
              </w:rPr>
              <w:t>Interest and other income, net</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80" w:type="dxa"/>
            <w:vAlign w:val="bottom"/>
          </w:tcPr>
          <w:p>
            <w:pPr>
              <w:ind w:left="6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440" w:type="dxa"/>
            <w:vAlign w:val="bottom"/>
          </w:tcPr>
          <w:p>
            <w:pPr>
              <w:jc w:val="right"/>
              <w:ind w:right="282"/>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79"/>
              <w:spacing w:after="0"/>
              <w:rPr>
                <w:sz w:val="20"/>
                <w:szCs w:val="20"/>
                <w:color w:val="auto"/>
              </w:rPr>
            </w:pPr>
            <w:r>
              <w:rPr>
                <w:rFonts w:ascii="Arial" w:cs="Arial" w:eastAsia="Arial" w:hAnsi="Arial"/>
                <w:sz w:val="16"/>
                <w:szCs w:val="16"/>
                <w:color w:val="auto"/>
              </w:rPr>
              <w:t>(3 )</w:t>
            </w:r>
          </w:p>
        </w:tc>
        <w:tc>
          <w:tcPr>
            <w:tcW w:w="5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w w:val="99"/>
              </w:rPr>
              <w:t>(50 )% $</w:t>
            </w: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10</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30 %</w:t>
            </w:r>
          </w:p>
        </w:tc>
      </w:tr>
      <w:tr>
        <w:trPr>
          <w:trHeight w:val="216"/>
        </w:trPr>
        <w:tc>
          <w:tcPr>
            <w:tcW w:w="3160" w:type="dxa"/>
            <w:vAlign w:val="bottom"/>
          </w:tcPr>
          <w:p>
            <w:pPr>
              <w:jc w:val="center"/>
              <w:ind w:right="919"/>
              <w:spacing w:after="0"/>
              <w:rPr>
                <w:sz w:val="20"/>
                <w:szCs w:val="20"/>
                <w:color w:val="auto"/>
              </w:rPr>
            </w:pPr>
            <w:r>
              <w:rPr>
                <w:rFonts w:ascii="Arial" w:cs="Arial" w:eastAsia="Arial" w:hAnsi="Arial"/>
                <w:sz w:val="16"/>
                <w:szCs w:val="16"/>
                <w:color w:val="auto"/>
              </w:rPr>
              <w:t>Percentage of revenue</w:t>
            </w:r>
          </w:p>
        </w:tc>
        <w:tc>
          <w:tcPr>
            <w:tcW w:w="58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5 %</w:t>
            </w:r>
          </w:p>
        </w:tc>
        <w:tc>
          <w:tcPr>
            <w:tcW w:w="62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5 %</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6 %</w:t>
            </w:r>
          </w:p>
        </w:tc>
        <w:tc>
          <w:tcPr>
            <w:tcW w:w="6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2 %</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-269875</wp:posOffset>
            </wp:positionV>
            <wp:extent cx="698627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135"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8"/>
          <w:szCs w:val="18"/>
          <w:color w:val="auto"/>
        </w:rPr>
        <w:t>Interest and other income, net decreased $3 million, or 50%, to $3 million for the three months ended September 30, 2023 as compared to $6 million for the three months ended September 30, 2022. The net decrease was attributable to a decrease in foreign exchange net losses of $3 million.</w:t>
      </w:r>
    </w:p>
    <w:p>
      <w:pPr>
        <w:spacing w:after="0" w:line="130"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8"/>
          <w:szCs w:val="18"/>
          <w:color w:val="auto"/>
        </w:rPr>
        <w:t>Interest and other income, net increased $3 million, or 30%, to $13 million for the nine months ended September 30, 2023 as compared to $10 million for the nine months ended September 30, 2022. The increase was attributable to an increase in interest income due to higher interest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00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3160" w:type="dxa"/>
            <w:vAlign w:val="bottom"/>
          </w:tcPr>
          <w:p>
            <w:pPr>
              <w:spacing w:after="0"/>
              <w:rPr>
                <w:sz w:val="19"/>
                <w:szCs w:val="19"/>
                <w:color w:val="auto"/>
              </w:rPr>
            </w:pPr>
          </w:p>
        </w:tc>
        <w:tc>
          <w:tcPr>
            <w:tcW w:w="1620" w:type="dxa"/>
            <w:vAlign w:val="bottom"/>
            <w:tcBorders>
              <w:bottom w:val="single" w:sz="8" w:color="auto"/>
            </w:tcBorders>
            <w:gridSpan w:val="4"/>
          </w:tcPr>
          <w:p>
            <w:pPr>
              <w:jc w:val="center"/>
              <w:ind w:left="7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Change</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3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in</w:t>
            </w:r>
          </w:p>
        </w:tc>
        <w:tc>
          <w:tcPr>
            <w:tcW w:w="2620" w:type="dxa"/>
            <w:vAlign w:val="bottom"/>
            <w:gridSpan w:val="7"/>
          </w:tcPr>
          <w:p>
            <w:pPr>
              <w:jc w:val="right"/>
              <w:ind w:right="259"/>
              <w:spacing w:after="0"/>
              <w:rPr>
                <w:sz w:val="20"/>
                <w:szCs w:val="20"/>
                <w:color w:val="auto"/>
              </w:rPr>
            </w:pPr>
            <w:r>
              <w:rPr>
                <w:rFonts w:ascii="Arial" w:cs="Arial" w:eastAsia="Arial" w:hAnsi="Arial"/>
                <w:sz w:val="16"/>
                <w:szCs w:val="16"/>
                <w:b w:val="1"/>
                <w:bCs w:val="1"/>
                <w:color w:val="auto"/>
              </w:rPr>
              <w:t>millions, except percentages)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80" w:type="dxa"/>
            <w:vAlign w:val="bottom"/>
          </w:tcPr>
          <w:p>
            <w:pPr>
              <w:ind w:left="6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40" w:type="dxa"/>
            <w:vAlign w:val="bottom"/>
          </w:tcPr>
          <w:p>
            <w:pPr>
              <w:ind w:left="12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3"/>
          </w:tcPr>
          <w:p>
            <w:pPr>
              <w:jc w:val="right"/>
              <w:ind w:right="379"/>
              <w:spacing w:after="0"/>
              <w:rPr>
                <w:sz w:val="20"/>
                <w:szCs w:val="20"/>
                <w:color w:val="auto"/>
              </w:rPr>
            </w:pPr>
            <w:r>
              <w:rPr>
                <w:rFonts w:ascii="Arial" w:cs="Arial" w:eastAsia="Arial" w:hAnsi="Arial"/>
                <w:sz w:val="16"/>
                <w:szCs w:val="16"/>
                <w:color w:val="auto"/>
              </w:rPr>
              <w:t>50 % $</w:t>
            </w:r>
          </w:p>
        </w:tc>
        <w:tc>
          <w:tcPr>
            <w:tcW w:w="160" w:type="dxa"/>
            <w:vAlign w:val="bottom"/>
          </w:tcPr>
          <w:p>
            <w:pPr>
              <w:ind w:left="4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3</w:t>
            </w:r>
          </w:p>
        </w:tc>
        <w:tc>
          <w:tcPr>
            <w:tcW w:w="2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16"/>
        </w:trPr>
        <w:tc>
          <w:tcPr>
            <w:tcW w:w="316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58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5 %</w:t>
            </w:r>
          </w:p>
        </w:tc>
        <w:tc>
          <w:tcPr>
            <w:tcW w:w="64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6"/>
                <w:szCs w:val="16"/>
                <w:color w:val="auto"/>
              </w:rPr>
              <w:t>2 %</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3 %</w:t>
            </w:r>
          </w:p>
        </w:tc>
        <w:tc>
          <w:tcPr>
            <w:tcW w:w="64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6"/>
                <w:szCs w:val="16"/>
                <w:color w:val="auto"/>
              </w:rPr>
              <w:t>1 %</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-269875</wp:posOffset>
            </wp:positionV>
            <wp:extent cx="698627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13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Provision for income taxes for the three and nine months ended September 30, 2023 increased by $1 million, or 50%, to $3 million, and $3 million, or 100%, to $6 million, respectively, compared to the same periods for 2022. The increases in the provision for income taxes were primarily related to an increase in unrecognized tax benefits during the three and nine months ended September 30,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8"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As of September 30, 2023, we had cash, cash equivalents and marketable securities of $445 million,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We have been accumulating net losses, and thus may require additional financing or capital resources in the future.</w:t>
      </w:r>
    </w:p>
    <w:p>
      <w:pPr>
        <w:spacing w:after="0" w:line="134"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Our material cash requirements outside our normal operating costs include $112 million in accounts and merchants payable, $51 million remaining on a colocation and cloud services purchase commitment, and $15 million of facility lease obligations, of which $8 million is due within the next 12 months.</w:t>
      </w:r>
    </w:p>
    <w:p>
      <w:pPr>
        <w:spacing w:after="0" w:line="130"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While we maintain our cash and short-term investments with a diverse group of large national financial institutions , there can be no assurance that any of our other deposits in excess of the Federal Deposit Insurance Corporation or other comparable insurance limits will be backstopped by the U.S. or that any bank or financial institution with which we do business will be able to obtain needed liquidity from other banks, government institutions or by acquisition in the event of a failure or liquidity crisis.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8"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8"/>
          <w:szCs w:val="18"/>
          <w:color w:val="auto"/>
        </w:rPr>
        <w:t>In December 2020, we completed our IPO of common stock and received net proceeds of approximately $1.1 billion after deducting underwriting discounts and commissions of approximately $52 million, but before deducting offering costs, net of reimbursements, of approximately $6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6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On April 20, 2023, we announced that our board of directors authorized us to repurchase up to $50 million of the Company’s common stock, effective through December 31, 2023. Under this Program, we may repurchase our common stock through open market transactions, in privately negotiated transactions, or by other means, including through the use of trading plans, each in accordance with applicable securities laws and other restrictions. The manner, timing, and amount of any purchase will be based on an assessment of business, economic and market conditions, corporate and regulatory requirements, prevailing stock prices, and other considerations. The repurchase program may be suspended, terminated, or modified at any time for any reason.</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share repurchases through September 30,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2020 Credit Facility</w:t>
      </w:r>
    </w:p>
    <w:p>
      <w:pPr>
        <w:spacing w:after="0" w:line="168"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The Revolving Credit Facility is available through November 2025.</w:t>
      </w:r>
    </w:p>
    <w:p>
      <w:pPr>
        <w:spacing w:after="0" w:line="134"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As of September 30, 2023, we had not made any borrowings under the Revolving Credit Facility. Refer to Note 7 to our condensed consolidated financial statements in Item 1 of Part I, “Financial Information” for additional details related to the Revolving Credit Facility.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8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Nine Months Ended 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080" w:type="dxa"/>
            <w:vAlign w:val="bottom"/>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(in</w:t>
            </w:r>
          </w:p>
        </w:tc>
        <w:tc>
          <w:tcPr>
            <w:tcW w:w="1640" w:type="dxa"/>
            <w:vAlign w:val="bottom"/>
            <w:gridSpan w:val="2"/>
          </w:tcPr>
          <w:p>
            <w:pPr>
              <w:jc w:val="right"/>
              <w:ind w:right="979"/>
              <w:spacing w:after="0"/>
              <w:rPr>
                <w:sz w:val="20"/>
                <w:szCs w:val="20"/>
                <w:color w:val="auto"/>
              </w:rPr>
            </w:pPr>
            <w:r>
              <w:rPr>
                <w:rFonts w:ascii="Arial" w:cs="Arial" w:eastAsia="Arial" w:hAnsi="Arial"/>
                <w:sz w:val="16"/>
                <w:szCs w:val="16"/>
                <w:b w:val="1"/>
                <w:bCs w:val="1"/>
                <w:color w:val="auto"/>
                <w:w w:val="85"/>
              </w:rPr>
              <w:t>millions)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(used in):</w:t>
            </w:r>
          </w:p>
        </w:tc>
        <w:tc>
          <w:tcPr>
            <w:tcW w:w="1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080" w:type="dxa"/>
            <w:vAlign w:val="bottom"/>
          </w:tcPr>
          <w:p>
            <w:pPr>
              <w:ind w:left="280"/>
              <w:spacing w:after="0"/>
              <w:rPr>
                <w:sz w:val="20"/>
                <w:szCs w:val="20"/>
                <w:color w:val="auto"/>
              </w:rPr>
            </w:pPr>
            <w:r>
              <w:rPr>
                <w:rFonts w:ascii="Arial" w:cs="Arial" w:eastAsia="Arial" w:hAnsi="Arial"/>
                <w:sz w:val="16"/>
                <w:szCs w:val="16"/>
                <w:color w:val="auto"/>
              </w:rPr>
              <w:t>Operating activities</w:t>
            </w:r>
          </w:p>
        </w:tc>
        <w:tc>
          <w:tcPr>
            <w:tcW w:w="1340" w:type="dxa"/>
            <w:vAlign w:val="bottom"/>
          </w:tcPr>
          <w:p>
            <w:pPr>
              <w:jc w:val="right"/>
              <w:ind w:right="1159"/>
              <w:spacing w:after="0"/>
              <w:rPr>
                <w:sz w:val="20"/>
                <w:szCs w:val="20"/>
                <w:color w:val="auto"/>
              </w:rPr>
            </w:pPr>
            <w:r>
              <w:rPr>
                <w:rFonts w:ascii="Arial" w:cs="Arial" w:eastAsia="Arial" w:hAnsi="Arial"/>
                <w:sz w:val="16"/>
                <w:szCs w:val="16"/>
                <w:color w:val="auto"/>
                <w:w w:val="89"/>
              </w:rPr>
              <w:t>$</w:t>
            </w:r>
          </w:p>
        </w:tc>
        <w:tc>
          <w:tcPr>
            <w:tcW w:w="2200" w:type="dxa"/>
            <w:vAlign w:val="bottom"/>
            <w:gridSpan w:val="3"/>
          </w:tcPr>
          <w:p>
            <w:pPr>
              <w:jc w:val="right"/>
              <w:ind w:right="1199"/>
              <w:spacing w:after="0"/>
              <w:rPr>
                <w:sz w:val="20"/>
                <w:szCs w:val="20"/>
                <w:color w:val="auto"/>
              </w:rPr>
            </w:pPr>
            <w:r>
              <w:rPr>
                <w:rFonts w:ascii="Arial" w:cs="Arial" w:eastAsia="Arial" w:hAnsi="Arial"/>
                <w:sz w:val="16"/>
                <w:szCs w:val="16"/>
                <w:color w:val="auto"/>
              </w:rPr>
              <w:t>(266 )   $</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(313 )</w:t>
            </w:r>
          </w:p>
        </w:tc>
      </w:tr>
      <w:tr>
        <w:trPr>
          <w:trHeight w:val="219"/>
        </w:trPr>
        <w:tc>
          <w:tcPr>
            <w:tcW w:w="70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Investing activities</w:t>
            </w:r>
          </w:p>
        </w:tc>
        <w:tc>
          <w:tcPr>
            <w:tcW w:w="13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(85 )</w:t>
            </w:r>
          </w:p>
        </w:tc>
      </w:tr>
      <w:tr>
        <w:trPr>
          <w:trHeight w:val="210"/>
        </w:trPr>
        <w:tc>
          <w:tcPr>
            <w:tcW w:w="7080" w:type="dxa"/>
            <w:vAlign w:val="bottom"/>
          </w:tcPr>
          <w:p>
            <w:pPr>
              <w:ind w:left="280"/>
              <w:spacing w:after="0"/>
              <w:rPr>
                <w:sz w:val="20"/>
                <w:szCs w:val="20"/>
                <w:color w:val="auto"/>
              </w:rPr>
            </w:pPr>
            <w:r>
              <w:rPr>
                <w:rFonts w:ascii="Arial" w:cs="Arial" w:eastAsia="Arial" w:hAnsi="Arial"/>
                <w:sz w:val="16"/>
                <w:szCs w:val="16"/>
                <w:color w:val="auto"/>
              </w:rPr>
              <w:t>Financing activities</w:t>
            </w:r>
          </w:p>
        </w:tc>
        <w:tc>
          <w:tcPr>
            <w:tcW w:w="1340" w:type="dxa"/>
            <w:vAlign w:val="bottom"/>
          </w:tcPr>
          <w:p>
            <w:pPr>
              <w:spacing w:after="0"/>
              <w:rPr>
                <w:sz w:val="18"/>
                <w:szCs w:val="18"/>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(5 )</w:t>
            </w:r>
          </w:p>
        </w:tc>
        <w:tc>
          <w:tcPr>
            <w:tcW w:w="14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68"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Net cash used in our operating activities for the nine months ended September 30, 2023 was $266 million. This was driven by our net loss of $249 million and $73 million unfavorable changes in our operating assets and liabilities, which was partially offset by non-cash expenses of $56 million. Unfavorable working capital movement was mainly driven by reductions in accounts payable, merchants payable and accrued and refund liabilities. Accounts payable, merchants payable,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accrued and refund liabilities decreased by $92 million primarily due to lower order volumes and reduced digital advertising expenditures.</w:t>
      </w:r>
    </w:p>
    <w:p>
      <w:pPr>
        <w:spacing w:after="0" w:line="15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Net cash used in our operating activities for the nine months ended September 30, 2022 was $313 million. This was primarily driven by our net loss of $274 million and $113 million of unfavorable changes in our operating assets and liabilities, which was partially offset by non-cash expenses of $74 million, mainly consisting of $53 million in stock-based compensation expense and $11 million in non-cash impairment charges. Unfavorable working capital movement was mainly driven by reductions in accounts payable, merchants payable and accrued and refund liabilities. Accounts payable, merchants payable, and accrued and refund liabilities decreased by $110 million primarily due to lower order volumes and reduced digital advertising expenditures.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primary investing activities have consisted of investing excess cash balances in marketable securities.</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Net cash provided by investing activities was $75 million for the nine months ended September 30, 2023. This was primarily due to $317 million of maturities in marketable securities, partially offset by $239 million in purchases of marketable securities and $3 million in capital expenditures.</w:t>
      </w:r>
    </w:p>
    <w:p>
      <w:pPr>
        <w:spacing w:after="0" w:line="13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Net cash used in investing activities was $85 million for the nine months ended September 30, 2022. This was primarily due to $303 million in purchases of marketable securities and $2 million in capital expenditures, partially offset by $218 million of maturities in marketable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87"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Net cash used in our financing activities was $5 million for the nine months ended September 30, 2023, primarily due to tax payments related to employee RSU settlement.</w:t>
      </w:r>
    </w:p>
    <w:p>
      <w:pPr>
        <w:spacing w:after="0" w:line="3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Net cash used in our financing activities was $9 million for the nine months ended September 30, 2022. This was primarily due to $10 million in payments of taxes related to employee RSU settlements, offset by $1 million in proceeds from common stock purchased under the Company's ESPP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6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For the three and nine months ended September 30, 2023 and 2022,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8" w:lineRule="exact"/>
        <w:rPr>
          <w:sz w:val="20"/>
          <w:szCs w:val="20"/>
          <w:color w:val="auto"/>
        </w:rPr>
      </w:pPr>
    </w:p>
    <w:p>
      <w:pPr>
        <w:jc w:val="both"/>
        <w:ind w:right="20" w:firstLine="644"/>
        <w:spacing w:after="0" w:line="260"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our 2022 Form 10-K, filed with the SEC on February 27, 2023.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Part I, Item 1 of this Quarterly Report on Form 10-Q for a full description of recent accounting pronouncements.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68"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Cash, cash equivalents and marketable securities as of September 30, 2023 were held primarily in cash deposits, treasuries, and, to a lesser extent, corporate bonds and commercial paper. The fair value of our cash, cash equivalents, and investments would not be materially affected by either an increase or decrease in interest rates of 100 basis points due mainly to the short-term nature of these instruments and that the Company’s policy is to hold investments to maturity except in cases of non-compliance with our investment policy.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8"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We transact business in various foreign countries and are, therefore, subject to risk of foreign currency exchange rate fluctuations. We have established a foreign currency risk management policy to provide processes and procedures for managing this risk. We use natural hedging techniques first to net off existing foreign currency exposures. For the remaining exposure, we may enter into short term foreign currency derivative contracts, including forward contracts to hedge exposures associated with monetary assets and liabilities, mainly merchants payable, and cash flows denominated in non-functional currencies.</w:t>
      </w:r>
    </w:p>
    <w:p>
      <w:pPr>
        <w:spacing w:after="0" w:line="13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credit risk of our foreign exchange derivative contracts is minimized since contracts are not concentrated with any one financial institution and all contracts are only placed with large financial institutions. The gains and losses on foreign currency derivative contracts generally offset the losses and gains on the assets, liabilities and transactions hedged. The fair value of foreign exchange derivative contracts is reported in the consolidated balance sheets. The majority of these foreign exchange contracts expire in less than three months and all expire within one year. Refer to Note 5 to our condensed consolidated financial statements in Item 1 of Part I, “Financial Statements” for more information related to our derivative financial instruments.</w:t>
      </w:r>
    </w:p>
    <w:p>
      <w:pPr>
        <w:spacing w:after="0" w:line="140"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Based on our overall currency rate exposures as of September 30, 2023,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 results of operations and cash flows in the near-term.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68"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8"/>
          <w:szCs w:val="18"/>
          <w:color w:val="auto"/>
        </w:rPr>
        <w:t>As of the date of filing of this Quarterly Report, we do not believe that inflation has had a material effect on our business, financial condition, or results of operations. If our costs were to become subject to significant inflationary pressures, we may not be able to fully offset such higher costs through increases in revenue as increases in core inflation rates may also affect consumers’ willingness to make discretionary purchases on our platforms. Our inability or failure to do so could harm the Company’s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8"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p>
    <w:p>
      <w:pPr>
        <w:spacing w:after="0" w:line="13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Chief Executive Officer (“CEO”) and Chief Financial Officer (“CFO”), with assistance from other members of management, have evaluated the effectiveness of our disclosure controls and procedures as of September 30, 2023, and based on their evaluation, have concluded that our disclosure controls and procedures were not effective as of such date due to material weaknesses in internal control over financial reporting,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Previously Reported Material Weaknesses in Internal Control over Financial Reporting</w:t>
      </w:r>
    </w:p>
    <w:p>
      <w:pPr>
        <w:spacing w:after="0" w:line="168" w:lineRule="exact"/>
        <w:rPr>
          <w:sz w:val="20"/>
          <w:szCs w:val="20"/>
          <w:color w:val="auto"/>
        </w:rPr>
      </w:pPr>
    </w:p>
    <w:p>
      <w:pPr>
        <w:jc w:val="both"/>
        <w:ind w:firstLine="671"/>
        <w:spacing w:after="0" w:line="260" w:lineRule="auto"/>
        <w:rPr>
          <w:sz w:val="20"/>
          <w:szCs w:val="20"/>
          <w:color w:val="auto"/>
        </w:rPr>
      </w:pPr>
      <w:r>
        <w:rPr>
          <w:rFonts w:ascii="Arial" w:cs="Arial" w:eastAsia="Arial" w:hAnsi="Arial"/>
          <w:sz w:val="18"/>
          <w:szCs w:val="18"/>
          <w:color w:val="auto"/>
        </w:rPr>
        <w:t>As disclosed in Item 9A, “Controls and Procedures” within our 2022 Form 10-K, which was filed with the SEC on February 27, 2023 the following material weaknesses were identified and remain outstanding as of September 30, 2023:</w:t>
      </w:r>
    </w:p>
    <w:p>
      <w:pPr>
        <w:spacing w:after="0" w:line="65" w:lineRule="exact"/>
        <w:rPr>
          <w:sz w:val="20"/>
          <w:szCs w:val="20"/>
          <w:color w:val="auto"/>
        </w:rPr>
      </w:pPr>
    </w:p>
    <w:p>
      <w:pPr>
        <w:jc w:val="both"/>
        <w:ind w:left="1020" w:hanging="503"/>
        <w:spacing w:after="0" w:line="24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did not design and maintain an effective control environment commensurate with its financial reporting requirements. Specifically, the Company did not (i) provide sufficient management oversight and ownership over the internal control evaluation process or (ii) hire and train sufficient competent personnel to support the Company’s internal control objectives. This material weakness contributed to the following additional material weakness:</w:t>
      </w:r>
    </w:p>
    <w:p>
      <w:pPr>
        <w:spacing w:after="0" w:line="79"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w:t>
      </w:r>
    </w:p>
    <w:p>
      <w:pPr>
        <w:spacing w:after="0" w:line="140" w:lineRule="exact"/>
        <w:rPr>
          <w:sz w:val="20"/>
          <w:szCs w:val="20"/>
          <w:color w:val="auto"/>
        </w:rPr>
      </w:pPr>
    </w:p>
    <w:p>
      <w:pPr>
        <w:jc w:val="both"/>
        <w:ind w:firstLine="599"/>
        <w:spacing w:after="0" w:line="243" w:lineRule="auto"/>
        <w:rPr>
          <w:sz w:val="20"/>
          <w:szCs w:val="20"/>
          <w:color w:val="auto"/>
        </w:rPr>
      </w:pPr>
      <w:r>
        <w:rPr>
          <w:rFonts w:ascii="Arial" w:cs="Arial" w:eastAsia="Arial" w:hAnsi="Arial"/>
          <w:sz w:val="18"/>
          <w:szCs w:val="18"/>
          <w:color w:val="auto"/>
        </w:rPr>
        <w:t>None of the material weaknesses described above resulted in a material misstatement to our annual or interim consolidated financial statements. However, the material weaknesses described above could result in a misstatement of one or more account balances or disclosures that would result in a material misstatement to the annual or interim consolidated financial statements that would not be prevented or detected.</w:t>
      </w:r>
    </w:p>
    <w:p>
      <w:pPr>
        <w:spacing w:after="0" w:line="134" w:lineRule="exact"/>
        <w:rPr>
          <w:sz w:val="20"/>
          <w:szCs w:val="20"/>
          <w:color w:val="auto"/>
        </w:rPr>
      </w:pPr>
    </w:p>
    <w:p>
      <w:pPr>
        <w:jc w:val="both"/>
        <w:ind w:firstLine="599"/>
        <w:spacing w:after="0" w:line="243" w:lineRule="auto"/>
        <w:rPr>
          <w:sz w:val="20"/>
          <w:szCs w:val="20"/>
          <w:color w:val="auto"/>
        </w:rPr>
      </w:pPr>
      <w:r>
        <w:rPr>
          <w:rFonts w:ascii="Arial" w:cs="Arial" w:eastAsia="Arial" w:hAnsi="Arial"/>
          <w:sz w:val="18"/>
          <w:szCs w:val="18"/>
          <w:color w:val="auto"/>
        </w:rPr>
        <w:t>After giving full consideration to these material weaknesses, and the additional analyses and other procedures we performed to ensure that our condensed consolidated financial statements included in this Quarterly Report on Form 10-Q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Management’s Plan to Remediate the Material Weaknesses</w:t>
      </w:r>
    </w:p>
    <w:p>
      <w:pPr>
        <w:spacing w:after="0" w:line="16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Our remediation efforts are ongoing and we will continue our initiatives to implement measures designed to ensure that control deficiencies contributing to the material weaknesses are remediated, such that these controls are designed, implemented, and operating effectively.</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remediation measures we have taken to date include:</w:t>
      </w:r>
    </w:p>
    <w:p>
      <w:pPr>
        <w:spacing w:after="0" w:line="104" w:lineRule="exact"/>
        <w:rPr>
          <w:sz w:val="20"/>
          <w:szCs w:val="20"/>
          <w:color w:val="auto"/>
        </w:rPr>
      </w:pPr>
    </w:p>
    <w:p>
      <w:pPr>
        <w:jc w:val="both"/>
        <w:ind w:left="1020" w:hanging="503"/>
        <w:spacing w:after="0" w:line="24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hiring and continuing to hire additional qualified accounting, financial reporting, tax and information technology personnel as well as increasing third-party consultants with public company and internal control over financial reporting experience including a new Chief Executive Officer with a deep understanding of ecommerce and cross border business, a technical project manager to assist with communicating, documenting, and assisting with the remediation of deficiencies, and additional resources to test internal controls;</w:t>
      </w:r>
    </w:p>
    <w:p>
      <w:pPr>
        <w:spacing w:after="0" w:line="81" w:lineRule="exact"/>
        <w:rPr>
          <w:rFonts w:ascii="Arial" w:cs="Arial" w:eastAsia="Arial" w:hAnsi="Arial"/>
          <w:sz w:val="18"/>
          <w:szCs w:val="18"/>
          <w:color w:val="auto"/>
        </w:rPr>
      </w:pPr>
    </w:p>
    <w:p>
      <w:pPr>
        <w:ind w:left="1020" w:right="20" w:hanging="503"/>
        <w:spacing w:after="0" w:line="26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additional training for our personnel including the appropriate level of documentation to be maintained to support internal control over financial reporting;</w:t>
      </w:r>
    </w:p>
    <w:p>
      <w:pPr>
        <w:spacing w:after="0" w:line="64"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holding periodic SOX Steering Committee meetings which are comprised of all the top Executives of the Company and whose purpose is to provide oversight of the Company’s SOX program on behalf of the CEO, CFO and management responsible for SOX Compliance, including monitoring progress of the identified deficiencies and their remediation efforts;</w:t>
      </w:r>
    </w:p>
    <w:p>
      <w:pPr>
        <w:spacing w:after="0" w:line="76" w:lineRule="exact"/>
        <w:rPr>
          <w:rFonts w:ascii="Arial" w:cs="Arial" w:eastAsia="Arial" w:hAnsi="Arial"/>
          <w:sz w:val="18"/>
          <w:szCs w:val="18"/>
          <w:color w:val="auto"/>
        </w:rPr>
      </w:pPr>
    </w:p>
    <w:p>
      <w:pPr>
        <w:ind w:left="1020" w:right="20" w:hanging="503"/>
        <w:spacing w:after="0" w:line="26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designing and implementing controls to formalize roles and review responsibilities to align with the staff’s skills and experience and to ensure proper internal control over financial reporting;</w:t>
      </w:r>
    </w:p>
    <w:p>
      <w:pPr>
        <w:spacing w:after="0" w:line="6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to enhance processes to monitor critical batch and interface jobs;</w:t>
      </w:r>
    </w:p>
    <w:p>
      <w:pPr>
        <w:spacing w:after="0" w:line="103"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holding periodic meetings with the Audit Committee to communicate deficiencies, discuss the overall remediation plan, and discuss progress made against the approved plan;</w:t>
      </w:r>
    </w:p>
    <w:p>
      <w:pPr>
        <w:spacing w:after="0" w:line="64"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performed a comprehensive reassessment of financial reporting risks relevant to our consolidated financial statements, including identification of financially relevant systems and business processes at the financial statement assertion level, to facilitate the design and implementation or enhancement of existing controls to address the identified risks;</w:t>
      </w:r>
    </w:p>
    <w:p>
      <w:pPr>
        <w:spacing w:after="0" w:line="76"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enhanced the oversight and review of non-recurring transactions to include consistent communication between functional areas, support consistent documentation of conclusions reached, and retention of evidence supporting the operation of control activities;</w:t>
      </w:r>
    </w:p>
    <w:p>
      <w:pPr>
        <w:spacing w:after="0" w:line="76"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enhancing our IT governance processes, including automating components of our change management and logical access processes, enhancing role-based access and logging capabilities, implementing automated controls, enhancing testing and approval controls for program development, and implementing more robust IT policies and procedures over change management and computer operations;</w:t>
      </w:r>
    </w:p>
    <w:p>
      <w:pPr>
        <w:spacing w:after="0" w:line="79"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to enhance and standardize user access reviews and monitoring controls to improve segregation of duties, and more comprehensively review user and privileged access to financial applications, programs and data to appropriate Company personnel;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to enhance the design of computer operations controls related to the monitoring of critical batch and interface jobs.</w:t>
      </w:r>
    </w:p>
    <w:p>
      <w:pPr>
        <w:spacing w:after="0" w:line="158" w:lineRule="exact"/>
        <w:rPr>
          <w:sz w:val="20"/>
          <w:szCs w:val="20"/>
          <w:color w:val="auto"/>
        </w:rPr>
      </w:pPr>
    </w:p>
    <w:p>
      <w:pPr>
        <w:jc w:val="both"/>
        <w:ind w:firstLine="599"/>
        <w:spacing w:after="0" w:line="239" w:lineRule="auto"/>
        <w:rPr>
          <w:sz w:val="20"/>
          <w:szCs w:val="20"/>
          <w:color w:val="auto"/>
        </w:rPr>
      </w:pPr>
      <w:r>
        <w:rPr>
          <w:rFonts w:ascii="Arial" w:cs="Arial" w:eastAsia="Arial" w:hAnsi="Arial"/>
          <w:sz w:val="18"/>
          <w:szCs w:val="18"/>
          <w:color w:val="auto"/>
        </w:rPr>
        <w:t>We are committed to continuing to implement a strong system of controls and believe that our ongoing remediation efforts will result in significant improvements to our internal control over financial reporting and will remediate the material weaknesses. However, material weaknesses are not considered remediated until the new controls have been operational for a sufficient period of time, are tested, and management concludes that these controls are operating effectively. This remediation process will require resources and time to implement, and remediation efforts could continue beyond the fiscal year ending December 31, 2023. We will continue to monitor the effectiveness of these remediation measures, and we will make any changes to the design of this plan and take such other actions that we deem appropriate given the circumstances.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There were no material changes in our internal control over financial reporting during the quarter ended September 30, 2023 that have materially affected, or are reasonably likely to materially affect, our internal control over financial reporting.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Inherent Limitations on the Effectiveness of Disclosure Controls and Procedures</w:t>
      </w:r>
    </w:p>
    <w:p>
      <w:pPr>
        <w:spacing w:after="0" w:line="16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4"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 information set forth under Note 7, Commitments and Contingencies, in Notes to Unaudited Condensed Consolidated Financial Statements included in Part I, Item 1, of this Quarterly Report on Form 10-Q, is incorporated herein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Investing in our Class A common stock involves a high degree of risk. You should carefully consider the risks and uncertainties described under the heading "Risk Factors" in Part I, Item 1A of our 2022 Form 10-K, together with all of the other information contained in this Quarterly Report on Form 10-Q, including our condensed consolidated financial statements and related notes, before making a decision to invest in our Class A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Class A common stock could decline. These risk factors do not identify all risks that we face –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Other than as described below, there have been no additional material changes from the risk factors previously disclosed under the heading "Risk Factors" in Part I, Item 1A of our 2022 Form 10-K and in Part II, Item 1A of our Form 10-Qs for the quarterly periods ended March 31, 2023 and June 30,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Class A Common Stock</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Our activities to evaluate and pursue strategic alternatives for the company may not result in a strategic transaction, and even if we do consummate a strategic transaction, there is no assurance that it deliver the benefits we expect or enhance stockholder value.</w:t>
      </w:r>
    </w:p>
    <w:p>
      <w:pPr>
        <w:spacing w:after="0" w:line="107"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In November 2023, we announced that our Board of Directors has initiated a process to explore a range of strategic alternatives to maximize value for our stockholders. We have retained J.P. Morgan as the financial advisor to assist in the process.</w:t>
      </w:r>
    </w:p>
    <w:p>
      <w:pPr>
        <w:spacing w:after="0" w:line="119"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We have not set a definitive timetable for completion of this process, and there can be no assurance regarding the results or outcome of this process. It is possible that we may not pursue a strategic alternative as a result of this process, that a strategic alternative that has been pursued may not be attractive, or that a strategic alternative may not ultimately be consummated. As part of the process, our Board of Directors will consider a full range of strategic alternatives, which may include a corporate sale, merger or other business combination, a sale of all or a portion of the company’s assets, or other significant transaction, including a cash distribution to existing stockholders followed by a corporate dissolution and liquidation.</w:t>
      </w:r>
    </w:p>
    <w:p>
      <w:pPr>
        <w:spacing w:after="0" w:line="140"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We expect to devote significant time and resources and to incur expenses in identifying and evaluating strategic alternatives for the company, which could have a material adverse effect on our business. A considerable portion of these expenses may be incurred regardless of whether a transaction is completed. Any such expenses will decrease the remaining cash available for use in our business. In addition, potential strategic transactions that require stockholder approval may not be approved by our stockholders or, if required, a counterparty’s stockholders. Further, any strategic transaction that is completed ultimately may not deliver the benefits we expect or enhance stockholder value.</w:t>
      </w:r>
    </w:p>
    <w:p>
      <w:pPr>
        <w:spacing w:after="0" w:line="140"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Pursuing or consummating any strategic transaction may disrupt our management or business, require us to incur non-recurring or other charges, increase our near- and long-term expenditures, and may pose significant integration challenges, which could adversely affect our operations and financial results. For example, pursuing or consummating these transactions may entail numerous operational and financial risks, including:</w:t>
      </w:r>
    </w:p>
    <w:p>
      <w:pPr>
        <w:spacing w:after="0" w:line="80"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customers or merchants;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retain our key employees or our other service providers;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volatility of our stock price;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anticipated transaction or integration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write downs of assets or goodwill or impairment charges;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amortization expenses;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possibility of future litigation.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7" w:name="page38"/>
    <w:bookmarkEnd w:id="37"/>
    <w:p>
      <w:pPr>
        <w:jc w:val="both"/>
        <w:ind w:firstLine="644"/>
        <w:spacing w:after="0" w:line="247" w:lineRule="auto"/>
        <w:rPr>
          <w:sz w:val="20"/>
          <w:szCs w:val="20"/>
          <w:color w:val="auto"/>
        </w:rPr>
      </w:pPr>
      <w:r>
        <w:rPr>
          <w:rFonts w:ascii="Arial" w:cs="Arial" w:eastAsia="Arial" w:hAnsi="Arial"/>
          <w:sz w:val="18"/>
          <w:szCs w:val="18"/>
          <w:color w:val="auto"/>
        </w:rPr>
        <w:t>Accordingly, there can be no assurance that we will undertake or successfully complete any strategic transactions of the nature described above and any transactions that we do complete may be subject to the foregoing or other risks and could have a material adverse effect on our business, financial condition and prospects.</w:t>
      </w:r>
    </w:p>
    <w:p>
      <w:pPr>
        <w:spacing w:after="0" w:line="130"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As part of this strategic transaction process, our Board of Directors may decide to pursue a dissolution and liquidation. In the event of such liquidation or other wind-down event, holders of our securities may suffer a total loss of their investment.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 Issuer Purchases of Equity Securities</w:t>
      </w:r>
    </w:p>
    <w:p>
      <w:pPr>
        <w:spacing w:after="0" w:line="16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April 20, 2023, we announced that our Board of Directors authorized us to repurchase up to $50 million of our common stock, effective through December 31, 2023. Under the share repurchase program, we may repurchase shares of our common stock through open market transactions, in privately negotiated transactions, or by other means, including through the use of trading plans, each in accordance with applicable securities laws and other restrictions. The manner, timing, and amount of any purchase will be based on an assessment of business, economic and market conditions, corporate and regulatory requirements, prevailing stock prices, and other considerations. The repurchase program may be suspended, terminated, or modified at any time for any reason.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have not made any repurchases for the three and nine months ended September 30,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7660" w:type="dxa"/>
            <w:vAlign w:val="bottom"/>
            <w:tcBorders>
              <w:bottom w:val="single" w:sz="8" w:color="auto"/>
            </w:tcBorders>
            <w:gridSpan w:val="7"/>
          </w:tcPr>
          <w:p>
            <w:pPr>
              <w:ind w:left="226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98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120" w:type="dxa"/>
            <w:vAlign w:val="bottom"/>
          </w:tcPr>
          <w:p>
            <w:pPr>
              <w:spacing w:after="0"/>
              <w:rPr>
                <w:sz w:val="19"/>
                <w:szCs w:val="19"/>
                <w:color w:val="auto"/>
              </w:rPr>
            </w:pPr>
          </w:p>
        </w:tc>
      </w:tr>
      <w:tr>
        <w:trPr>
          <w:trHeight w:val="183"/>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4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bottom w:val="single" w:sz="8" w:color="0000EE"/>
            </w:tcBorders>
          </w:tcPr>
          <w:p>
            <w:pPr>
              <w:spacing w:after="0"/>
              <w:rPr>
                <w:sz w:val="15"/>
                <w:szCs w:val="15"/>
                <w:color w:val="auto"/>
              </w:rPr>
            </w:pPr>
          </w:p>
        </w:tc>
        <w:tc>
          <w:tcPr>
            <w:tcW w:w="3720" w:type="dxa"/>
            <w:vAlign w:val="bottom"/>
            <w:gridSpan w:val="5"/>
          </w:tcPr>
          <w:p>
            <w:pPr>
              <w:spacing w:after="0"/>
              <w:rPr>
                <w:sz w:val="15"/>
                <w:szCs w:val="15"/>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180" w:type="dxa"/>
            <w:vAlign w:val="bottom"/>
            <w:gridSpan w:val="2"/>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4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bottom w:val="single" w:sz="8" w:color="0000EE"/>
            </w:tcBorders>
          </w:tcPr>
          <w:p>
            <w:pPr>
              <w:spacing w:after="0"/>
              <w:rPr>
                <w:sz w:val="15"/>
                <w:szCs w:val="15"/>
                <w:color w:val="auto"/>
              </w:rPr>
            </w:pPr>
          </w:p>
        </w:tc>
        <w:tc>
          <w:tcPr>
            <w:tcW w:w="3720" w:type="dxa"/>
            <w:vAlign w:val="bottom"/>
            <w:gridSpan w:val="5"/>
          </w:tcPr>
          <w:p>
            <w:pPr>
              <w:spacing w:after="0"/>
              <w:rPr>
                <w:sz w:val="15"/>
                <w:szCs w:val="15"/>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7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240" w:type="dxa"/>
            <w:vAlign w:val="bottom"/>
            <w:gridSpan w:val="3"/>
          </w:tcPr>
          <w:p>
            <w:pPr>
              <w:spacing w:after="0"/>
              <w:rPr>
                <w:sz w:val="24"/>
                <w:szCs w:val="24"/>
                <w:color w:val="auto"/>
              </w:rPr>
            </w:pPr>
          </w:p>
        </w:tc>
      </w:tr>
      <w:tr>
        <w:trPr>
          <w:trHeight w:val="182"/>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80" w:type="dxa"/>
            <w:vAlign w:val="bottom"/>
            <w:gridSpan w:val="8"/>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300" w:type="dxa"/>
            <w:vAlign w:val="bottom"/>
            <w:gridSpan w:val="4"/>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80" w:type="dxa"/>
            <w:vAlign w:val="bottom"/>
            <w:gridSpan w:val="8"/>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660" w:type="dxa"/>
            <w:vAlign w:val="bottom"/>
            <w:gridSpan w:val="7"/>
          </w:tcPr>
          <w:p>
            <w:pPr>
              <w:spacing w:after="0" w:line="20" w:lineRule="exact"/>
              <w:rPr>
                <w:sz w:val="1"/>
                <w:szCs w:val="1"/>
                <w:color w:val="auto"/>
              </w:rPr>
            </w:pPr>
          </w:p>
        </w:tc>
      </w:tr>
      <w:tr>
        <w:trPr>
          <w:trHeight w:val="777"/>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16"/>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firstLine="509"/>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ContextLogic Inc.</w:t>
      </w:r>
    </w:p>
    <w:p>
      <w:pPr>
        <w:spacing w:after="0" w:line="225" w:lineRule="exact"/>
        <w:rPr>
          <w:sz w:val="20"/>
          <w:szCs w:val="20"/>
          <w:color w:val="auto"/>
        </w:rPr>
      </w:pPr>
    </w:p>
    <w:p>
      <w:pPr>
        <w:ind w:left="20"/>
        <w:spacing w:after="0"/>
        <w:tabs>
          <w:tab w:leader="none" w:pos="5640" w:val="left"/>
          <w:tab w:leader="none" w:pos="814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Jun Yan</w:t>
      </w:r>
    </w:p>
    <w:p>
      <w:pPr>
        <w:spacing w:after="0" w:line="22"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ind w:left="566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Vivian Liu</w:t>
      </w:r>
    </w:p>
    <w:p>
      <w:pPr>
        <w:spacing w:after="0" w:line="22"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 Jun Yan, certify that:</w:t>
      </w:r>
    </w:p>
    <w:p>
      <w:pPr>
        <w:spacing w:after="0" w:line="104"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20" w:right="8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8"/>
          <w:szCs w:val="18"/>
          <w:color w:val="auto"/>
        </w:rPr>
      </w:pPr>
    </w:p>
    <w:p>
      <w:pPr>
        <w:ind w:left="520" w:right="26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8"/>
          <w:szCs w:val="18"/>
          <w:color w:val="auto"/>
        </w:rPr>
      </w:pPr>
    </w:p>
    <w:p>
      <w:pPr>
        <w:ind w:left="520" w:right="26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8"/>
          <w:szCs w:val="18"/>
          <w:color w:val="auto"/>
        </w:rPr>
      </w:pPr>
    </w:p>
    <w:p>
      <w:pPr>
        <w:jc w:val="both"/>
        <w:ind w:left="1020" w:right="220" w:hanging="503"/>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8"/>
          <w:szCs w:val="18"/>
          <w:color w:val="auto"/>
        </w:rPr>
      </w:pPr>
    </w:p>
    <w:p>
      <w:pPr>
        <w:ind w:left="1020" w:right="20" w:hanging="503"/>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8"/>
          <w:szCs w:val="18"/>
          <w:color w:val="auto"/>
        </w:rPr>
      </w:pPr>
    </w:p>
    <w:p>
      <w:pPr>
        <w:ind w:left="520" w:right="48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8"/>
          <w:szCs w:val="18"/>
          <w:color w:val="auto"/>
        </w:rPr>
      </w:pPr>
    </w:p>
    <w:p>
      <w:pPr>
        <w:ind w:left="1020" w:right="200" w:hanging="503"/>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left="1020" w:right="120" w:hanging="503"/>
        <w:spacing w:after="0" w:line="260"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tabs>
          <w:tab w:leader="none" w:pos="5500" w:val="left"/>
          <w:tab w:leader="none" w:pos="814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13970</wp:posOffset>
            </wp:positionV>
            <wp:extent cx="33432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Jun Yan</w:t>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Chief Executive Officer and Director</w:t>
      </w:r>
    </w:p>
    <w:p>
      <w:pPr>
        <w:spacing w:after="0" w:line="1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 Vivian Liu, certify that:</w:t>
      </w:r>
    </w:p>
    <w:p>
      <w:pPr>
        <w:spacing w:after="0" w:line="104"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20" w:right="80" w:hanging="512"/>
        <w:spacing w:after="0" w:line="24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8"/>
          <w:szCs w:val="18"/>
          <w:color w:val="auto"/>
        </w:rPr>
      </w:pPr>
    </w:p>
    <w:p>
      <w:pPr>
        <w:ind w:left="520" w:right="260" w:hanging="512"/>
        <w:spacing w:after="0" w:line="24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8"/>
          <w:szCs w:val="18"/>
          <w:color w:val="auto"/>
        </w:rPr>
      </w:pPr>
    </w:p>
    <w:p>
      <w:pPr>
        <w:ind w:left="520" w:right="260" w:hanging="512"/>
        <w:spacing w:after="0" w:line="24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8"/>
          <w:szCs w:val="18"/>
          <w:color w:val="auto"/>
        </w:rPr>
      </w:pPr>
    </w:p>
    <w:p>
      <w:pPr>
        <w:jc w:val="both"/>
        <w:ind w:left="1020" w:right="220" w:hanging="503"/>
        <w:spacing w:after="0" w:line="24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8"/>
          <w:szCs w:val="18"/>
          <w:color w:val="auto"/>
        </w:rPr>
      </w:pPr>
    </w:p>
    <w:p>
      <w:pPr>
        <w:ind w:left="1020" w:right="20" w:hanging="503"/>
        <w:spacing w:after="0" w:line="24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8"/>
          <w:szCs w:val="18"/>
          <w:color w:val="auto"/>
        </w:rPr>
      </w:pPr>
    </w:p>
    <w:p>
      <w:pPr>
        <w:ind w:left="520" w:right="480" w:hanging="512"/>
        <w:spacing w:after="0" w:line="24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8"/>
          <w:szCs w:val="18"/>
          <w:color w:val="auto"/>
        </w:rPr>
      </w:pPr>
    </w:p>
    <w:p>
      <w:pPr>
        <w:ind w:left="1020" w:right="200" w:hanging="503"/>
        <w:spacing w:after="0" w:line="24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left="1020" w:right="120" w:hanging="503"/>
        <w:spacing w:after="0" w:line="260"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tabs>
          <w:tab w:leader="none" w:pos="5500" w:val="left"/>
          <w:tab w:leader="none" w:pos="808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13970</wp:posOffset>
            </wp:positionV>
            <wp:extent cx="33432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Vivian Liu</w:t>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Chief Financial Officer and Chief Operating Officer</w:t>
      </w:r>
    </w:p>
    <w:p>
      <w:pPr>
        <w:spacing w:after="0" w:line="1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left="340" w:right="2580"/>
        <w:spacing w:after="0" w:line="260"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61"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right="160" w:hanging="503"/>
        <w:spacing w:after="0" w:line="260"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2" w:lineRule="exact"/>
        <w:rPr>
          <w:rFonts w:ascii="Arial" w:cs="Arial" w:eastAsia="Arial" w:hAnsi="Arial"/>
          <w:sz w:val="18"/>
          <w:szCs w:val="18"/>
          <w:color w:val="auto"/>
        </w:rPr>
      </w:pPr>
    </w:p>
    <w:p>
      <w:pPr>
        <w:ind w:left="1020" w:right="40" w:hanging="503"/>
        <w:spacing w:after="0" w:line="260"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ind w:left="20"/>
        <w:spacing w:after="0"/>
        <w:tabs>
          <w:tab w:leader="none" w:pos="5300" w:val="left"/>
          <w:tab w:leader="none" w:pos="808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13970</wp:posOffset>
            </wp:positionV>
            <wp:extent cx="34201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Jun Yan</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left="340" w:right="2580"/>
        <w:spacing w:after="0" w:line="260"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61"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right="160" w:hanging="503"/>
        <w:spacing w:after="0" w:line="26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2" w:lineRule="exact"/>
        <w:rPr>
          <w:rFonts w:ascii="Arial" w:cs="Arial" w:eastAsia="Arial" w:hAnsi="Arial"/>
          <w:sz w:val="18"/>
          <w:szCs w:val="18"/>
          <w:color w:val="auto"/>
        </w:rPr>
      </w:pPr>
    </w:p>
    <w:p>
      <w:pPr>
        <w:ind w:left="1020" w:right="40" w:hanging="503"/>
        <w:spacing w:after="0" w:line="26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ind w:left="20"/>
        <w:spacing w:after="0"/>
        <w:tabs>
          <w:tab w:leader="none" w:pos="5300" w:val="left"/>
          <w:tab w:leader="none" w:pos="802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13970</wp:posOffset>
            </wp:positionV>
            <wp:extent cx="34201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Vivian Liu</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Roman"/>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2023-11-07T15:53:32Z</dcterms:created>
  <dcterms:modified xsi:type="dcterms:W3CDTF">2023-11-07T15:53:32Z</dcterms:modified>
</cp:coreProperties>
</file>