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167640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173355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ContextLogic Holdings Inc.</w:t>
      </w:r>
    </w:p>
    <w:p>
      <w:pPr>
        <w:spacing w:after="0" w:line="9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tbl>
      <w:tblPr>
        <w:tblLayout w:type="fixed"/>
        <w:tblInd w:w="1060" w:type="dxa"/>
        <w:tblCellMar>
          <w:top w:w="0" w:type="dxa"/>
          <w:left w:w="0" w:type="dxa"/>
          <w:bottom w:w="0" w:type="dxa"/>
          <w:right w:w="0" w:type="dxa"/>
        </w:tblCellMar>
      </w:tblPr>
      <w:tr>
        <w:trPr>
          <w:trHeight w:val="222"/>
        </w:trPr>
        <w:tc>
          <w:tcPr>
            <w:tcW w:w="3160" w:type="dxa"/>
            <w:vAlign w:val="bottom"/>
          </w:tcPr>
          <w:p>
            <w:pPr>
              <w:jc w:val="center"/>
              <w:ind w:right="56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0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000-56773</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27-2930953</w:t>
            </w:r>
          </w:p>
        </w:tc>
      </w:tr>
      <w:tr>
        <w:trPr>
          <w:trHeight w:val="148"/>
        </w:trPr>
        <w:tc>
          <w:tcPr>
            <w:tcW w:w="3160" w:type="dxa"/>
            <w:vAlign w:val="bottom"/>
          </w:tcPr>
          <w:p>
            <w:pPr>
              <w:jc w:val="center"/>
              <w:ind w:right="56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00" w:type="dxa"/>
            <w:vAlign w:val="bottom"/>
          </w:tcPr>
          <w:p>
            <w:pPr>
              <w:jc w:val="center"/>
              <w:ind w:right="30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160" w:type="dxa"/>
            <w:vAlign w:val="bottom"/>
          </w:tcPr>
          <w:p>
            <w:pPr>
              <w:jc w:val="center"/>
              <w:ind w:right="56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0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160" w:type="dxa"/>
            <w:vAlign w:val="bottom"/>
          </w:tcPr>
          <w:p>
            <w:pPr>
              <w:jc w:val="center"/>
              <w:ind w:right="561"/>
              <w:spacing w:after="0"/>
              <w:rPr>
                <w:sz w:val="20"/>
                <w:szCs w:val="20"/>
                <w:color w:val="auto"/>
              </w:rPr>
            </w:pPr>
            <w:r>
              <w:rPr>
                <w:rFonts w:ascii="Times New Roman" w:cs="Times New Roman" w:eastAsia="Times New Roman" w:hAnsi="Times New Roman"/>
                <w:sz w:val="18"/>
                <w:szCs w:val="18"/>
                <w:b w:val="1"/>
                <w:bCs w:val="1"/>
                <w:color w:val="auto"/>
                <w:w w:val="99"/>
              </w:rPr>
              <w:t>2648 International Blvd., Ste 301</w:t>
            </w:r>
          </w:p>
        </w:tc>
        <w:tc>
          <w:tcPr>
            <w:tcW w:w="32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160" w:type="dxa"/>
            <w:vAlign w:val="bottom"/>
          </w:tcPr>
          <w:p>
            <w:pPr>
              <w:jc w:val="center"/>
              <w:ind w:right="561"/>
              <w:spacing w:after="0"/>
              <w:rPr>
                <w:sz w:val="20"/>
                <w:szCs w:val="20"/>
                <w:color w:val="auto"/>
              </w:rPr>
            </w:pPr>
            <w:r>
              <w:rPr>
                <w:rFonts w:ascii="Times New Roman" w:cs="Times New Roman" w:eastAsia="Times New Roman" w:hAnsi="Times New Roman"/>
                <w:sz w:val="18"/>
                <w:szCs w:val="18"/>
                <w:b w:val="1"/>
                <w:bCs w:val="1"/>
                <w:color w:val="auto"/>
              </w:rPr>
              <w:t>Oakland, California</w:t>
            </w:r>
          </w:p>
        </w:tc>
        <w:tc>
          <w:tcPr>
            <w:tcW w:w="320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94601</w:t>
            </w:r>
          </w:p>
        </w:tc>
      </w:tr>
      <w:tr>
        <w:trPr>
          <w:trHeight w:val="178"/>
        </w:trPr>
        <w:tc>
          <w:tcPr>
            <w:tcW w:w="3160" w:type="dxa"/>
            <w:vAlign w:val="bottom"/>
          </w:tcPr>
          <w:p>
            <w:pPr>
              <w:jc w:val="center"/>
              <w:ind w:right="56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0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(415) 965-8476</w:t>
      </w:r>
    </w:p>
    <w:p>
      <w:pPr>
        <w:spacing w:after="0" w:line="38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2648 International Blvd, Ste 115, Oakland, CA 94601</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239395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3"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Written communications pursuant to Rule 425 under the Securities Act (17 CFR 230.425)</w:t>
      </w:r>
    </w:p>
    <w:p>
      <w:pPr>
        <w:spacing w:after="0" w:line="124"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Soliciting material pursuant to Rule 14a-12 under the Exchange Act (17 CFR 240.14a-12)</w:t>
      </w:r>
    </w:p>
    <w:p>
      <w:pPr>
        <w:spacing w:after="0" w:line="110"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24"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5" w:lineRule="exact"/>
        <w:rPr>
          <w:sz w:val="24"/>
          <w:szCs w:val="24"/>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749935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956" w:right="4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20" w:firstLine="599"/>
        <w:spacing w:after="0" w:line="282" w:lineRule="auto"/>
        <w:rPr>
          <w:sz w:val="20"/>
          <w:szCs w:val="20"/>
          <w:color w:val="auto"/>
        </w:rPr>
      </w:pPr>
      <w:r>
        <w:rPr>
          <w:rFonts w:ascii="Times New Roman" w:cs="Times New Roman" w:eastAsia="Times New Roman" w:hAnsi="Times New Roman"/>
          <w:sz w:val="18"/>
          <w:szCs w:val="18"/>
          <w:color w:val="auto"/>
        </w:rPr>
        <w:t>On October 28, 2025, ContextLogic Holdings Inc. (the “Company”) issued a press release announcing the Company’s financial results for the third quarter ended September 30, 2025. A copy of the Company’s press release is attached hereto as Exhibit 99.1.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75" w:lineRule="exact"/>
        <w:rPr>
          <w:sz w:val="20"/>
          <w:szCs w:val="20"/>
          <w:color w:val="auto"/>
        </w:rPr>
      </w:pPr>
    </w:p>
    <w:p>
      <w:pPr>
        <w:jc w:val="both"/>
        <w:ind w:firstLine="599"/>
        <w:spacing w:after="0" w:line="261" w:lineRule="auto"/>
        <w:rPr>
          <w:sz w:val="20"/>
          <w:szCs w:val="20"/>
          <w:color w:val="auto"/>
        </w:rPr>
      </w:pPr>
      <w:r>
        <w:rPr>
          <w:rFonts w:ascii="Times New Roman" w:cs="Times New Roman" w:eastAsia="Times New Roman" w:hAnsi="Times New Roman"/>
          <w:sz w:val="18"/>
          <w:szCs w:val="18"/>
          <w:color w:val="auto"/>
        </w:rPr>
        <w:t>The information set forth in Item 2.02 above and in Exhibit 99.1 to this Current Report on Form 8-K is incorporated herein by reference. The Company announces material information to the public about the Company and other matters through a variety of means, including filings with the Securities and Exchange Commission, press releases, public conference calls, and the investor relations section of its website (ir.contextlogic.com) in order to achieve broad, non-exclusionary distribution of information to the public and for complying with its disclosure obligations under Regulation FD.</w:t>
      </w:r>
    </w:p>
    <w:p>
      <w:pPr>
        <w:spacing w:after="0" w:line="126" w:lineRule="exact"/>
        <w:rPr>
          <w:sz w:val="20"/>
          <w:szCs w:val="20"/>
          <w:color w:val="auto"/>
        </w:rPr>
      </w:pPr>
    </w:p>
    <w:p>
      <w:pPr>
        <w:jc w:val="both"/>
        <w:ind w:firstLine="599"/>
        <w:spacing w:after="0" w:line="261" w:lineRule="auto"/>
        <w:rPr>
          <w:sz w:val="20"/>
          <w:szCs w:val="20"/>
          <w:color w:val="auto"/>
        </w:rPr>
      </w:pPr>
      <w:r>
        <w:rPr>
          <w:rFonts w:ascii="Times New Roman" w:cs="Times New Roman" w:eastAsia="Times New Roman" w:hAnsi="Times New Roman"/>
          <w:sz w:val="18"/>
          <w:szCs w:val="18"/>
          <w:color w:val="auto"/>
        </w:rPr>
        <w:t>The information furnished pursuant to Item 2.02 and Item 7.01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ind w:left="800"/>
        <w:spacing w:after="0"/>
        <w:tabs>
          <w:tab w:leader="none" w:pos="1740" w:val="left"/>
        </w:tabs>
        <w:rPr>
          <w:sz w:val="20"/>
          <w:szCs w:val="20"/>
          <w:color w:val="auto"/>
        </w:rPr>
      </w:pPr>
      <w:r>
        <w:rPr>
          <w:rFonts w:ascii="Times New Roman" w:cs="Times New Roman" w:eastAsia="Times New Roman" w:hAnsi="Times New Roman"/>
          <w:sz w:val="18"/>
          <w:szCs w:val="18"/>
          <w:b w:val="1"/>
          <w:bCs w:val="1"/>
          <w:u w:val="single" w:color="auto"/>
          <w:color w:val="auto"/>
        </w:rPr>
        <w:t>Exhibit</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u w:val="single" w:color="auto"/>
          <w:color w:val="auto"/>
        </w:rPr>
        <w:t>Number</w:t>
      </w:r>
    </w:p>
    <w:p>
      <w:pPr>
        <w:spacing w:after="0" w:line="9" w:lineRule="exact"/>
        <w:rPr>
          <w:sz w:val="20"/>
          <w:szCs w:val="20"/>
          <w:color w:val="auto"/>
        </w:rPr>
      </w:pPr>
    </w:p>
    <w:p>
      <w:pPr>
        <w:ind w:left="1080"/>
        <w:spacing w:after="0"/>
        <w:tabs>
          <w:tab w:leader="none" w:pos="174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8"/>
          <w:szCs w:val="18"/>
          <w:u w:val="single" w:color="auto"/>
          <w:color w:val="0000FF"/>
        </w:rPr>
        <w:t>Press release issued by ContextLogic Holdings Inc. on October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wp:posOffset>
            </wp:positionH>
            <wp:positionV relativeFrom="paragraph">
              <wp:posOffset>-19050</wp:posOffset>
            </wp:positionV>
            <wp:extent cx="37617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761740" cy="8890"/>
                    </a:xfrm>
                    <a:prstGeom prst="rect">
                      <a:avLst/>
                    </a:prstGeom>
                    <a:noFill/>
                  </pic:spPr>
                </pic:pic>
              </a:graphicData>
            </a:graphic>
          </wp:anchor>
        </w:drawing>
      </w:r>
    </w:p>
    <w:p>
      <w:pPr>
        <w:ind w:left="1100"/>
        <w:spacing w:after="0"/>
        <w:tabs>
          <w:tab w:leader="none" w:pos="17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1158875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 w:name="page3"/>
    <w:bookmarkEnd w:id="2"/>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59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ContextLogic Holdings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28,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Rishi Bajaj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Rishi Bajaj</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981" w:right="6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ContextLogic Holdings Inc. Reports Third-Quarter 2025 Financial Results</w:t>
      </w:r>
    </w:p>
    <w:p>
      <w:pPr>
        <w:spacing w:after="0" w:line="207"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OAKLAND, Calif., October 28, 2025 (</w:t>
      </w:r>
      <w:r>
        <w:rPr>
          <w:rFonts w:ascii="Times New Roman" w:cs="Times New Roman" w:eastAsia="Times New Roman" w:hAnsi="Times New Roman"/>
          <w:sz w:val="20"/>
          <w:szCs w:val="20"/>
          <w:color w:val="152934"/>
        </w:rPr>
        <w:t>GLOBE NEWSWIRE</w:t>
      </w:r>
      <w:r>
        <w:rPr>
          <w:rFonts w:ascii="Times New Roman" w:cs="Times New Roman" w:eastAsia="Times New Roman" w:hAnsi="Times New Roman"/>
          <w:sz w:val="20"/>
          <w:szCs w:val="20"/>
          <w:color w:val="auto"/>
        </w:rPr>
        <w:t>)--ContextLogic Holdings Inc. (OTCQB: LOGC) (“ContextLogic,” the “Company,” “we” or “our”) today reported its financial results for the quarter and nine months ended September 30, 2025.</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Third-Quarter 2025 Financial Highlights</w:t>
      </w:r>
    </w:p>
    <w:p>
      <w:pPr>
        <w:spacing w:after="0" w:line="112" w:lineRule="exact"/>
        <w:rPr>
          <w:sz w:val="20"/>
          <w:szCs w:val="20"/>
          <w:color w:val="auto"/>
        </w:rPr>
      </w:pPr>
    </w:p>
    <w:p>
      <w:pPr>
        <w:ind w:left="1020" w:hanging="503"/>
        <w:spacing w:after="0"/>
        <w:tabs>
          <w:tab w:leader="none" w:pos="10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loss was $1 million, consistent with a net loss of $1 million in the third quarter of fiscal year 2024.</w:t>
      </w:r>
    </w:p>
    <w:p>
      <w:pPr>
        <w:spacing w:after="0" w:line="107" w:lineRule="exact"/>
        <w:rPr>
          <w:rFonts w:ascii="Times New Roman" w:cs="Times New Roman" w:eastAsia="Times New Roman" w:hAnsi="Times New Roman"/>
          <w:sz w:val="20"/>
          <w:szCs w:val="20"/>
          <w:color w:val="auto"/>
        </w:rPr>
      </w:pPr>
    </w:p>
    <w:p>
      <w:pPr>
        <w:ind w:left="1020" w:right="760" w:hanging="503"/>
        <w:spacing w:after="0" w:line="269" w:lineRule="auto"/>
        <w:tabs>
          <w:tab w:leader="none" w:pos="10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September 30, 2025, the Company had $102 million in cash and cash equivalents and $116 million in marketable securities.</w:t>
      </w:r>
    </w:p>
    <w:p>
      <w:pPr>
        <w:spacing w:after="0" w:line="10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ContextLogic will host a financial results conference call at 5 pm EDT on October 28</w:t>
      </w:r>
      <w:r>
        <w:rPr>
          <w:rFonts w:ascii="Times New Roman" w:cs="Times New Roman" w:eastAsia="Times New Roman" w:hAnsi="Times New Roman"/>
          <w:sz w:val="10"/>
          <w:szCs w:val="10"/>
          <w:color w:val="auto"/>
        </w:rPr>
        <w:t>th</w:t>
      </w:r>
      <w:r>
        <w:rPr>
          <w:rFonts w:ascii="Times New Roman" w:cs="Times New Roman" w:eastAsia="Times New Roman" w:hAnsi="Times New Roman"/>
          <w:sz w:val="20"/>
          <w:szCs w:val="20"/>
          <w:color w:val="auto"/>
        </w:rPr>
        <w:t>. The live conference call may be accessed by registering here.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 Outlook</w:t>
      </w:r>
    </w:p>
    <w:p>
      <w:pPr>
        <w:spacing w:after="0" w:line="16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During the third quarter of 2025, the Company continued to operate efficiently while pursuing value maximization through organic growth and accretive acquisitions.</w:t>
      </w:r>
    </w:p>
    <w:p>
      <w:pPr>
        <w:spacing w:after="0" w:line="1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September 30, 2025, the Company, on a consolidated basis, had approximately $218 million in cash, cash equivalents, and marketable securities. Under the terms of the strategic investment from BC Partners in a subsidiary of ContextLogic which closed in the first quarter of 2025, there is a Company option for an additional issuance by our subsidiary of redeemable convertible preferred units in connection with a future acquisition which, if called, would add an additional $75 million in cash available for investment in the business.</w:t>
      </w:r>
    </w:p>
    <w:p>
      <w:pPr>
        <w:spacing w:after="0" w:line="12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During the three months ended September 30, 2025, the Company incurred $3 million of general and administrative expenses associated with $2 million of expenses for employees, legal and other professional services, which includes $1 million of stock-based compensation, and $1 million of expenses for the evaluation and pursuit of strategic transactions. Interest income totaled $2 million, with the Company's marketable securities and cash and cash equivalents primarily invested in U.S. government instruments. </w:t>
      </w:r>
    </w:p>
    <w:p>
      <w:pPr>
        <w:spacing w:after="0" w:line="12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have maintained our operational focus this quarter while continuing to hone our pipeline of potential acquisitions,” said Rishi Bajaj, Chief Executive Officer. “Our strong balance sheet and access to capital positions us to successfully execute our acquisition strategy.” </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ContextLogic Holdings Inc.</w:t>
      </w:r>
    </w:p>
    <w:p>
      <w:pPr>
        <w:spacing w:after="0" w:line="1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ContextLogic Holdings Inc. is a publicly traded company currently seeking to develop and grow a de novo business and finance potential future bolt-on acquisitions of assets or businesses that are complementary to its operations. For more information on ContextLogic, please visit ir.contextlogic.com.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729615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6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This news release contains forward-looking statements within the meaning of the Safe Harbor provisions of the Private Securities Litigation Reform Act of 1995. All statements other than statements of historical fact could be deemed forward-looking, including, but not limited to, statements regarding ContextLogic’s financial outlook, the strategic alternatives considered by our Board of Directors, including the decisions taken thereto and alternatives for the use of the cash or cash equivalents, and other quotes of management. In some cases, forward-looking statements can be identified by terms such as “anticipates,” “believes,” “could,” “estimates,” “expects,” “foresees,” “forecasts,” “guidance,” “intends” “goals,” “may,” “might,” “outlook,” “plans,” “potential,” “predicts,” “projects,” “seeks,” “should,” “targets,” “will,” “would” or similar expressions and the negatives of those terms. These forward-looking statements are subject to risks, uncertainties, and assumptions. If the risks materialize or assumptions prove incorrect, actual results could differ materially from the results implied by these forward-looking statements. Important factors, risks and uncertainties that could cause actual results to differ materially from those forward-looking statements include but are not limited to: the reorganization of ContextLogic Inc. and ContextLogic Holdings Inc., the strategic alternatives considered by our Board of Directors, including the decisions taken thereto; our lack of operating revenues after the sale of substantially all of our assets in April 2024; our prior history of losses; our continuation as a publicly-traded and reporting company after the sale of substantially all of our assets; our ability to utilize our net operating loss carryforwards and other tax attributes; risks related to any future acquisition of a business or assets; currently pending or future litigation; risks if we are deemed to be an investment company under the Investment Company Act of 1940; our voluntary delisting on Nasdaq, and our continued listing on the OTC Markets; impact of anti-takeover provisions in our charter documents and under Delaware law; our possible or assumed future financial performance; our future liquidity and operating expenditures; our financial condition and results of operations; competitive changes in the marketplace; our expected tax rate; the effect of changes in or the application of new or revised tax laws; the effect of new accounting pronouncements; and the other important factors discussed in our most recent Annual Report on Form 10-K and any subsequent Quarterly Reports on Form 10-Q or Current Reports on Form 8-K.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Further information on these and additional risks that could affect ContextLogic’s results is included in its filings with the Securities and Exchange Commission (“SEC”), including the Annual Report on Form 10-K for the year ended December 31, 2024, as amended by Amendment No. 1 to the Annual Report on Form 10K/A, the Quarterly Report on Form 10-Q for the period ended September 30, 2025 and other reports that ContextLogic files with the SEC from time to time, which could cause actual results to vary from expectations. Any forward-looking statement made by ContextLogic in this news release speaks only as of the day on which ContextLogic makes it. ContextLogic assumes no obligation to, and does not currently intend to, update any such forward-looking statements after the date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893445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auto"/>
        </w:rPr>
        <w:t>ContextLogic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w:t>
      </w:r>
    </w:p>
    <w:p>
      <w:pPr>
        <w:jc w:val="center"/>
        <w:spacing w:after="0"/>
        <w:rPr>
          <w:sz w:val="20"/>
          <w:szCs w:val="20"/>
          <w:color w:val="auto"/>
        </w:rPr>
      </w:pPr>
      <w:r>
        <w:rPr>
          <w:rFonts w:ascii="Times New Roman" w:cs="Times New Roman" w:eastAsia="Times New Roman" w:hAnsi="Times New Roman"/>
          <w:sz w:val="20"/>
          <w:szCs w:val="20"/>
          <w:b w:val="1"/>
          <w:bCs w:val="1"/>
          <w:color w:val="auto"/>
        </w:rPr>
        <w:t>($ in millions, shares in thousands, except per share data)</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8"/>
        </w:trPr>
        <w:tc>
          <w:tcPr>
            <w:tcW w:w="5200" w:type="dxa"/>
            <w:vAlign w:val="bottom"/>
          </w:tcPr>
          <w:p>
            <w:pPr>
              <w:spacing w:after="0"/>
              <w:rPr>
                <w:sz w:val="20"/>
                <w:szCs w:val="20"/>
                <w:color w:val="auto"/>
              </w:rPr>
            </w:pPr>
          </w:p>
        </w:tc>
        <w:tc>
          <w:tcPr>
            <w:tcW w:w="2320" w:type="dxa"/>
            <w:vAlign w:val="bottom"/>
            <w:gridSpan w:val="2"/>
          </w:tcPr>
          <w:p>
            <w:pPr>
              <w:jc w:val="right"/>
              <w:ind w:right="553"/>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FF0FC"/>
          </w:tcPr>
          <w:p>
            <w:pPr>
              <w:spacing w:after="0"/>
              <w:rPr>
                <w:sz w:val="18"/>
                <w:szCs w:val="18"/>
                <w:color w:val="auto"/>
              </w:rPr>
            </w:pPr>
          </w:p>
        </w:tc>
        <w:tc>
          <w:tcPr>
            <w:tcW w:w="212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4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320" w:type="dxa"/>
            <w:vAlign w:val="bottom"/>
            <w:gridSpan w:val="2"/>
            <w:shd w:val="clear" w:color="auto" w:fill="CFF0FC"/>
          </w:tcPr>
          <w:p>
            <w:pPr>
              <w:jc w:val="right"/>
              <w:ind w:right="195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Borders>
              <w:top w:val="single" w:sz="8" w:color="CFF0FC"/>
              <w:bottom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top w:val="single" w:sz="8" w:color="CFF0FC"/>
              <w:bottom w:val="single" w:sz="8" w:color="CFF0FC"/>
            </w:tcBorders>
          </w:tcPr>
          <w:p>
            <w:pPr>
              <w:spacing w:after="0"/>
              <w:rPr>
                <w:sz w:val="18"/>
                <w:szCs w:val="18"/>
                <w:color w:val="auto"/>
              </w:rPr>
            </w:pPr>
          </w:p>
        </w:tc>
        <w:tc>
          <w:tcPr>
            <w:tcW w:w="2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20" w:type="dxa"/>
            <w:vAlign w:val="bottom"/>
            <w:tcBorders>
              <w:top w:val="single" w:sz="8" w:color="CFF0FC"/>
              <w:bottom w:val="single" w:sz="8" w:color="CFF0FC"/>
            </w:tcBorders>
          </w:tcPr>
          <w:p>
            <w:pPr>
              <w:spacing w:after="0"/>
              <w:rPr>
                <w:sz w:val="18"/>
                <w:szCs w:val="18"/>
                <w:color w:val="auto"/>
              </w:rPr>
            </w:pPr>
          </w:p>
        </w:tc>
        <w:tc>
          <w:tcPr>
            <w:tcW w:w="160" w:type="dxa"/>
            <w:vAlign w:val="bottom"/>
            <w:tcBorders>
              <w:top w:val="single" w:sz="8" w:color="CFF0FC"/>
              <w:bottom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2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top w:val="single" w:sz="8" w:color="CFF0FC"/>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CFF0FC"/>
            </w:tcBorders>
            <w:shd w:val="clear" w:color="auto" w:fill="CFF0FC"/>
          </w:tcPr>
          <w:p>
            <w:pPr>
              <w:spacing w:after="0"/>
              <w:rPr>
                <w:sz w:val="21"/>
                <w:szCs w:val="21"/>
                <w:color w:val="auto"/>
              </w:rPr>
            </w:pPr>
          </w:p>
        </w:tc>
        <w:tc>
          <w:tcPr>
            <w:tcW w:w="2120" w:type="dxa"/>
            <w:vAlign w:val="bottom"/>
            <w:tcBorders>
              <w:bottom w:val="single" w:sz="8" w:color="auto"/>
            </w:tcBorders>
            <w:shd w:val="clear" w:color="auto" w:fill="CFF0FC"/>
          </w:tcPr>
          <w:p>
            <w:pPr>
              <w:jc w:val="right"/>
              <w:ind w:right="195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2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520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Liabilities, Redeemable Non-controlling Interest, and</w:t>
            </w:r>
          </w:p>
        </w:tc>
        <w:tc>
          <w:tcPr>
            <w:tcW w:w="2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2320" w:type="dxa"/>
            <w:vAlign w:val="bottom"/>
            <w:gridSpan w:val="2"/>
          </w:tcPr>
          <w:p>
            <w:pPr>
              <w:jc w:val="right"/>
              <w:ind w:right="195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FF0FC"/>
          </w:tcPr>
          <w:p>
            <w:pPr>
              <w:spacing w:after="0"/>
              <w:rPr>
                <w:sz w:val="18"/>
                <w:szCs w:val="18"/>
                <w:color w:val="auto"/>
              </w:rPr>
            </w:pPr>
          </w:p>
        </w:tc>
        <w:tc>
          <w:tcPr>
            <w:tcW w:w="2120" w:type="dxa"/>
            <w:vAlign w:val="bottom"/>
            <w:tcBorders>
              <w:top w:val="single" w:sz="8" w:color="auto"/>
              <w:bottom w:val="single" w:sz="8" w:color="auto"/>
            </w:tcBorders>
            <w:shd w:val="clear" w:color="auto" w:fill="CFF0FC"/>
          </w:tcPr>
          <w:p>
            <w:pPr>
              <w:spacing w:after="0"/>
              <w:rPr>
                <w:sz w:val="18"/>
                <w:szCs w:val="18"/>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2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2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Borders>
              <w:top w:val="single" w:sz="8" w:color="CFF0FC"/>
            </w:tcBorders>
          </w:tcPr>
          <w:p>
            <w:pPr>
              <w:spacing w:after="0"/>
              <w:rPr>
                <w:sz w:val="18"/>
                <w:szCs w:val="18"/>
                <w:color w:val="auto"/>
              </w:rPr>
            </w:pPr>
          </w:p>
        </w:tc>
        <w:tc>
          <w:tcPr>
            <w:tcW w:w="2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4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20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 shares authorized as of</w:t>
            </w:r>
          </w:p>
        </w:tc>
        <w:tc>
          <w:tcPr>
            <w:tcW w:w="200" w:type="dxa"/>
            <w:vAlign w:val="bottom"/>
            <w:shd w:val="clear" w:color="auto" w:fill="CFF0FC"/>
          </w:tcPr>
          <w:p>
            <w:pPr>
              <w:spacing w:after="0"/>
              <w:rPr>
                <w:sz w:val="17"/>
                <w:szCs w:val="17"/>
                <w:color w:val="auto"/>
              </w:rPr>
            </w:pPr>
          </w:p>
        </w:tc>
        <w:tc>
          <w:tcPr>
            <w:tcW w:w="2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September 30, 2025 and December 31, 2024; No shares issued and</w:t>
            </w: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outstanding as of September 30, 2025 and December 31, 2024</w:t>
            </w:r>
          </w:p>
        </w:tc>
        <w:tc>
          <w:tcPr>
            <w:tcW w:w="200" w:type="dxa"/>
            <w:vAlign w:val="bottom"/>
            <w:shd w:val="clear" w:color="auto" w:fill="CFF0FC"/>
          </w:tcPr>
          <w:p>
            <w:pPr>
              <w:spacing w:after="0"/>
              <w:rPr>
                <w:sz w:val="20"/>
                <w:szCs w:val="20"/>
                <w:color w:val="auto"/>
              </w:rPr>
            </w:pPr>
          </w:p>
        </w:tc>
        <w:tc>
          <w:tcPr>
            <w:tcW w:w="212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2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$0.0001 par value: 3,000,000 shares authorized as</w:t>
            </w:r>
          </w:p>
        </w:tc>
        <w:tc>
          <w:tcPr>
            <w:tcW w:w="2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September 30, 2025 and December 31, 2024; 26,683 and 26,299</w:t>
            </w: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issued and outstanding as of September 30, 2025 and</w:t>
            </w: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2024, respectively</w:t>
            </w:r>
          </w:p>
        </w:tc>
        <w:tc>
          <w:tcPr>
            <w:tcW w:w="2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3,482</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(3,341)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(3,330)</w:t>
            </w:r>
          </w:p>
        </w:tc>
        <w:tc>
          <w:tcPr>
            <w:tcW w:w="0" w:type="dxa"/>
            <w:vAlign w:val="bottom"/>
          </w:tcPr>
          <w:p>
            <w:pPr>
              <w:spacing w:after="0"/>
              <w:rPr>
                <w:sz w:val="1"/>
                <w:szCs w:val="1"/>
                <w:color w:val="auto"/>
              </w:rPr>
            </w:pPr>
          </w:p>
        </w:tc>
      </w:tr>
      <w:tr>
        <w:trPr>
          <w:trHeight w:val="210"/>
        </w:trPr>
        <w:tc>
          <w:tcPr>
            <w:tcW w:w="5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Borders>
              <w:bottom w:val="single" w:sz="8" w:color="CFF0FC"/>
            </w:tcBorders>
            <w:shd w:val="clear" w:color="auto" w:fill="CFF0FC"/>
          </w:tcPr>
          <w:p>
            <w:pPr>
              <w:spacing w:after="0"/>
              <w:rPr>
                <w:sz w:val="18"/>
                <w:szCs w:val="18"/>
                <w:color w:val="auto"/>
              </w:rPr>
            </w:pPr>
          </w:p>
        </w:tc>
        <w:tc>
          <w:tcPr>
            <w:tcW w:w="2120" w:type="dxa"/>
            <w:vAlign w:val="bottom"/>
            <w:tcBorders>
              <w:top w:val="single" w:sz="8" w:color="auto"/>
              <w:bottom w:val="single" w:sz="8" w:color="auto"/>
            </w:tcBorders>
            <w:shd w:val="clear" w:color="auto" w:fill="CFF0FC"/>
          </w:tcPr>
          <w:p>
            <w:pPr>
              <w:spacing w:after="0"/>
              <w:rPr>
                <w:sz w:val="18"/>
                <w:szCs w:val="18"/>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2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2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Total liabilities, redeemable non-controlling interest, and</w:t>
            </w:r>
          </w:p>
        </w:tc>
        <w:tc>
          <w:tcPr>
            <w:tcW w:w="2320" w:type="dxa"/>
            <w:vAlign w:val="bottom"/>
            <w:gridSpan w:val="2"/>
            <w:vMerge w:val="restart"/>
          </w:tcPr>
          <w:p>
            <w:pPr>
              <w:jc w:val="right"/>
              <w:ind w:right="195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20" w:type="dxa"/>
            <w:vAlign w:val="bottom"/>
          </w:tcPr>
          <w:p>
            <w:pPr>
              <w:spacing w:after="0"/>
              <w:rPr>
                <w:sz w:val="16"/>
                <w:szCs w:val="16"/>
                <w:color w:val="auto"/>
              </w:rPr>
            </w:pPr>
          </w:p>
        </w:tc>
        <w:tc>
          <w:tcPr>
            <w:tcW w:w="500" w:type="dxa"/>
            <w:vAlign w:val="bottom"/>
            <w:gridSpan w:val="2"/>
            <w:vMerge w:val="restart"/>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2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stockholders’ equity</w:t>
            </w:r>
          </w:p>
        </w:tc>
        <w:tc>
          <w:tcPr>
            <w:tcW w:w="2320" w:type="dxa"/>
            <w:vAlign w:val="bottom"/>
            <w:gridSpan w:val="2"/>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2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5"/>
        </w:trPr>
        <w:tc>
          <w:tcPr>
            <w:tcW w:w="5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-3882390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-3882390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-3590925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-3574415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-3736975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-3590925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-3574415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-3736975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5084445</wp:posOffset>
            </wp:positionH>
            <wp:positionV relativeFrom="paragraph">
              <wp:posOffset>-2883535</wp:posOffset>
            </wp:positionV>
            <wp:extent cx="93980"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-2883535</wp:posOffset>
            </wp:positionV>
            <wp:extent cx="93980" cy="179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-2580005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-2580005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-1053465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ContextLogic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Operations</w:t>
      </w:r>
    </w:p>
    <w:p>
      <w:pPr>
        <w:jc w:val="center"/>
        <w:spacing w:after="0"/>
        <w:rPr>
          <w:sz w:val="20"/>
          <w:szCs w:val="20"/>
          <w:color w:val="auto"/>
        </w:rPr>
      </w:pPr>
      <w:r>
        <w:rPr>
          <w:rFonts w:ascii="Times New Roman" w:cs="Times New Roman" w:eastAsia="Times New Roman" w:hAnsi="Times New Roman"/>
          <w:sz w:val="20"/>
          <w:szCs w:val="20"/>
          <w:b w:val="1"/>
          <w:bCs w:val="1"/>
          <w:color w:val="auto"/>
        </w:rPr>
        <w:t>($ in millions, shares in thousands, except per share data)</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20" w:type="dxa"/>
            <w:vAlign w:val="bottom"/>
            <w:gridSpan w:val="5"/>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0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5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2025</w:t>
            </w:r>
          </w:p>
        </w:tc>
        <w:tc>
          <w:tcPr>
            <w:tcW w:w="2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development</w:t>
            </w:r>
          </w:p>
        </w:tc>
        <w:tc>
          <w:tcPr>
            <w:tcW w:w="28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w:t>
            </w:r>
          </w:p>
        </w:tc>
        <w:tc>
          <w:tcPr>
            <w:tcW w:w="4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Asset Sale</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4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4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5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Adjustments attributable to redeemable non-controlling interest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4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redeemable non-controlling interest</w:t>
            </w:r>
          </w:p>
        </w:tc>
        <w:tc>
          <w:tcPr>
            <w:tcW w:w="2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16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w:t>
            </w:r>
          </w:p>
        </w:tc>
        <w:tc>
          <w:tcPr>
            <w:tcW w:w="280" w:type="dxa"/>
            <w:vAlign w:val="bottom"/>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(0.07)</w:t>
            </w:r>
          </w:p>
        </w:tc>
        <w:tc>
          <w:tcPr>
            <w:tcW w:w="440" w:type="dxa"/>
            <w:vAlign w:val="bottom"/>
            <w:vMerge w:val="restart"/>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c>
          <w:tcPr>
            <w:tcW w:w="38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(0.57)</w:t>
            </w:r>
          </w:p>
        </w:tc>
        <w:tc>
          <w:tcPr>
            <w:tcW w:w="460" w:type="dxa"/>
            <w:vAlign w:val="bottom"/>
            <w:vMerge w:val="restart"/>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34"/>
        </w:trPr>
        <w:tc>
          <w:tcPr>
            <w:tcW w:w="516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diluted</w:t>
            </w:r>
          </w:p>
        </w:tc>
        <w:tc>
          <w:tcPr>
            <w:tcW w:w="280" w:type="dxa"/>
            <w:vAlign w:val="bottom"/>
            <w:vMerge w:val="continue"/>
            <w:shd w:val="clear" w:color="auto" w:fill="CFF0FC"/>
          </w:tcPr>
          <w:p>
            <w:pPr>
              <w:spacing w:after="0"/>
              <w:rPr>
                <w:sz w:val="20"/>
                <w:szCs w:val="20"/>
                <w:color w:val="auto"/>
              </w:rPr>
            </w:pPr>
          </w:p>
        </w:tc>
        <w:tc>
          <w:tcPr>
            <w:tcW w:w="1260" w:type="dxa"/>
            <w:vAlign w:val="bottom"/>
            <w:gridSpan w:val="2"/>
            <w:vMerge w:val="continue"/>
            <w:shd w:val="clear" w:color="auto" w:fill="CFF0FC"/>
          </w:tcPr>
          <w:p>
            <w:pPr>
              <w:spacing w:after="0"/>
              <w:rPr>
                <w:sz w:val="20"/>
                <w:szCs w:val="20"/>
                <w:color w:val="auto"/>
              </w:rPr>
            </w:pPr>
          </w:p>
        </w:tc>
        <w:tc>
          <w:tcPr>
            <w:tcW w:w="440" w:type="dxa"/>
            <w:vAlign w:val="bottom"/>
            <w:vMerge w:val="continue"/>
            <w:shd w:val="clear" w:color="auto" w:fill="CFF0FC"/>
          </w:tcPr>
          <w:p>
            <w:pPr>
              <w:spacing w:after="0"/>
              <w:rPr>
                <w:sz w:val="20"/>
                <w:szCs w:val="20"/>
                <w:color w:val="auto"/>
              </w:rPr>
            </w:pPr>
          </w:p>
        </w:tc>
        <w:tc>
          <w:tcPr>
            <w:tcW w:w="1020" w:type="dxa"/>
            <w:vAlign w:val="bottom"/>
            <w:gridSpan w:val="2"/>
            <w:vMerge w:val="continue"/>
            <w:shd w:val="clear" w:color="auto" w:fill="CFF0FC"/>
          </w:tcPr>
          <w:p>
            <w:pPr>
              <w:spacing w:after="0"/>
              <w:rPr>
                <w:sz w:val="20"/>
                <w:szCs w:val="20"/>
                <w:color w:val="auto"/>
              </w:rPr>
            </w:pPr>
          </w:p>
        </w:tc>
        <w:tc>
          <w:tcPr>
            <w:tcW w:w="380" w:type="dxa"/>
            <w:vAlign w:val="bottom"/>
            <w:gridSpan w:val="2"/>
            <w:vMerge w:val="continue"/>
            <w:shd w:val="clear" w:color="auto" w:fill="CFF0FC"/>
          </w:tcPr>
          <w:p>
            <w:pPr>
              <w:spacing w:after="0"/>
              <w:rPr>
                <w:sz w:val="20"/>
                <w:szCs w:val="20"/>
                <w:color w:val="auto"/>
              </w:rPr>
            </w:pPr>
          </w:p>
        </w:tc>
        <w:tc>
          <w:tcPr>
            <w:tcW w:w="1260" w:type="dxa"/>
            <w:vAlign w:val="bottom"/>
            <w:gridSpan w:val="2"/>
            <w:vMerge w:val="continue"/>
            <w:shd w:val="clear" w:color="auto" w:fill="CFF0FC"/>
          </w:tcPr>
          <w:p>
            <w:pPr>
              <w:spacing w:after="0"/>
              <w:rPr>
                <w:sz w:val="20"/>
                <w:szCs w:val="20"/>
                <w:color w:val="auto"/>
              </w:rPr>
            </w:pPr>
          </w:p>
        </w:tc>
        <w:tc>
          <w:tcPr>
            <w:tcW w:w="460" w:type="dxa"/>
            <w:vAlign w:val="bottom"/>
            <w:vMerge w:val="continue"/>
            <w:shd w:val="clear" w:color="auto" w:fill="CFF0FC"/>
          </w:tcPr>
          <w:p>
            <w:pPr>
              <w:spacing w:after="0"/>
              <w:rPr>
                <w:sz w:val="20"/>
                <w:szCs w:val="20"/>
                <w:color w:val="auto"/>
              </w:rPr>
            </w:pPr>
          </w:p>
        </w:tc>
        <w:tc>
          <w:tcPr>
            <w:tcW w:w="98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16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w:t>
            </w: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26,683</w:t>
            </w:r>
          </w:p>
        </w:tc>
        <w:tc>
          <w:tcPr>
            <w:tcW w:w="260" w:type="dxa"/>
            <w:vAlign w:val="bottom"/>
            <w:tcBorders>
              <w:top w:val="single" w:sz="8" w:color="CFF0FC"/>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26,280</w:t>
            </w:r>
          </w:p>
        </w:tc>
        <w:tc>
          <w:tcPr>
            <w:tcW w:w="16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26,532</w:t>
            </w:r>
          </w:p>
        </w:tc>
        <w:tc>
          <w:tcPr>
            <w:tcW w:w="240" w:type="dxa"/>
            <w:vAlign w:val="bottom"/>
            <w:tcBorders>
              <w:top w:val="single" w:sz="8" w:color="CFF0FC"/>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25,488</w:t>
            </w: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1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attributable to common stockholders, basic and diluted</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5"/>
        </w:trPr>
        <w:tc>
          <w:tcPr>
            <w:tcW w:w="5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-3462655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-3462655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-3462655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-3462655</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-2905125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-2905125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-2905125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-2905125</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-1774190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-1774190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-1774190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-1774190</wp:posOffset>
            </wp:positionV>
            <wp:extent cx="774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-1490980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-1490980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-1490980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-1490980</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-1071245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-1053465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-1071245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-1053465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-1071245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-1053465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-1071245</wp:posOffset>
            </wp:positionV>
            <wp:extent cx="77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-1053465</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ContextLogic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20"/>
          <w:szCs w:val="20"/>
          <w:b w:val="1"/>
          <w:bCs w:val="1"/>
          <w:color w:val="auto"/>
        </w:rPr>
        <w:t>(in millions)</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200" w:type="dxa"/>
            <w:vAlign w:val="bottom"/>
            <w:gridSpan w:val="2"/>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8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7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and adjustment attributable to redeemable non-controlling interest</w:t>
            </w:r>
          </w:p>
        </w:tc>
        <w:tc>
          <w:tcPr>
            <w:tcW w:w="12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7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lease expense</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accretion of discounts and premiums on marketable securities</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Asset Sale</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7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Merchants payable</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and refund liabilities</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7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and noncurrent liabilities</w:t>
            </w:r>
          </w:p>
        </w:tc>
        <w:tc>
          <w:tcPr>
            <w:tcW w:w="1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0"/>
        </w:trPr>
        <w:tc>
          <w:tcPr>
            <w:tcW w:w="72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tcBorders>
              <w:top w:val="single" w:sz="8" w:color="CFF0FC"/>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disposed on Asset Sale, net of proceeds</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7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of marketable securities</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1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0"/>
        </w:trPr>
        <w:tc>
          <w:tcPr>
            <w:tcW w:w="72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tcBorders>
              <w:top w:val="single" w:sz="8" w:color="CFF0FC"/>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issuance of redeemable convertible Preferred Units, net</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taxes related to RSU settlement</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2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effects on cash, cash equivalents and restricted cash</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200" w:type="dxa"/>
            <w:vAlign w:val="bottom"/>
            <w:gridSpan w:val="2"/>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7200" w:type="dxa"/>
            <w:vAlign w:val="bottom"/>
            <w:tcBorders>
              <w:top w:val="single" w:sz="8" w:color="CFF0FC"/>
            </w:tcBorders>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 to the condensed consolidated</w:t>
            </w:r>
          </w:p>
        </w:tc>
        <w:tc>
          <w:tcPr>
            <w:tcW w:w="120" w:type="dxa"/>
            <w:vAlign w:val="bottom"/>
            <w:tcBorders>
              <w:top w:val="single" w:sz="8" w:color="CFF0FC"/>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sheets:</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0" w:type="dxa"/>
            <w:vAlign w:val="bottom"/>
            <w:gridSpan w:val="2"/>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Restricted cash included in prepaid and other current assets in the condensed consolidated balance</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sheets</w:t>
            </w:r>
          </w:p>
        </w:tc>
        <w:tc>
          <w:tcPr>
            <w:tcW w:w="1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200" w:type="dxa"/>
            <w:vAlign w:val="bottom"/>
            <w:gridSpan w:val="2"/>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2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cash flow disclosures:</w:t>
            </w:r>
          </w:p>
        </w:tc>
        <w:tc>
          <w:tcPr>
            <w:tcW w:w="120" w:type="dxa"/>
            <w:vAlign w:val="bottom"/>
            <w:tcBorders>
              <w:top w:val="single" w:sz="8" w:color="CFF0FC"/>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paid for operating leases</w:t>
            </w:r>
          </w:p>
        </w:tc>
        <w:tc>
          <w:tcPr>
            <w:tcW w:w="1200" w:type="dxa"/>
            <w:vAlign w:val="bottom"/>
            <w:gridSpan w:val="2"/>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income taxes, net of refunds</w:t>
            </w:r>
          </w:p>
        </w:tc>
        <w:tc>
          <w:tcPr>
            <w:tcW w:w="1200" w:type="dxa"/>
            <w:vAlign w:val="bottom"/>
            <w:gridSpan w:val="2"/>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77"/>
        </w:trPr>
        <w:tc>
          <w:tcPr>
            <w:tcW w:w="7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-5974080</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-5974080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-4036695</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-4036695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-3196590</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-3196590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5753100</wp:posOffset>
            </wp:positionH>
            <wp:positionV relativeFrom="paragraph">
              <wp:posOffset>-2789555</wp:posOffset>
            </wp:positionV>
            <wp:extent cx="102870" cy="1797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-2056765</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-2039620</wp:posOffset>
            </wp:positionV>
            <wp:extent cx="774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-2056765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-2039620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-1207770</wp:posOffset>
            </wp:positionV>
            <wp:extent cx="77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-1190625</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b w:val="1"/>
          <w:bCs w:val="1"/>
          <w:color w:val="auto"/>
        </w:rPr>
        <w:t>Contacts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Relations: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Lucy Simon, CLHI</w:t>
      </w:r>
    </w:p>
    <w:p>
      <w:pPr>
        <w:spacing w:after="0"/>
        <w:rPr>
          <w:sz w:val="20"/>
          <w:szCs w:val="20"/>
          <w:color w:val="auto"/>
        </w:rPr>
      </w:pPr>
      <w:r>
        <w:rPr>
          <w:rFonts w:ascii="Times New Roman" w:cs="Times New Roman" w:eastAsia="Times New Roman" w:hAnsi="Times New Roman"/>
          <w:sz w:val="19"/>
          <w:szCs w:val="19"/>
          <w:color w:val="auto"/>
        </w:rPr>
        <w:t>ir@contextlogic.com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852170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77" w:right="1440"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2025-11-19T12:29:37Z</dcterms:created>
  <dcterms:modified xsi:type="dcterms:W3CDTF">2025-11-19T12:29:37Z</dcterms:modified>
</cp:coreProperties>
</file>