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ContextLogic Holdings Inc.</w:t>
      </w:r>
    </w:p>
    <w:p>
      <w:pPr>
        <w:spacing w:after="0" w:line="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1060" w:type="dxa"/>
        <w:tblCellMar>
          <w:top w:w="0" w:type="dxa"/>
          <w:left w:w="0" w:type="dxa"/>
          <w:bottom w:w="0" w:type="dxa"/>
          <w:right w:w="0" w:type="dxa"/>
        </w:tblCellMar>
      </w:tblPr>
      <w:tr>
        <w:trPr>
          <w:trHeight w:val="222"/>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000-56773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27-2930953</w:t>
            </w:r>
          </w:p>
        </w:tc>
      </w:tr>
      <w:tr>
        <w:trPr>
          <w:trHeight w:val="14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2648 International Blvd., Ste 301</w:t>
            </w:r>
          </w:p>
        </w:tc>
        <w:tc>
          <w:tcPr>
            <w:tcW w:w="32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rPr>
              <w:t>Oakland, California</w:t>
            </w:r>
          </w:p>
        </w:tc>
        <w:tc>
          <w:tcPr>
            <w:tcW w:w="32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94601</w:t>
            </w:r>
          </w:p>
        </w:tc>
      </w:tr>
      <w:tr>
        <w:trPr>
          <w:trHeight w:val="178"/>
        </w:trPr>
        <w:tc>
          <w:tcPr>
            <w:tcW w:w="316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965-8476</w:t>
      </w:r>
    </w:p>
    <w:p>
      <w:pPr>
        <w:spacing w:after="0" w:line="38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11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5"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56"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20" w:firstLine="599"/>
        <w:spacing w:after="0" w:line="282" w:lineRule="auto"/>
        <w:rPr>
          <w:sz w:val="20"/>
          <w:szCs w:val="20"/>
          <w:color w:val="auto"/>
        </w:rPr>
      </w:pPr>
      <w:r>
        <w:rPr>
          <w:rFonts w:ascii="Times New Roman" w:cs="Times New Roman" w:eastAsia="Times New Roman" w:hAnsi="Times New Roman"/>
          <w:sz w:val="18"/>
          <w:szCs w:val="18"/>
          <w:color w:val="auto"/>
        </w:rPr>
        <w:t>On May 15, 2026, ContextLogic Holdings Inc. (the “Company”) issued a press release announcing the Company’s financial results for the first quarter ended March 31, 2026. A copy of the Company’s press release is attached hereto as Exhibit 99.1.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ind w:firstLine="599"/>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2.02 above and in Exhibit 99.1 to this Current Report on Form 8-K is incorporated herein by reference. The Company announces material information to the public about the Company and other matters through a variety of means, including filings with the Securities and Exchange Commission, press releases, public conference calls, and the investor relations section of its website (ir.contextlogic.com) in order to achieve broad, non-exclusionary distribution of information to the public and for complying with its disclosure obligations under Regulation FD.</w:t>
      </w:r>
    </w:p>
    <w:p>
      <w:pPr>
        <w:spacing w:after="0" w:line="126" w:lineRule="exact"/>
        <w:rPr>
          <w:sz w:val="20"/>
          <w:szCs w:val="20"/>
          <w:color w:val="auto"/>
        </w:rPr>
      </w:pPr>
    </w:p>
    <w:p>
      <w:pPr>
        <w:jc w:val="both"/>
        <w:ind w:firstLine="599"/>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2.02 and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800"/>
        <w:spacing w:after="0"/>
        <w:tabs>
          <w:tab w:leader="none" w:pos="17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9" w:lineRule="exact"/>
        <w:rPr>
          <w:sz w:val="20"/>
          <w:szCs w:val="20"/>
          <w:color w:val="auto"/>
        </w:rPr>
      </w:pPr>
    </w:p>
    <w:p>
      <w:pPr>
        <w:ind w:left="1080"/>
        <w:spacing w:after="0"/>
        <w:tabs>
          <w:tab w:leader="none" w:pos="17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ContextLogic Holdings Inc. on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3603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3625" cy="8890"/>
                    </a:xfrm>
                    <a:prstGeom prst="rect">
                      <a:avLst/>
                    </a:prstGeom>
                    <a:noFill/>
                  </pic:spPr>
                </pic:pic>
              </a:graphicData>
            </a:graphic>
          </wp:anchor>
        </w:drawing>
      </w:r>
    </w:p>
    <w:p>
      <w:pPr>
        <w:ind w:left="1100"/>
        <w:spacing w:after="0"/>
        <w:tabs>
          <w:tab w:leader="none" w:pos="1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ContextLogic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15, 2026</w:t>
      </w:r>
      <w:r>
        <w:rPr>
          <w:sz w:val="20"/>
          <w:szCs w:val="20"/>
          <w:color w:val="auto"/>
        </w:rPr>
        <w:tab/>
      </w:r>
      <w:r>
        <w:rPr>
          <w:rFonts w:ascii="Times New Roman" w:cs="Times New Roman" w:eastAsia="Times New Roman" w:hAnsi="Times New Roman"/>
          <w:sz w:val="18"/>
          <w:szCs w:val="18"/>
          <w:color w:val="auto"/>
        </w:rPr>
        <w:t>By:</w:t>
        <w:tab/>
        <w:t>/s/ Mark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Ward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81"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 Reports First-Quarter 2026 Financial Results</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OAKLAND, Calif., May 15, 2026 (</w:t>
      </w:r>
      <w:r>
        <w:rPr>
          <w:rFonts w:ascii="Times New Roman" w:cs="Times New Roman" w:eastAsia="Times New Roman" w:hAnsi="Times New Roman"/>
          <w:sz w:val="20"/>
          <w:szCs w:val="20"/>
          <w:color w:val="152934"/>
        </w:rPr>
        <w:t>GLOBE NEWSWIRE</w:t>
      </w:r>
      <w:r>
        <w:rPr>
          <w:rFonts w:ascii="Times New Roman" w:cs="Times New Roman" w:eastAsia="Times New Roman" w:hAnsi="Times New Roman"/>
          <w:sz w:val="20"/>
          <w:szCs w:val="20"/>
          <w:color w:val="auto"/>
        </w:rPr>
        <w:t>) -- ContextLogic Holdings Inc. (OTCQB: LOGC) (“ContextLogic,” the “Company,” “we” or “our”) today reported its financial results for the first quarter ended March 31,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ContextLogic completed the acquisition of US Salt on February 26, 2026. To reflect the basis difference as a result of the US Salt acquisition, GAAP results for the first quarter of 2026 are presented in two parts: the period from January 1, 2026 through February 26, 2026 (“Predecessor”), reflecting legacy US Salt, and the period from February 27, 2026 through March 31, 2026 (“Successor”), reflecting ContextLogic Holdings Inc. and US Salt on a consolidated basis. To provide comparable period-over-period information, the Company also presents “Combined” results, a non-GAAP measure that aggregates the Predecessor and Successor periods. See footnote 1 to the table below for additional detail.</w:t>
      </w:r>
    </w:p>
    <w:p>
      <w:pPr>
        <w:spacing w:after="0" w:line="19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Note that “CLHI Corporate” refers to public company and parent-level items of ContextLogic Holdings Inc., distinct and separate from the operating results of US Salt.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2026 Results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Combined non-GAAP revenue for the first quarter of 2026 was $32.4 million, essentially flat compared to $32.3 million in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2025. Shipped volumes of 102.4 thousand tons declined 7% from 110.2 thousand tons in the prior-year quarter, reflecting trucking disruptions related to winter storms and temporary operational interruptions at our Watkins Glen facility. The volume decline was offset by 8% growth in average selling price (ASP), driven by price increases and product mix shift.</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Net Income: </w:t>
      </w:r>
      <w:r>
        <w:rPr>
          <w:rFonts w:ascii="Times New Roman" w:cs="Times New Roman" w:eastAsia="Times New Roman" w:hAnsi="Times New Roman"/>
          <w:sz w:val="19"/>
          <w:szCs w:val="19"/>
          <w:color w:val="auto"/>
        </w:rPr>
        <w:t>Combined non-GAAP net income for the first quarter of 2026 was $17.0 million, an increase of $14.1 million compared to $2.9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million in the first quarter of 2025. The increase was driven by a $41.9 million discrete tax benefit related to the US Salt acquisition, partially offset by CLHI Corporate costs, including transaction expenses and general and administrative expenses incurred at the parent level.</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Adjusted EBITDA: </w:t>
      </w:r>
      <w:r>
        <w:rPr>
          <w:rFonts w:ascii="Times New Roman" w:cs="Times New Roman" w:eastAsia="Times New Roman" w:hAnsi="Times New Roman"/>
          <w:sz w:val="20"/>
          <w:szCs w:val="20"/>
          <w:color w:val="auto"/>
        </w:rPr>
        <w:t>Combined non-GAAP adjusted EBITDA for the first quarter of 2026 was $11.6 million, a decrease of $0.9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$12.5 million in the prior-year quarter. The decline reflects approximately $1 million of CLHI Corporate costs that were not present in the comparable period.</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Free Cash Flow: </w:t>
      </w:r>
      <w:r>
        <w:rPr>
          <w:rFonts w:ascii="Times New Roman" w:cs="Times New Roman" w:eastAsia="Times New Roman" w:hAnsi="Times New Roman"/>
          <w:sz w:val="20"/>
          <w:szCs w:val="20"/>
          <w:color w:val="auto"/>
        </w:rPr>
        <w:t>Cash flow from operations, net of capital expenditures, was ($20.6) million for the Combined first quarter of 2026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$1.3 million in the prior-year quarter. The decline reflects significant transaction expenses related to the US Salt acquisition.</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Outstanding Equity: </w:t>
      </w:r>
      <w:r>
        <w:rPr>
          <w:rFonts w:ascii="Times New Roman" w:cs="Times New Roman" w:eastAsia="Times New Roman" w:hAnsi="Times New Roman"/>
          <w:sz w:val="20"/>
          <w:szCs w:val="20"/>
          <w:color w:val="auto"/>
        </w:rPr>
        <w:t>During the period from February 27, 2026 through March 31, 2026 (Successor), there were 101,603,689 weighted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average units outstanding at ContextLogic Holdings, LLC, the Company's consolidated subsidiary that holds the operating businesses. Of these, 45,675,557 units were held by ContextLogic Holdings Inc. (equivalent to the weighted average common shares outstanding of the public company), and the remaining 55,928,132 units were held by other holders of LLC units.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first quarter of 2026, we experienced temporary operational disruptions at our Watkins Glen facility, which have since been resolved and are consistent with the normal variability of plant operations,” said David Sugarman, CEO of US Salt.</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first quarter of 2026 marks an important milestone for ContextLogic Holdings as we report our first results following the acquisition of US Salt. US Salt exemplifies the type of business we are building this platform around — a niche, vertically integrated operation with a 130-year history, durable competitive advantages, and a management team whose interests are aligned with shareholders,” said Mark Ward, President of ContextLogic. “We remain focused in our pursuit of additional opportunities that meet our criteria for quality, longevity, and alignment, and we measure our success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long-term free cash flow per share growth.”</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22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87"/>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 from February</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 from January 1,</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Combined Three</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27, 2026 to March 31,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2026 to February 26,</w:t>
            </w:r>
          </w:p>
        </w:tc>
        <w:tc>
          <w:tcPr>
            <w:tcW w:w="220" w:type="dxa"/>
            <w:vAlign w:val="bottom"/>
          </w:tcPr>
          <w:p>
            <w:pPr>
              <w:spacing w:after="0"/>
              <w:rPr>
                <w:sz w:val="17"/>
                <w:szCs w:val="17"/>
                <w:color w:val="auto"/>
              </w:rPr>
            </w:pPr>
          </w:p>
        </w:tc>
        <w:tc>
          <w:tcPr>
            <w:tcW w:w="2020" w:type="dxa"/>
            <w:vAlign w:val="bottom"/>
            <w:gridSpan w:val="3"/>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Months Ended March</w:t>
            </w:r>
          </w:p>
        </w:tc>
        <w:tc>
          <w:tcPr>
            <w:tcW w:w="198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8"/>
        </w:trPr>
        <w:tc>
          <w:tcPr>
            <w:tcW w:w="2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jc w:val="center"/>
              <w:ind w:right="90"/>
              <w:spacing w:after="0" w:line="258" w:lineRule="exact"/>
              <w:rPr>
                <w:sz w:val="20"/>
                <w:szCs w:val="20"/>
                <w:color w:val="auto"/>
              </w:rPr>
            </w:pPr>
            <w:r>
              <w:rPr>
                <w:rFonts w:ascii="Times New Roman" w:cs="Times New Roman" w:eastAsia="Times New Roman" w:hAnsi="Times New Roman"/>
                <w:sz w:val="18"/>
                <w:szCs w:val="18"/>
                <w:b w:val="1"/>
                <w:bCs w:val="1"/>
                <w:color w:val="auto"/>
                <w:w w:val="95"/>
              </w:rPr>
              <w:t>31, 2026</w:t>
            </w:r>
            <w:r>
              <w:rPr>
                <w:rFonts w:ascii="Times New Roman" w:cs="Times New Roman" w:eastAsia="Times New Roman" w:hAnsi="Times New Roman"/>
                <w:sz w:val="24"/>
                <w:szCs w:val="24"/>
                <w:b w:val="1"/>
                <w:bCs w:val="1"/>
                <w:color w:val="auto"/>
                <w:w w:val="95"/>
                <w:vertAlign w:val="superscript"/>
              </w:rPr>
              <w:t>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18"/>
                <w:szCs w:val="18"/>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Expenses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r>
      <w:tr>
        <w:trPr>
          <w:trHeight w:val="216"/>
        </w:trPr>
        <w:tc>
          <w:tcPr>
            <w:tcW w:w="2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4"/>
                <w:szCs w:val="24"/>
                <w:color w:val="auto"/>
                <w:vertAlign w:val="superscript"/>
              </w:rPr>
              <w:t>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18"/>
                <w:szCs w:val="18"/>
                <w:color w:val="auto"/>
              </w:rPr>
            </w:pPr>
          </w:p>
        </w:tc>
      </w:tr>
      <w:tr>
        <w:trPr>
          <w:trHeight w:val="31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4"/>
                <w:szCs w:val="24"/>
                <w:color w:val="auto"/>
              </w:rPr>
            </w:pPr>
          </w:p>
        </w:tc>
      </w:tr>
      <w:tr>
        <w:trPr>
          <w:trHeight w:val="331"/>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Items: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CLHI Corporate G&amp;A</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CLHI Corporate Transaction Expenses</w:t>
            </w:r>
            <w:r>
              <w:rPr>
                <w:rFonts w:ascii="Times New Roman" w:cs="Times New Roman" w:eastAsia="Times New Roman" w:hAnsi="Times New Roman"/>
                <w:sz w:val="24"/>
                <w:szCs w:val="24"/>
                <w:color w:val="auto"/>
                <w:vertAlign w:val="superscript"/>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CLHI Depreciation and Amortization</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CLHI Corporate Tax Benefit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298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CLHI Adjusting Expense Items for</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4"/>
        </w:trPr>
        <w:tc>
          <w:tcPr>
            <w:tcW w:w="298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4</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2"/>
                <w:szCs w:val="22"/>
                <w:color w:val="auto"/>
              </w:rPr>
            </w:pPr>
          </w:p>
        </w:tc>
        <w:tc>
          <w:tcPr>
            <w:tcW w:w="120" w:type="dxa"/>
            <w:vAlign w:val="bottom"/>
            <w:tcBorders>
              <w:right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10"/>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Ownership Information: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in thousands)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ContextLogic Weighted Average</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45,676</w:t>
            </w:r>
          </w:p>
        </w:tc>
        <w:tc>
          <w:tcPr>
            <w:tcW w:w="100" w:type="dxa"/>
            <w:vAlign w:val="bottom"/>
            <w:shd w:val="clear" w:color="auto" w:fill="CFF0FC"/>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ContextLogic Holdings, LLC Weighted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Average Units Outstanding</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101,604</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ind w:right="100" w:firstLine="8"/>
        <w:spacing w:after="0" w:line="222" w:lineRule="auto"/>
        <w:tabs>
          <w:tab w:leader="none" w:pos="12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CLHI completed the acquisition of US Salt on February 26, 2026; as such, results from February 27, 2026 through March 31, 2026 (Successor) include the Company and US Salt, consolidated, including the impacts of acquisition accounting on the asset and liability balances of US Salt. The period from January 1, 2026 through February 26, 2026 (Predecessor) and the three months ended March 31, 2025 (Predecessor) reflect legacy US Salt as the predecessor entity. To provide comparable information, the Company has presented Combined results, a non-GAAP measure that adds the period from January 1, 2026 through February 26, 2026 (Predecessor) and the period from February 27 through March 31, 2026 (Successor).</w:t>
      </w:r>
    </w:p>
    <w:p>
      <w:pPr>
        <w:ind w:right="140" w:firstLine="8"/>
        <w:spacing w:after="0" w:line="216" w:lineRule="auto"/>
        <w:tabs>
          <w:tab w:leader="none" w:pos="12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EBITDA and Adjusted EBITDA are non-GAAP financial measures. For definitions of EBITDA and Adjusted EBITDA and a reconciliation to the most directly comparable financial measures calculated in accordance with GAAP, see the schedule titled “Reconciliation of Net Income to EBITDA and Adjusted EBITDA.”</w:t>
      </w:r>
    </w:p>
    <w:p>
      <w:pPr>
        <w:ind w:left="140" w:hanging="132"/>
        <w:spacing w:after="0" w:line="216" w:lineRule="auto"/>
        <w:tabs>
          <w:tab w:leader="none" w:pos="1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CLHI Corporate Transaction expenses consist of expenses related to the US Salt acquisition.</w:t>
      </w:r>
    </w:p>
    <w:p>
      <w:pPr>
        <w:ind w:right="700" w:firstLine="8"/>
        <w:spacing w:after="0" w:line="228" w:lineRule="auto"/>
        <w:tabs>
          <w:tab w:leader="none" w:pos="12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CLHI expense included as adjustments from EBITDA to Adjusted EBITDA include Transaction Expenses of $20.5 million, estimated contingent loss related to a legal matter of $3.5 million and stock-based compensation of $0.1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Question &amp; Answer</w:t>
      </w:r>
    </w:p>
    <w:p>
      <w:pPr>
        <w:spacing w:after="0" w:line="23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The Company invites stockholders and interested parties to submit questions regarding its first quarter 2026 financial results and operating performance. Questions may be submitted via email to ir@contextlogic.com. The Company plans to prepare and share responses on our website at www.contextlogic.com by Friday, May 22, 2026.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ContextLogic Holdings Inc.</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ContextLogic Holdings Inc. is a publicly traded business ownership platform established to own a collection of niche, competitively advantaged, long-duration businesses. Each business operates with meaningful autonomy under world-class management teams whose incentives are tightly aligned with those of its shareholders, supported by a governance structure that creates direct accountability between operators and owners. For more information about ContextLogic, please visit www.contextlogic.com.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developing our pipeline of potential future acquisitions. In some cases, forward-looking statements can be identified by terms such as “anticipates,” “believes,” “could,” “estimates,” “expects,” “foresees,” “forecasts,” “guidance,” “intends” “goals,”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Important factors, risks and uncertainties that could cause actual results to differ materially from those forward-looking statements include but are not limited to: statements regarding the US Salt acquisition, the strategic alternatives considered by the Company’s board of directors, including the decisions taken thereto; future financial performance; future liquidity and operating expenditures; financial condition and results of operations; enforceability of transfer restrictions and occurrence of an ownership change with the result that ContextLogic’s ability to use its net operating losses could be severely limited; future legislation resulting in ContextLogic being unable to realize the benefits of the tax attributes; ContextLogic’s ability to make use of the existing benefits of the tax attributes because ContextLogic may not generate taxable income; the IRS’s possible challenge of the amount of the tax attributes or claim that ContextLogic experienced an ownership change, which could reduce the amount of tax attributes that ContextLogic could use;  risks related to any future acquisition of a business or assets; currently pending or future litigation; risks if we are deemed to be an investment company under the Investment Company Act of 1940; the effect of new accounting pronouncements; competitive changes in the marketplace and other characterizations of future events or circumstances; and the other important factors discussed in our most recent Annual Report on Form 10-K and any subsequent Quarterly Reports on Form 10-Q or Current Reports on Form 8-K.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these and additional risks that could affect ContextLogic’s results is included in its filings with the Securities and Exchange Commission (the “SEC”), including the Annual Report on Form 10-K for the year ended December 31, 2025, the Quarterly Report on Form 10-Q for the period ended March 31, 2026 and other reports that ContextLogic files with the SEC from time to time, which could cause actual results to vary from expectations. Any forward-looking statement made by ContextLogic in this news release speaks only as of the day on which ContextLogic makes it. ContextLogic assumes no obligation to, and does not currently intend to, update any such forward-looking statements after the date of this release.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9"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 in millions, units and shares in thousands, except par value)</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2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20" w:type="dxa"/>
            <w:vAlign w:val="bottom"/>
          </w:tcPr>
          <w:p>
            <w:pPr>
              <w:spacing w:after="0"/>
              <w:rPr>
                <w:sz w:val="17"/>
                <w:szCs w:val="17"/>
                <w:color w:val="auto"/>
              </w:rPr>
            </w:pPr>
          </w:p>
        </w:tc>
      </w:tr>
      <w:tr>
        <w:trPr>
          <w:trHeight w:val="417"/>
        </w:trPr>
        <w:tc>
          <w:tcPr>
            <w:tcW w:w="7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2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7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r>
      <w:tr>
        <w:trPr>
          <w:trHeight w:val="209"/>
        </w:trPr>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2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r>
      <w:tr>
        <w:trPr>
          <w:trHeight w:val="25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24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shd w:val="clear" w:color="auto" w:fill="CFF0FC"/>
          </w:tcPr>
          <w:p>
            <w:pPr>
              <w:spacing w:after="0"/>
              <w:rPr>
                <w:sz w:val="21"/>
                <w:szCs w:val="21"/>
                <w:color w:val="auto"/>
              </w:rPr>
            </w:pPr>
          </w:p>
        </w:tc>
      </w:tr>
      <w:tr>
        <w:trPr>
          <w:trHeight w:val="196"/>
        </w:trPr>
        <w:tc>
          <w:tcPr>
            <w:tcW w:w="73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40" w:type="dxa"/>
            <w:vAlign w:val="bottom"/>
            <w:tcBorders>
              <w:top w:val="single" w:sz="8" w:color="CFF0FC"/>
              <w:right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Pr>
          <w:p>
            <w:pPr>
              <w:spacing w:after="0"/>
              <w:rPr>
                <w:sz w:val="18"/>
                <w:szCs w:val="18"/>
                <w:color w:val="auto"/>
              </w:rPr>
            </w:pPr>
          </w:p>
        </w:tc>
      </w:tr>
      <w:tr>
        <w:trPr>
          <w:trHeight w:val="21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members equity and stockholders' equity</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240" w:type="dxa"/>
            <w:vAlign w:val="bottom"/>
            <w:tcBorders>
              <w:bottom w:val="single" w:sz="8" w:color="CFF0FC"/>
              <w:right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members' equity,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240" w:type="dxa"/>
            <w:vAlign w:val="bottom"/>
            <w:tcBorders>
              <w:right w:val="single" w:sz="8" w:color="auto"/>
            </w:tcBorders>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5"/>
        </w:trPr>
        <w:tc>
          <w:tcPr>
            <w:tcW w:w="7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-1807845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-1790700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-1807845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-1233805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-1233805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-942340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-942340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 in millions, units and shares in thousands, except per unit and share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40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5"/>
          </w:tcPr>
          <w:p>
            <w:pPr>
              <w:jc w:val="right"/>
              <w:ind w:right="1251"/>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220" w:type="dxa"/>
            <w:vAlign w:val="bottom"/>
          </w:tcPr>
          <w:p>
            <w:pPr>
              <w:spacing w:after="0"/>
              <w:rPr>
                <w:sz w:val="24"/>
                <w:szCs w:val="24"/>
                <w:color w:val="auto"/>
              </w:rPr>
            </w:pPr>
          </w:p>
        </w:tc>
        <w:tc>
          <w:tcPr>
            <w:tcW w:w="2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Period from February</w:t>
            </w:r>
          </w:p>
        </w:tc>
        <w:tc>
          <w:tcPr>
            <w:tcW w:w="120" w:type="dxa"/>
            <w:vAlign w:val="bottom"/>
            <w:tcBorders>
              <w:right w:val="single" w:sz="8" w:color="auto"/>
            </w:tcBorders>
          </w:tcPr>
          <w:p>
            <w:pPr>
              <w:spacing w:after="0"/>
              <w:rPr>
                <w:sz w:val="24"/>
                <w:szCs w:val="24"/>
                <w:color w:val="auto"/>
              </w:rPr>
            </w:pPr>
          </w:p>
        </w:tc>
        <w:tc>
          <w:tcPr>
            <w:tcW w:w="208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Period from January 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 2026 to March 31,</w:t>
            </w: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2026 to February 26,</w:t>
            </w:r>
          </w:p>
        </w:tc>
        <w:tc>
          <w:tcPr>
            <w:tcW w:w="80" w:type="dxa"/>
            <w:vAlign w:val="bottom"/>
          </w:tcPr>
          <w:p>
            <w:pPr>
              <w:spacing w:after="0"/>
              <w:rPr>
                <w:sz w:val="18"/>
                <w:szCs w:val="18"/>
                <w:color w:val="auto"/>
              </w:rPr>
            </w:pPr>
          </w:p>
        </w:tc>
        <w:tc>
          <w:tcPr>
            <w:tcW w:w="1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Ended March 31,</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140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1400" w:type="dxa"/>
            <w:vAlign w:val="bottom"/>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0" w:type="dxa"/>
            <w:vAlign w:val="bottom"/>
            <w:shd w:val="clear" w:color="auto" w:fill="CFF0FC"/>
          </w:tcPr>
          <w:p>
            <w:pPr>
              <w:jc w:val="right"/>
              <w:ind w:right="12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expense</w:t>
            </w: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Transaction expenses</w:t>
            </w:r>
          </w:p>
        </w:tc>
        <w:tc>
          <w:tcPr>
            <w:tcW w:w="14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benefit from income taxes</w:t>
            </w:r>
          </w:p>
        </w:tc>
        <w:tc>
          <w:tcPr>
            <w:tcW w:w="1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4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Pr>
          <w:p>
            <w:pPr>
              <w:jc w:val="right"/>
              <w:ind w:right="12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0" w:type="dxa"/>
            <w:vAlign w:val="bottom"/>
            <w:tcBorders>
              <w:top w:val="single" w:sz="8" w:color="auto"/>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right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 attributable to common stockholders (Successor)</w:t>
            </w:r>
          </w:p>
        </w:tc>
        <w:tc>
          <w:tcPr>
            <w:tcW w:w="14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52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220" w:type="dxa"/>
            <w:vAlign w:val="bottom"/>
            <w:tcBorders>
              <w:top w:val="single" w:sz="8" w:color="CFF0FC"/>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Net income per share attributable to common stockholders, basic</w:t>
            </w:r>
          </w:p>
        </w:tc>
        <w:tc>
          <w:tcPr>
            <w:tcW w:w="1400" w:type="dxa"/>
            <w:vAlign w:val="bottom"/>
            <w:tcBorders>
              <w:top w:val="single" w:sz="8" w:color="CFF0FC"/>
              <w:bottom w:val="single" w:sz="8" w:color="auto"/>
            </w:tcBorders>
            <w:shd w:val="clear" w:color="auto" w:fill="CFF0FC"/>
          </w:tcPr>
          <w:p>
            <w:pPr>
              <w:jc w:val="right"/>
              <w:ind w:right="123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CFF0FC"/>
              <w:bottom w:val="single" w:sz="8" w:color="auto"/>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0.33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CFF0FC"/>
            </w:tcBorders>
            <w:shd w:val="clear" w:color="auto" w:fill="CFF0FC"/>
          </w:tcPr>
          <w:p>
            <w:pPr>
              <w:spacing w:after="0"/>
              <w:rPr>
                <w:sz w:val="18"/>
                <w:szCs w:val="18"/>
                <w:color w:val="auto"/>
              </w:rPr>
            </w:pPr>
          </w:p>
        </w:tc>
        <w:tc>
          <w:tcPr>
            <w:tcW w:w="176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attributable to common stockholders, diluted</w:t>
            </w:r>
          </w:p>
        </w:tc>
        <w:tc>
          <w:tcPr>
            <w:tcW w:w="1400" w:type="dxa"/>
            <w:vAlign w:val="bottom"/>
            <w:tcBorders>
              <w:bottom w:val="single" w:sz="8" w:color="auto"/>
            </w:tcBorders>
          </w:tcPr>
          <w:p>
            <w:pPr>
              <w:jc w:val="right"/>
              <w:ind w:right="12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1400" w:type="dxa"/>
            <w:vAlign w:val="bottom"/>
            <w:shd w:val="clear" w:color="auto" w:fill="CFF0FC"/>
          </w:tcPr>
          <w:p>
            <w:pPr>
              <w:spacing w:after="0"/>
              <w:rPr>
                <w:sz w:val="15"/>
                <w:szCs w:val="15"/>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45,676</w:t>
            </w:r>
          </w:p>
        </w:tc>
        <w:tc>
          <w:tcPr>
            <w:tcW w:w="14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20" w:type="dxa"/>
            <w:vAlign w:val="bottom"/>
            <w:tcBorders>
              <w:bottom w:val="single" w:sz="8" w:color="CFF0FC"/>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attributable to common stockholders, basic</w:t>
            </w:r>
          </w:p>
        </w:tc>
        <w:tc>
          <w:tcPr>
            <w:tcW w:w="14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right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2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14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45,749</w:t>
            </w:r>
          </w:p>
        </w:tc>
        <w:tc>
          <w:tcPr>
            <w:tcW w:w="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attributable to common stockholders, diluted</w:t>
            </w:r>
          </w:p>
        </w:tc>
        <w:tc>
          <w:tcPr>
            <w:tcW w:w="1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5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4552950</wp:posOffset>
            </wp:positionH>
            <wp:positionV relativeFrom="paragraph">
              <wp:posOffset>-2978150</wp:posOffset>
            </wp:positionV>
            <wp:extent cx="10223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-2978150</wp:posOffset>
            </wp:positionV>
            <wp:extent cx="939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-2978150</wp:posOffset>
            </wp:positionV>
            <wp:extent cx="939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-2116455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-2116455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-1824990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-1508125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-1490980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-1645285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-1071245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-1053465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Data</w:t>
      </w: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320" w:type="dxa"/>
            <w:vAlign w:val="bottom"/>
            <w:tcBorders>
              <w:right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jc w:val="right"/>
              <w:ind w:right="1151"/>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440" w:type="dxa"/>
            <w:vAlign w:val="bottom"/>
          </w:tcPr>
          <w:p>
            <w:pPr>
              <w:spacing w:after="0"/>
              <w:rPr>
                <w:sz w:val="24"/>
                <w:szCs w:val="24"/>
                <w:color w:val="auto"/>
              </w:rPr>
            </w:pPr>
          </w:p>
        </w:tc>
        <w:tc>
          <w:tcPr>
            <w:tcW w:w="212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Period from February</w:t>
            </w:r>
          </w:p>
        </w:tc>
        <w:tc>
          <w:tcPr>
            <w:tcW w:w="200" w:type="dxa"/>
            <w:vAlign w:val="bottom"/>
          </w:tcPr>
          <w:p>
            <w:pPr>
              <w:spacing w:after="0"/>
              <w:rPr>
                <w:sz w:val="24"/>
                <w:szCs w:val="24"/>
                <w:color w:val="auto"/>
              </w:rPr>
            </w:pPr>
          </w:p>
        </w:tc>
        <w:tc>
          <w:tcPr>
            <w:tcW w:w="1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Period from January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212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27, 2026 to March 31,</w:t>
            </w:r>
          </w:p>
        </w:tc>
        <w:tc>
          <w:tcPr>
            <w:tcW w:w="200" w:type="dxa"/>
            <w:vAlign w:val="bottom"/>
          </w:tcPr>
          <w:p>
            <w:pPr>
              <w:spacing w:after="0"/>
              <w:rPr>
                <w:sz w:val="18"/>
                <w:szCs w:val="18"/>
                <w:color w:val="auto"/>
              </w:rPr>
            </w:pPr>
          </w:p>
        </w:tc>
        <w:tc>
          <w:tcPr>
            <w:tcW w:w="1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 2026 to February</w:t>
            </w:r>
          </w:p>
        </w:tc>
        <w:tc>
          <w:tcPr>
            <w:tcW w:w="18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26, 2026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Borders>
              <w:right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from operating</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right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income tax</w:t>
            </w: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00" w:type="dxa"/>
            <w:vAlign w:val="bottom"/>
          </w:tcPr>
          <w:p>
            <w:pPr>
              <w:spacing w:after="0"/>
              <w:rPr>
                <w:sz w:val="18"/>
                <w:szCs w:val="18"/>
                <w:color w:val="auto"/>
              </w:rPr>
            </w:pPr>
          </w:p>
        </w:tc>
        <w:tc>
          <w:tcPr>
            <w:tcW w:w="1820" w:type="dxa"/>
            <w:vAlign w:val="bottom"/>
            <w:tcBorders>
              <w:right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Unit/Stock-based compensation</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2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CFF0FC"/>
              <w:right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 of US Salt, net of cash acquired</w:t>
            </w:r>
          </w:p>
        </w:tc>
        <w:tc>
          <w:tcPr>
            <w:tcW w:w="3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(585.2)</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(585.9)</w:t>
            </w:r>
          </w:p>
        </w:tc>
        <w:tc>
          <w:tcPr>
            <w:tcW w:w="2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CFF0FC"/>
              <w:right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from the backstopped rights</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offering</w:t>
            </w:r>
          </w:p>
        </w:tc>
        <w:tc>
          <w:tcPr>
            <w:tcW w:w="3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FF0FC"/>
          </w:tcPr>
          <w:p>
            <w:pPr>
              <w:spacing w:after="0"/>
              <w:rPr>
                <w:sz w:val="20"/>
                <w:szCs w:val="20"/>
                <w:color w:val="auto"/>
              </w:rPr>
            </w:pPr>
          </w:p>
        </w:tc>
        <w:tc>
          <w:tcPr>
            <w:tcW w:w="200" w:type="dxa"/>
            <w:vAlign w:val="bottom"/>
            <w:tcBorders>
              <w:right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4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Proceeds from issuance of subsidiary membership units from the</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backstopped rights offering</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44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Proceeds from issuance of subsidiary membership units, prior to</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conversion</w:t>
            </w:r>
          </w:p>
        </w:tc>
        <w:tc>
          <w:tcPr>
            <w:tcW w:w="3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FF0FC"/>
          </w:tcPr>
          <w:p>
            <w:pPr>
              <w:spacing w:after="0"/>
              <w:rPr>
                <w:sz w:val="20"/>
                <w:szCs w:val="20"/>
                <w:color w:val="auto"/>
              </w:rPr>
            </w:pPr>
          </w:p>
        </w:tc>
        <w:tc>
          <w:tcPr>
            <w:tcW w:w="200" w:type="dxa"/>
            <w:vAlign w:val="bottom"/>
            <w:tcBorders>
              <w:right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right w:val="single" w:sz="8" w:color="auto"/>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(205.3)</w:t>
            </w: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5"/>
        </w:trPr>
        <w:tc>
          <w:tcPr>
            <w:tcW w:w="5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-3201035</wp:posOffset>
            </wp:positionV>
            <wp:extent cx="102235"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-3201035</wp:posOffset>
            </wp:positionV>
            <wp:extent cx="9398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-3201035</wp:posOffset>
            </wp:positionV>
            <wp:extent cx="9398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-2476500</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4578350</wp:posOffset>
            </wp:positionH>
            <wp:positionV relativeFrom="paragraph">
              <wp:posOffset>-1383665</wp:posOffset>
            </wp:positionV>
            <wp:extent cx="10223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-1383665</wp:posOffset>
            </wp:positionV>
            <wp:extent cx="93980"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-942340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-942340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Non-GAAP Supplemental Information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present in this press release certain financial information based on our EBITDA, Adjusted EBITDA and Free Cash Flow. References to “EBITDA” mean earnings before interest, taxes, depreciation and amortization, references to “Adjusted EBITDA” mean EBITDA plus, as applicable for each relevant period, certain adjustments as set forth in the reconciliations of net income to EBITDA and Adjusted EBITDA, and references to “Free Cash Flow” refer to net cash used in or provided by operating activities, net of purchases of property, plant and equipment. EBITDA, Adjusted EBITDA and Free Cash Flow are not measurements of financial performance under U.S. GAAP. We present EBITDA, Adjusted EBITDA and Free Cash Flow because we believe they are useful indicators for evaluating operating performance. In addition, our management uses Adjusted EBITDA to review and assess the performance of the management team in connection with employee incentive programs and to prepare its annual budget and financial projections. Moreover, our management uses Adjusted EBITDA of target companies to evaluate acquisitions.</w:t>
      </w:r>
    </w:p>
    <w:p>
      <w:pPr>
        <w:spacing w:after="0" w:line="19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Although we use EBITDA, Adjusted EBITDA, and Free Cash Flow as measures to assess the performance of our business and for the other purposes set forth above, the use of non-GAAP financial measures as analytical tools has limitations, and you should not consider any of them in isolation, or as a substitute for analysis of our results of operations as reported in accordance with U.S. GAAP. Some of these limitations are:</w:t>
      </w:r>
    </w:p>
    <w:p>
      <w:pPr>
        <w:spacing w:after="0" w:line="301" w:lineRule="exact"/>
        <w:rPr>
          <w:sz w:val="20"/>
          <w:szCs w:val="20"/>
          <w:color w:val="auto"/>
        </w:rPr>
      </w:pPr>
    </w:p>
    <w:p>
      <w:pPr>
        <w:ind w:left="1020" w:right="620" w:hanging="503"/>
        <w:spacing w:after="0" w:line="26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Adjusted EBITDA and Free Cash Flow do not reflect the significant interest expense, or the cash requirements necessary to service interest payments on our indebtedness.</w:t>
      </w:r>
    </w:p>
    <w:p>
      <w:pPr>
        <w:spacing w:after="0" w:line="51" w:lineRule="exact"/>
        <w:rPr>
          <w:rFonts w:ascii="Times New Roman" w:cs="Times New Roman" w:eastAsia="Times New Roman" w:hAnsi="Times New Roman"/>
          <w:sz w:val="20"/>
          <w:szCs w:val="20"/>
          <w:color w:val="auto"/>
        </w:rPr>
      </w:pPr>
    </w:p>
    <w:p>
      <w:pPr>
        <w:ind w:left="1020" w:right="200" w:hanging="503"/>
        <w:spacing w:after="0" w:line="254"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depreciation and amortization are non-cash charges, the assets being depreciated and amortized will often have to be replaced in the future, and the cash requirements for such replacements are not reflected in EBITDA, Adjusted EBITDA and Free Cash Flow.</w:t>
      </w:r>
    </w:p>
    <w:p>
      <w:pPr>
        <w:spacing w:after="0" w:line="66" w:lineRule="exact"/>
        <w:rPr>
          <w:rFonts w:ascii="Times New Roman" w:cs="Times New Roman" w:eastAsia="Times New Roman" w:hAnsi="Times New Roman"/>
          <w:sz w:val="20"/>
          <w:szCs w:val="20"/>
          <w:color w:val="auto"/>
        </w:rPr>
      </w:pPr>
    </w:p>
    <w:p>
      <w:pPr>
        <w:ind w:left="1020" w:right="180" w:hanging="503"/>
        <w:spacing w:after="0" w:line="26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excludes the cash expense we have incurred to integrate acquired businesses into our operations, which is a necessary element of certain of our acquisitions.</w:t>
      </w:r>
    </w:p>
    <w:p>
      <w:pPr>
        <w:spacing w:after="0" w:line="51" w:lineRule="exact"/>
        <w:rPr>
          <w:rFonts w:ascii="Times New Roman" w:cs="Times New Roman" w:eastAsia="Times New Roman" w:hAnsi="Times New Roman"/>
          <w:sz w:val="20"/>
          <w:szCs w:val="20"/>
          <w:color w:val="auto"/>
        </w:rPr>
      </w:pPr>
    </w:p>
    <w:p>
      <w:pPr>
        <w:ind w:left="1020" w:right="600" w:hanging="503"/>
        <w:spacing w:after="0" w:line="269"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omission of the substantial amortization expense associated with our intangible assets further limits the usefulness of EBITDA and Adjusted EBITDA.</w:t>
      </w:r>
    </w:p>
    <w:p>
      <w:pPr>
        <w:spacing w:after="0" w:line="5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and Adjusted EBITDA do not include the payment of taxes, which is a necessary element of our operations.</w:t>
      </w:r>
    </w:p>
    <w:p>
      <w:pPr>
        <w:spacing w:after="0" w:line="22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Because of these limitations, EBITDA, Adjusted EBITDA and Free Cash Flow should not be considered as measures of cash available to us to invest in the growth of our business. Management compensates for these limitations by not viewing EBITDA, Adjusted EBITDA and Free Cash Flow in isolation and specifically by using other U.S. GAAP measures, such as net sales and operating profit, to measure our operating performance. EBITDA, Adjusted EBITDA and Free Cash Flow are not measurements of financial performance under U.S. GAAP, and they should not be considered as alternatives to net income or cash flow from operations determined in accordance with U.S. GAAP. Our calculations of EBITDA, Adjusted EBITDA and Free Cash Flow may not be comparable to the calculations of similarly titled measures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2339975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Reconciliation of Net Income to EBITDA and Adjusted EBITDA</w:t>
      </w:r>
    </w:p>
    <w:p>
      <w:pPr>
        <w:ind w:left="5100"/>
        <w:spacing w:after="0"/>
        <w:rPr>
          <w:sz w:val="20"/>
          <w:szCs w:val="20"/>
          <w:color w:val="auto"/>
        </w:rPr>
      </w:pPr>
      <w:r>
        <w:rPr>
          <w:rFonts w:ascii="Times New Roman" w:cs="Times New Roman" w:eastAsia="Times New Roman" w:hAnsi="Times New Roman"/>
          <w:sz w:val="20"/>
          <w:szCs w:val="20"/>
          <w:b w:val="1"/>
          <w:bCs w:val="1"/>
          <w:color w:val="auto"/>
        </w:rPr>
        <w:t>(in millions)</w:t>
      </w:r>
    </w:p>
    <w:p>
      <w:pPr>
        <w:ind w:left="51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87"/>
        </w:trPr>
        <w:tc>
          <w:tcPr>
            <w:tcW w:w="3060" w:type="dxa"/>
            <w:vAlign w:val="bottom"/>
          </w:tcPr>
          <w:p>
            <w:pPr>
              <w:spacing w:after="0"/>
              <w:rPr>
                <w:sz w:val="16"/>
                <w:szCs w:val="16"/>
                <w:color w:val="auto"/>
              </w:rPr>
            </w:pPr>
          </w:p>
        </w:tc>
        <w:tc>
          <w:tcPr>
            <w:tcW w:w="18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 from February</w:t>
            </w:r>
          </w:p>
        </w:tc>
        <w:tc>
          <w:tcPr>
            <w:tcW w:w="2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 from January 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11"/>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Combined Three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2020" w:type="dxa"/>
            <w:vAlign w:val="bottom"/>
            <w:tcBorders>
              <w:right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27, 2026 to March 31,</w:t>
            </w:r>
          </w:p>
        </w:tc>
        <w:tc>
          <w:tcPr>
            <w:tcW w:w="12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 to February 26,</w:t>
            </w:r>
          </w:p>
        </w:tc>
        <w:tc>
          <w:tcPr>
            <w:tcW w:w="220" w:type="dxa"/>
            <w:vAlign w:val="bottom"/>
          </w:tcPr>
          <w:p>
            <w:pPr>
              <w:spacing w:after="0"/>
              <w:rPr>
                <w:sz w:val="18"/>
                <w:szCs w:val="18"/>
                <w:color w:val="auto"/>
              </w:rPr>
            </w:pPr>
          </w:p>
        </w:tc>
        <w:tc>
          <w:tcPr>
            <w:tcW w:w="19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Months Ended March</w:t>
            </w:r>
          </w:p>
        </w:tc>
        <w:tc>
          <w:tcPr>
            <w:tcW w:w="80" w:type="dxa"/>
            <w:vAlign w:val="bottom"/>
          </w:tcPr>
          <w:p>
            <w:pPr>
              <w:spacing w:after="0"/>
              <w:rPr>
                <w:sz w:val="18"/>
                <w:szCs w:val="18"/>
                <w:color w:val="auto"/>
              </w:rPr>
            </w:pPr>
          </w:p>
        </w:tc>
        <w:tc>
          <w:tcPr>
            <w:tcW w:w="19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31, 2026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20"/>
                <w:szCs w:val="20"/>
                <w:color w:val="auto"/>
              </w:rPr>
            </w:pPr>
          </w:p>
        </w:tc>
      </w:tr>
      <w:tr>
        <w:trPr>
          <w:trHeight w:val="209"/>
        </w:trPr>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18"/>
                <w:szCs w:val="18"/>
                <w:color w:val="auto"/>
              </w:rPr>
            </w:pPr>
          </w:p>
        </w:tc>
      </w:tr>
      <w:tr>
        <w:trPr>
          <w:trHeight w:val="216"/>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0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FF0FC"/>
          </w:tcPr>
          <w:p>
            <w:pPr>
              <w:spacing w:after="0"/>
              <w:rPr>
                <w:sz w:val="18"/>
                <w:szCs w:val="18"/>
                <w:color w:val="auto"/>
              </w:rPr>
            </w:pPr>
          </w:p>
        </w:tc>
        <w:tc>
          <w:tcPr>
            <w:tcW w:w="172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r>
      <w:tr>
        <w:trPr>
          <w:trHeight w:val="216"/>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depletion</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r>
      <w:tr>
        <w:trPr>
          <w:trHeight w:val="216"/>
        </w:trPr>
        <w:tc>
          <w:tcPr>
            <w:tcW w:w="30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0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Recognition of inventory step-ups</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6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Transaction and integration costs</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30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Stock-based and unit-based</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54"/>
        </w:trPr>
        <w:tc>
          <w:tcPr>
            <w:tcW w:w="3060" w:type="dxa"/>
            <w:vAlign w:val="bottom"/>
          </w:tcPr>
          <w:p>
            <w:pPr>
              <w:ind w:left="60"/>
              <w:spacing w:after="0" w:line="255"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2"/>
                <w:szCs w:val="22"/>
                <w:color w:val="auto"/>
              </w:rPr>
            </w:pPr>
          </w:p>
        </w:tc>
      </w:tr>
      <w:tr>
        <w:trPr>
          <w:trHeight w:val="216"/>
        </w:trPr>
        <w:tc>
          <w:tcPr>
            <w:tcW w:w="306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Restructuring and severance</w:t>
            </w:r>
            <w:r>
              <w:rPr>
                <w:rFonts w:ascii="Times New Roman" w:cs="Times New Roman" w:eastAsia="Times New Roman" w:hAnsi="Times New Roman"/>
                <w:sz w:val="24"/>
                <w:szCs w:val="24"/>
                <w:color w:val="auto"/>
                <w:vertAlign w:val="superscript"/>
              </w:rPr>
              <w:t>4</w:t>
            </w:r>
          </w:p>
        </w:tc>
        <w:tc>
          <w:tcPr>
            <w:tcW w:w="300" w:type="dxa"/>
            <w:vAlign w:val="bottom"/>
            <w:shd w:val="clear" w:color="auto" w:fill="CFF0FC"/>
          </w:tcPr>
          <w:p>
            <w:pPr>
              <w:spacing w:after="0"/>
              <w:rPr>
                <w:sz w:val="18"/>
                <w:szCs w:val="18"/>
                <w:color w:val="auto"/>
              </w:rPr>
            </w:pPr>
          </w:p>
        </w:tc>
        <w:tc>
          <w:tcPr>
            <w:tcW w:w="1720" w:type="dxa"/>
            <w:vAlign w:val="bottom"/>
            <w:tcBorders>
              <w:right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8"/>
                <w:szCs w:val="18"/>
                <w:color w:val="auto"/>
              </w:rPr>
            </w:pPr>
          </w:p>
        </w:tc>
      </w:tr>
      <w:tr>
        <w:trPr>
          <w:trHeight w:val="216"/>
        </w:trPr>
        <w:tc>
          <w:tcPr>
            <w:tcW w:w="30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Contingent loss accrual</w:t>
            </w:r>
            <w:r>
              <w:rPr>
                <w:rFonts w:ascii="Times New Roman" w:cs="Times New Roman" w:eastAsia="Times New Roman" w:hAnsi="Times New Roman"/>
                <w:sz w:val="24"/>
                <w:szCs w:val="24"/>
                <w:color w:val="auto"/>
                <w:vertAlign w:val="superscript"/>
              </w:rPr>
              <w:t>5</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6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6</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right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r>
      <w:tr>
        <w:trPr>
          <w:trHeight w:val="20"/>
        </w:trPr>
        <w:tc>
          <w:tcPr>
            <w:tcW w:w="3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-1413510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-1413510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-1413510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-1413510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in inventory to fair value as a result of the US Salt Acquisition.</w:t>
      </w:r>
    </w:p>
    <w:p>
      <w:pPr>
        <w:spacing w:after="0" w:line="3" w:lineRule="exact"/>
        <w:rPr>
          <w:rFonts w:ascii="Times New Roman" w:cs="Times New Roman" w:eastAsia="Times New Roman" w:hAnsi="Times New Roman"/>
          <w:sz w:val="14"/>
          <w:szCs w:val="14"/>
          <w:color w:val="auto"/>
        </w:rPr>
      </w:pPr>
    </w:p>
    <w:p>
      <w:pPr>
        <w:ind w:left="520" w:hanging="512"/>
        <w:spacing w:after="0" w:line="22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US Salt and ContextLogic related to the US Salt Acquisition.</w:t>
      </w:r>
    </w:p>
    <w:p>
      <w:pPr>
        <w:ind w:left="520" w:hanging="512"/>
        <w:spacing w:after="0" w:line="22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and unit-based compensation incurred (excludes $0.4 of stock-based compensation included within transaction and integration costs).</w:t>
      </w:r>
    </w:p>
    <w:p>
      <w:pPr>
        <w:ind w:left="520" w:hanging="512"/>
        <w:spacing w:after="0" w:line="22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transition, and retention costs associated with executive leadership changes.</w:t>
      </w:r>
    </w:p>
    <w:p>
      <w:pPr>
        <w:ind w:left="520" w:hanging="512"/>
        <w:spacing w:after="0" w:line="221"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contingent loss related to a legal matter.</w:t>
      </w:r>
    </w:p>
    <w:p>
      <w:pPr>
        <w:ind w:left="520" w:hanging="512"/>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the decommissioning and removal of certain manufacturing equipment and expenses unique to US Salt’s prior parent.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ContextLogic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Net Cash (Used In) Provided by Operating Activities to Free Cash Flow</w:t>
      </w:r>
    </w:p>
    <w:p>
      <w:pPr>
        <w:ind w:left="5100"/>
        <w:spacing w:after="0"/>
        <w:rPr>
          <w:sz w:val="20"/>
          <w:szCs w:val="20"/>
          <w:color w:val="auto"/>
        </w:rPr>
      </w:pPr>
      <w:r>
        <w:rPr>
          <w:rFonts w:ascii="Times New Roman" w:cs="Times New Roman" w:eastAsia="Times New Roman" w:hAnsi="Times New Roman"/>
          <w:sz w:val="20"/>
          <w:szCs w:val="20"/>
          <w:b w:val="1"/>
          <w:bCs w:val="1"/>
          <w:color w:val="auto"/>
        </w:rPr>
        <w:t>(in millions)</w:t>
      </w:r>
    </w:p>
    <w:p>
      <w:pPr>
        <w:ind w:left="510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right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Successor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c>
          <w:tcPr>
            <w:tcW w:w="16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1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Predecessor</w:t>
            </w:r>
          </w:p>
        </w:tc>
      </w:tr>
      <w:tr>
        <w:trPr>
          <w:trHeight w:val="187"/>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ind w:right="73"/>
              <w:spacing w:after="0" w:line="188" w:lineRule="exact"/>
              <w:rPr>
                <w:sz w:val="20"/>
                <w:szCs w:val="20"/>
                <w:color w:val="auto"/>
              </w:rPr>
            </w:pPr>
            <w:r>
              <w:rPr>
                <w:rFonts w:ascii="Times New Roman" w:cs="Times New Roman" w:eastAsia="Times New Roman" w:hAnsi="Times New Roman"/>
                <w:sz w:val="18"/>
                <w:szCs w:val="18"/>
                <w:b w:val="1"/>
                <w:bCs w:val="1"/>
                <w:color w:val="auto"/>
              </w:rPr>
              <w:t>Period from</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Period from January</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13"/>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Combined Three</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3"/>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Borders>
              <w:right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February 27, 2026</w:t>
            </w:r>
          </w:p>
        </w:tc>
        <w:tc>
          <w:tcPr>
            <w:tcW w:w="100" w:type="dxa"/>
            <w:vAlign w:val="bottom"/>
          </w:tcPr>
          <w:p>
            <w:pPr>
              <w:spacing w:after="0"/>
              <w:rPr>
                <w:sz w:val="18"/>
                <w:szCs w:val="18"/>
                <w:color w:val="auto"/>
              </w:rPr>
            </w:pPr>
          </w:p>
        </w:tc>
        <w:tc>
          <w:tcPr>
            <w:tcW w:w="2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 2026 to February 26,</w:t>
            </w:r>
          </w:p>
        </w:tc>
        <w:tc>
          <w:tcPr>
            <w:tcW w:w="2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Months Ended March</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38"/>
        </w:trPr>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to March 31, 2026</w:t>
            </w:r>
          </w:p>
        </w:tc>
        <w:tc>
          <w:tcPr>
            <w:tcW w:w="100" w:type="dxa"/>
            <w:vAlign w:val="bottom"/>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8"/>
              </w:rPr>
              <w:t>31, 2026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r>
      <w:tr>
        <w:trPr>
          <w:trHeight w:val="210"/>
        </w:trPr>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right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r>
      <w:tr>
        <w:trPr>
          <w:trHeight w:val="216"/>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r>
      <w:tr>
        <w:trPr>
          <w:trHeight w:val="1195"/>
        </w:trPr>
        <w:tc>
          <w:tcPr>
            <w:tcW w:w="3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Lucy Simon, CLHI</w:t>
      </w:r>
    </w:p>
    <w:p>
      <w:pPr>
        <w:spacing w:after="0"/>
        <w:rPr>
          <w:sz w:val="20"/>
          <w:szCs w:val="20"/>
          <w:color w:val="auto"/>
        </w:rPr>
      </w:pPr>
      <w:r>
        <w:rPr>
          <w:rFonts w:ascii="Times New Roman" w:cs="Times New Roman" w:eastAsia="Times New Roman" w:hAnsi="Times New Roman"/>
          <w:sz w:val="19"/>
          <w:szCs w:val="19"/>
          <w:color w:val="auto"/>
        </w:rPr>
        <w:t>ir@contextlogic.com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7" w:right="1440"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2026-05-15T07:07:28Z</dcterms:created>
  <dcterms:modified xsi:type="dcterms:W3CDTF">2026-05-15T07:07:28Z</dcterms:modified>
</cp:coreProperties>
</file>