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132715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225425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ContextLogic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249555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tbl>
      <w:tblPr>
        <w:tblLayout w:type="fixed"/>
        <w:tblInd w:w="1040" w:type="dxa"/>
        <w:tblCellMar>
          <w:top w:w="0" w:type="dxa"/>
          <w:left w:w="0" w:type="dxa"/>
          <w:bottom w:w="0" w:type="dxa"/>
          <w:right w:w="0" w:type="dxa"/>
        </w:tblCellMar>
      </w:tblPr>
      <w:tr>
        <w:trPr>
          <w:trHeight w:val="235"/>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001-39775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27-2930953</w:t>
            </w:r>
          </w:p>
        </w:tc>
      </w:tr>
      <w:tr>
        <w:trPr>
          <w:trHeight w:val="148"/>
        </w:trPr>
        <w:tc>
          <w:tcPr>
            <w:tcW w:w="3160" w:type="dxa"/>
            <w:vAlign w:val="bottom"/>
          </w:tcPr>
          <w:p>
            <w:pPr>
              <w:jc w:val="center"/>
              <w:ind w:right="521"/>
              <w:spacing w:after="0" w:line="14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61"/>
              <w:spacing w:after="0" w:line="14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line="14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2648 International Blvd., Ste 115</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rPr>
              <w:t>Oakland, California</w:t>
            </w:r>
          </w:p>
        </w:tc>
        <w:tc>
          <w:tcPr>
            <w:tcW w:w="32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94601</w:t>
            </w:r>
          </w:p>
        </w:tc>
      </w:tr>
      <w:tr>
        <w:trPr>
          <w:trHeight w:val="178"/>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965-8476</w:t>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255905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WISH</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11"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40" w:firstLine="599"/>
        <w:spacing w:after="0" w:line="281" w:lineRule="auto"/>
        <w:rPr>
          <w:sz w:val="20"/>
          <w:szCs w:val="20"/>
          <w:color w:val="auto"/>
        </w:rPr>
      </w:pPr>
      <w:r>
        <w:rPr>
          <w:rFonts w:ascii="Times New Roman" w:cs="Times New Roman" w:eastAsia="Times New Roman" w:hAnsi="Times New Roman"/>
          <w:sz w:val="18"/>
          <w:szCs w:val="18"/>
          <w:color w:val="auto"/>
        </w:rPr>
        <w:t>On May 8, 2024, ContextLogic Inc. (the “Company”) issued a press release announcing the Company’s financial results for the quarter ended March 31, 2024. A copy of the Company’s press release is attached hereto as Exhibit 99.1.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ind w:right="20" w:firstLine="599"/>
        <w:spacing w:after="0" w:line="260" w:lineRule="auto"/>
        <w:rPr>
          <w:sz w:val="20"/>
          <w:szCs w:val="20"/>
          <w:color w:val="auto"/>
        </w:rPr>
      </w:pPr>
      <w:r>
        <w:rPr>
          <w:rFonts w:ascii="Times New Roman" w:cs="Times New Roman" w:eastAsia="Times New Roman" w:hAnsi="Times New Roman"/>
          <w:sz w:val="18"/>
          <w:szCs w:val="18"/>
          <w:color w:val="auto"/>
        </w:rPr>
        <w:t>On May 8, 2024, the Company posted supplemental investor materials on its ir.contextlogicinc.com website. The Company announces material information to the public about the Company and other matters through a variety of means, including filings with the Securities and Exchange Commission, press releases, public conference calls, and the investor relations section of its website (ir.contextlogicinc.com) in order to achieve broad, non-exclusionary distribution of information to the public and for complying with its disclosure obligations under Regulation FD.</w:t>
      </w:r>
    </w:p>
    <w:p>
      <w:pPr>
        <w:spacing w:after="0" w:line="128" w:lineRule="exact"/>
        <w:rPr>
          <w:sz w:val="20"/>
          <w:szCs w:val="20"/>
          <w:color w:val="auto"/>
        </w:rPr>
      </w:pPr>
    </w:p>
    <w:p>
      <w:pPr>
        <w:jc w:val="both"/>
        <w:ind w:firstLine="599"/>
        <w:spacing w:after="0" w:line="260"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regardless of any general incorporation language in such filing.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4" w:lineRule="exact"/>
        <w:rPr>
          <w:sz w:val="20"/>
          <w:szCs w:val="20"/>
          <w:color w:val="auto"/>
        </w:rPr>
      </w:pPr>
    </w:p>
    <w:p>
      <w:pPr>
        <w:ind w:left="820"/>
        <w:spacing w:after="0"/>
        <w:tabs>
          <w:tab w:leader="none" w:pos="176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17"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ContextLogic Inc. on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-7620</wp:posOffset>
            </wp:positionV>
            <wp:extent cx="3103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16" w:lineRule="exact"/>
        <w:rPr>
          <w:sz w:val="20"/>
          <w:szCs w:val="20"/>
          <w:color w:val="auto"/>
        </w:rPr>
      </w:pPr>
    </w:p>
    <w:p>
      <w:pPr>
        <w:ind w:left="1100"/>
        <w:spacing w:after="0"/>
        <w:tabs>
          <w:tab w:leader="none" w:pos="1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9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ContextLogic Inc.</w:t>
      </w:r>
    </w:p>
    <w:p>
      <w:pPr>
        <w:spacing w:after="0" w:line="400" w:lineRule="exact"/>
        <w:rPr>
          <w:sz w:val="20"/>
          <w:szCs w:val="20"/>
          <w:color w:val="auto"/>
        </w:rPr>
      </w:pPr>
    </w:p>
    <w:p>
      <w:pPr>
        <w:ind w:left="20"/>
        <w:spacing w:after="0"/>
        <w:tabs>
          <w:tab w:leader="none" w:pos="68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26035</wp:posOffset>
            </wp:positionV>
            <wp:extent cx="327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Rishi Bajaj</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Director and Chairman of the Board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764" w:right="7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Inc. Reports First-Quarter Financial Results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OAKLAND—(BUSINESS WIRE)—May 8, 2024—ContextLogic Inc. (Nasdaq: WISH) (“ContextLogic,” the “Company,” “we” or “our”) today reported its financial results for the quarter ended March 31,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Introductory Note</w:t>
      </w:r>
    </w:p>
    <w:p>
      <w:pPr>
        <w:spacing w:after="0" w:line="16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i w:val="1"/>
          <w:iCs w:val="1"/>
          <w:color w:val="auto"/>
        </w:rPr>
        <w:t>Prior to the April 19, 2024 closing of the Asset Sale described below, ContextLogic owned and operated the Wish platform, a mobile ecommerce platform. As a result of the Asset Sale, ContextLogic no longer owns the Wish platform or any of the related operating assets. Since the Asset Sale was not completed until after the end of the first quarter, the financial results described below do not reflect the impact of the Asset Sale or our post-closing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First-Quarter 2024 Financial Highlights</w:t>
      </w:r>
    </w:p>
    <w:p>
      <w:pPr>
        <w:spacing w:after="0" w:line="107" w:lineRule="exact"/>
        <w:rPr>
          <w:sz w:val="20"/>
          <w:szCs w:val="20"/>
          <w:color w:val="auto"/>
        </w:rPr>
      </w:pPr>
    </w:p>
    <w:p>
      <w:pPr>
        <w:ind w:left="102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Revenues</w:t>
      </w:r>
      <w:r>
        <w:rPr>
          <w:rFonts w:ascii="Times New Roman" w:cs="Times New Roman" w:eastAsia="Times New Roman" w:hAnsi="Times New Roman"/>
          <w:sz w:val="20"/>
          <w:szCs w:val="20"/>
          <w:color w:val="auto"/>
        </w:rPr>
        <w:t>: Revenues were $36 million, a decrease of 63% YoY</w:t>
      </w:r>
    </w:p>
    <w:p>
      <w:pPr>
        <w:spacing w:after="0" w:line="111"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Core Marketplace revenues were $11 million, down 61% YoY</w:t>
      </w:r>
    </w:p>
    <w:p>
      <w:pPr>
        <w:spacing w:after="0" w:line="107"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Product Boost revenues were $3 million, down 63% YoY</w:t>
      </w:r>
    </w:p>
    <w:p>
      <w:pPr>
        <w:spacing w:after="0" w:line="107"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Logistics revenues were $22 million, down 63% YoY</w:t>
      </w:r>
    </w:p>
    <w:p>
      <w:pPr>
        <w:spacing w:after="0" w:line="103"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Net Loss</w:t>
      </w:r>
      <w:r>
        <w:rPr>
          <w:rFonts w:ascii="Times New Roman" w:cs="Times New Roman" w:eastAsia="Times New Roman" w:hAnsi="Times New Roman"/>
          <w:sz w:val="20"/>
          <w:szCs w:val="20"/>
          <w:color w:val="auto"/>
        </w:rPr>
        <w:t>: Net Loss was $59 million, compared to a net loss of $89 million in the first quarter of fiscal 2023</w:t>
      </w:r>
    </w:p>
    <w:p>
      <w:pPr>
        <w:spacing w:after="0" w:line="111"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Net Loss per share was $2.43, compared to a loss of $3.83 per share in the first quarter of fiscal 2023</w:t>
      </w:r>
    </w:p>
    <w:p>
      <w:pPr>
        <w:spacing w:after="0" w:line="10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March 31, 2024, we had $250 million in cash and cash equivalents</w:t>
      </w:r>
    </w:p>
    <w:p>
      <w:pPr>
        <w:spacing w:after="0" w:line="10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quarter-end, we completed the sale of substantially all of our assets.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Update</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previously disclosed, on April 19, 2024, we completed the sale of substantially all of our assets to Qube Network Pte. Ltd. (the “Buyer”), an affiliate of Qoo10 Inc., a Delaware corporation (“Qoo10 Delaware”), other than (A) our federal income tax net operating loss carryforwards ("NOLs") and certain of our other tax attributes, (B) our marketable securities and (C) certain of our cash and cash equivalents (the “Asset Sale”) pursuant to the terms of the Asset Purchase Agreement, dated February 10, 2024, by and among us, Qoo10 Delaware and, for certain specified purposes, Qoo10 Pte. Ltd., a Singapore private limited company and the parent of both Qoo10 Delaware and the Buyer (as amended or modified, the “Asset Purchase Agreement”).</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a result of Asset Sale, the Company had approximately $161 million in cash, cash equivalents and marketable securities (consisting of government securities) immediately following the closing of that transaction (“Post-Closing Cash”), as well as the NOLs and other tax attributes described above. As required by the Asset Purchase Agreement, the Buyer assumed substantially all of our liabilities at closing.</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very pleased to have completed the previously announced sale of the Wish ecommerce platform to Qoo10. On behalf of the entire ContextLogic team, I would like to thank our stockholders for their support of this value-maximizing transaction,” said Rishi Bajaj, Chief Executive Officer and Chairman of the Board. “Looking ahead, our reconstituted Board and management team will focus on identifying and executing strategic opportunities for the benefit of ContextLogic and its stockholders.”</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Following the completion of the Asset Sale, ContextLogic has exited the operation of our e-commerce business and other historical operations. However, we do not currently intend to liquidate. We have begun to review strategic opportunities for the use of our Post-Closing Cash. We will develop a process and procedures for evaluating alternatives for the use of our Post-Closing Cash, and reviewing, identifying and executing strategic opportunities for the benefit of ContextLogic and its stockholders. Those alternatives are currently expected to include using the Post-Closing Cash to fund, at least in part, the acquisition of assets that will potentially allow the Company to utilize the NOLs and certain other tax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First Quarter 2024 Condensed Consolidated Financials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include unaudited GAAP financial highlights for the periods presented: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 millions, except percentages; unaudited)</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8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50"/>
        </w:trPr>
        <w:tc>
          <w:tcPr>
            <w:tcW w:w="516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3"/>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YoY%</w:t>
            </w:r>
          </w:p>
        </w:tc>
        <w:tc>
          <w:tcPr>
            <w:tcW w:w="260" w:type="dxa"/>
            <w:vAlign w:val="bottom"/>
          </w:tcPr>
          <w:p>
            <w:pPr>
              <w:spacing w:after="0"/>
              <w:rPr>
                <w:sz w:val="20"/>
                <w:szCs w:val="20"/>
                <w:color w:val="auto"/>
              </w:rPr>
            </w:pPr>
          </w:p>
        </w:tc>
      </w:tr>
      <w:tr>
        <w:trPr>
          <w:trHeight w:val="232"/>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Core marketplace revenue</w:t>
            </w: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(61 )%</w:t>
            </w:r>
          </w:p>
        </w:tc>
      </w:tr>
      <w:tr>
        <w:trPr>
          <w:trHeight w:val="251"/>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ProductBoost revenue</w:t>
            </w:r>
          </w:p>
        </w:tc>
        <w:tc>
          <w:tcPr>
            <w:tcW w:w="1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(63 )%</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Marketplace revenue</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(61 )%</w:t>
            </w:r>
          </w:p>
        </w:tc>
      </w:tr>
      <w:tr>
        <w:trPr>
          <w:trHeight w:val="25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Logistics revenue</w:t>
            </w:r>
          </w:p>
        </w:tc>
        <w:tc>
          <w:tcPr>
            <w:tcW w:w="1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3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(63 )%</w:t>
            </w:r>
          </w:p>
        </w:tc>
      </w:tr>
      <w:tr>
        <w:trPr>
          <w:trHeight w:val="236"/>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8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38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5"/>
              </w:rPr>
              <w:t>(63 )%</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-812800</wp:posOffset>
            </wp:positionV>
            <wp:extent cx="698690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6905"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-495935</wp:posOffset>
            </wp:positionV>
            <wp:extent cx="698690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6905"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-179070</wp:posOffset>
            </wp:positionV>
            <wp:extent cx="6986905"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86905" cy="17970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Financial Data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 millions, except percentages;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40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400" w:type="dxa"/>
            <w:vAlign w:val="bottom"/>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3"/>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(59 )   $</w:t>
            </w:r>
          </w:p>
        </w:tc>
        <w:tc>
          <w:tcPr>
            <w:tcW w:w="152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8"/>
              </w:rPr>
              <w:t>(89 )</w:t>
            </w:r>
          </w:p>
        </w:tc>
        <w:tc>
          <w:tcPr>
            <w:tcW w:w="100" w:type="dxa"/>
            <w:vAlign w:val="bottom"/>
          </w:tcPr>
          <w:p>
            <w:pPr>
              <w:spacing w:after="0"/>
              <w:rPr>
                <w:sz w:val="20"/>
                <w:szCs w:val="20"/>
                <w:color w:val="auto"/>
              </w:rPr>
            </w:pPr>
          </w:p>
        </w:tc>
      </w:tr>
      <w:tr>
        <w:trPr>
          <w:trHeight w:val="234"/>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Revenue</w:t>
            </w:r>
          </w:p>
        </w:tc>
        <w:tc>
          <w:tcPr>
            <w:tcW w:w="14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(164 )%</w:t>
            </w:r>
          </w:p>
        </w:tc>
        <w:tc>
          <w:tcPr>
            <w:tcW w:w="800" w:type="dxa"/>
            <w:vAlign w:val="bottom"/>
          </w:tcPr>
          <w:p>
            <w:pPr>
              <w:spacing w:after="0"/>
              <w:rPr>
                <w:sz w:val="20"/>
                <w:szCs w:val="20"/>
                <w:color w:val="auto"/>
              </w:rPr>
            </w:pPr>
          </w:p>
        </w:tc>
        <w:tc>
          <w:tcPr>
            <w:tcW w:w="16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w w:val="88"/>
              </w:rPr>
              <w:t>(93 )%</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Fiscal 2024 Financial Guidance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Due to the sale of operating assets and liabilities in the Asset Sale, ContextLogic has discontinued providing guidance.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ContextLogic</w:t>
      </w:r>
    </w:p>
    <w:p>
      <w:pPr>
        <w:spacing w:after="0" w:line="16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20"/>
          <w:szCs w:val="20"/>
          <w:color w:val="auto"/>
        </w:rPr>
        <w:t>For more information on ContextLogic, please visit ir.contextlogicinc.com. Please note, that in light of the sale of the Wish platform in the Asset Sale, ContextLogic expects to begin trading under a new Nasdaq ticker symbol, “LOGC,” within 30 days of April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22"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news release contains forward-looking statements within the meaning of the Safe Harbor provisions of the Private Securities Litigation Reform Act of 1995. All statements other than statements of historical fact could be deemed forward-looking, including, but not limited to, statements regarding the strategic alternatives considered by our Board of Directors, including the decisions taken thereto and alternatives for the use of the Post-Closing Cash and our continued listing on Nasdaq. In some cases, forward-looking statements can be identified by terms such as “anticipates,” “believes,” “could,” “estimates,” “expects,” “foresees,” “forecasts,” “guidance,” “intends” “goals,” “may,” “might,” “outlook,” “plans,” “potential,” “predicts,” “projects,” “seeks,” “should,” “targets,” “will,” “would” or similar expressions and the negatives of those terms. These forward-looking statements are subject to risks, uncertainties, and assumptions. If the risks materialize or assumptions prove incorrect, actual results could differ materially from the results implied by these forward-looking statements. Risks include, but are not limited to: risks associated with our ability to identify and realize business opportunities following the Asset Sale; risks associated with our implementation of such business opportunities, if any are realized after the Asset Sale; and risks associated with our ability to utilize our NOLs and other tax attributes following the Asset Sale and risks associated with our continued listing on Nasdaq.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Further information on these and additional risks that could affect Wish’s results is included in its filings with the Securities and Exchange Commission (“SEC”), including the Quarterly Report on Form 10-Q to be filed for the three months ended March 31, 2024 and other future reports that Wish may file with the SEC from time to time, which could cause actual results to vary from expectations. Any forward-looking statement made by Wish in this news release speaks only as of the day on which Wish makes it. Wish assumes no obligation to, and does not currently intend to, update any such forward-looking statements after the date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50"/>
        </w:trPr>
        <w:tc>
          <w:tcPr>
            <w:tcW w:w="6340" w:type="dxa"/>
            <w:vAlign w:val="bottom"/>
          </w:tcPr>
          <w:p>
            <w:pPr>
              <w:spacing w:after="0"/>
              <w:rPr>
                <w:sz w:val="21"/>
                <w:szCs w:val="21"/>
                <w:color w:val="auto"/>
              </w:rPr>
            </w:pPr>
          </w:p>
        </w:tc>
        <w:tc>
          <w:tcPr>
            <w:tcW w:w="18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60" w:type="dxa"/>
            <w:vAlign w:val="bottom"/>
            <w:shd w:val="clear" w:color="auto" w:fill="CFF0FC"/>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21"/>
                <w:szCs w:val="21"/>
                <w:color w:val="auto"/>
              </w:rPr>
            </w:pPr>
          </w:p>
        </w:tc>
      </w:tr>
      <w:tr>
        <w:trPr>
          <w:trHeight w:val="238"/>
        </w:trPr>
        <w:tc>
          <w:tcPr>
            <w:tcW w:w="6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1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Funds receivable</w:t>
            </w:r>
          </w:p>
        </w:tc>
        <w:tc>
          <w:tcPr>
            <w:tcW w:w="18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8"/>
        </w:trPr>
        <w:tc>
          <w:tcPr>
            <w:tcW w:w="6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40"/>
        </w:trPr>
        <w:tc>
          <w:tcPr>
            <w:tcW w:w="63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186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FF0FC"/>
          </w:tcPr>
          <w:p>
            <w:pPr>
              <w:spacing w:after="0"/>
              <w:rPr>
                <w:sz w:val="20"/>
                <w:szCs w:val="20"/>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7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60" w:type="dxa"/>
            <w:vAlign w:val="bottom"/>
            <w:shd w:val="clear" w:color="auto" w:fill="CFF0FC"/>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24"/>
                <w:szCs w:val="24"/>
                <w:color w:val="auto"/>
              </w:rPr>
            </w:pPr>
          </w:p>
        </w:tc>
      </w:tr>
      <w:tr>
        <w:trPr>
          <w:trHeight w:val="225"/>
        </w:trPr>
        <w:tc>
          <w:tcPr>
            <w:tcW w:w="6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86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Merchants payable</w:t>
            </w:r>
          </w:p>
        </w:tc>
        <w:tc>
          <w:tcPr>
            <w:tcW w:w="18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1"/>
                <w:szCs w:val="21"/>
                <w:color w:val="auto"/>
              </w:rPr>
            </w:pPr>
          </w:p>
        </w:tc>
      </w:tr>
      <w:tr>
        <w:trPr>
          <w:trHeight w:val="238"/>
        </w:trPr>
        <w:tc>
          <w:tcPr>
            <w:tcW w:w="6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Refunds liability</w:t>
            </w:r>
          </w:p>
        </w:tc>
        <w:tc>
          <w:tcPr>
            <w:tcW w:w="1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3"/>
        </w:trPr>
        <w:tc>
          <w:tcPr>
            <w:tcW w:w="63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18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8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0"/>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6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20"/>
                <w:szCs w:val="20"/>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r>
      <w:tr>
        <w:trPr>
          <w:trHeight w:val="27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60" w:type="dxa"/>
            <w:vAlign w:val="bottom"/>
            <w:shd w:val="clear" w:color="auto" w:fill="CFF0FC"/>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24"/>
                <w:szCs w:val="24"/>
                <w:color w:val="auto"/>
              </w:rPr>
            </w:pPr>
          </w:p>
        </w:tc>
      </w:tr>
      <w:tr>
        <w:trPr>
          <w:trHeight w:val="1421"/>
        </w:trPr>
        <w:tc>
          <w:tcPr>
            <w:tcW w:w="6340" w:type="dxa"/>
            <w:vAlign w:val="bottom"/>
            <w:tcBorders>
              <w:top w:val="single" w:sz="8" w:color="CFF0FC"/>
              <w:bottom w:val="single" w:sz="8" w:color="9A9A9A"/>
            </w:tcBorders>
          </w:tcPr>
          <w:p>
            <w:pPr>
              <w:spacing w:after="0"/>
              <w:rPr>
                <w:sz w:val="24"/>
                <w:szCs w:val="24"/>
                <w:color w:val="auto"/>
              </w:rPr>
            </w:pPr>
          </w:p>
        </w:tc>
        <w:tc>
          <w:tcPr>
            <w:tcW w:w="1860" w:type="dxa"/>
            <w:vAlign w:val="bottom"/>
            <w:tcBorders>
              <w:top w:val="single" w:sz="8" w:color="auto"/>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20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-2850515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-2833370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-2833370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-1899920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-949960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-932815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except per share data)</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gridSpan w:val="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4"/>
                <w:szCs w:val="24"/>
                <w:color w:val="auto"/>
                <w:vertAlign w:val="superscript"/>
              </w:rPr>
              <w:t>(1)</w:t>
            </w:r>
          </w:p>
        </w:tc>
        <w:tc>
          <w:tcPr>
            <w:tcW w:w="1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4"/>
                <w:szCs w:val="24"/>
                <w:color w:val="auto"/>
                <w:vertAlign w:val="superscript"/>
              </w:rPr>
              <w:t>(1)</w:t>
            </w:r>
          </w:p>
        </w:tc>
        <w:tc>
          <w:tcPr>
            <w:tcW w:w="1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Product development</w:t>
            </w:r>
            <w:r>
              <w:rPr>
                <w:rFonts w:ascii="Times New Roman" w:cs="Times New Roman" w:eastAsia="Times New Roman" w:hAnsi="Times New Roman"/>
                <w:sz w:val="24"/>
                <w:szCs w:val="24"/>
                <w:color w:val="auto"/>
                <w:vertAlign w:val="superscript"/>
              </w:rPr>
              <w:t>(1)</w:t>
            </w: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1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(53 )</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(53 )</w:t>
            </w:r>
          </w:p>
        </w:tc>
        <w:tc>
          <w:tcPr>
            <w:tcW w:w="2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(59 )</w:t>
            </w:r>
          </w:p>
        </w:tc>
        <w:tc>
          <w:tcPr>
            <w:tcW w:w="2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(2.43 )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27"/>
        </w:trPr>
        <w:tc>
          <w:tcPr>
            <w:tcW w:w="6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124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24,315</w:t>
            </w:r>
          </w:p>
        </w:tc>
        <w:tc>
          <w:tcPr>
            <w:tcW w:w="28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Includes the following stock-based compensation expense:</w:t>
            </w: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65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6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520" w:type="dxa"/>
            <w:vAlign w:val="bottom"/>
          </w:tcPr>
          <w:p>
            <w:pPr>
              <w:spacing w:after="0"/>
              <w:rPr>
                <w:sz w:val="20"/>
                <w:szCs w:val="20"/>
                <w:color w:val="auto"/>
              </w:rPr>
            </w:pPr>
          </w:p>
        </w:tc>
        <w:tc>
          <w:tcPr>
            <w:tcW w:w="14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4"/>
                <w:szCs w:val="24"/>
                <w:color w:val="auto"/>
              </w:rPr>
            </w:pP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421"/>
        </w:trPr>
        <w:tc>
          <w:tcPr>
            <w:tcW w:w="6520" w:type="dxa"/>
            <w:vAlign w:val="bottom"/>
            <w:tcBorders>
              <w:top w:val="single" w:sz="8" w:color="CFF0FC"/>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2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-4443095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-4443095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-3809365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-3809365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-3493135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-3493135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-3150235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-3133090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-3150235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-3133090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-949960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-932815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00" w:type="dxa"/>
            <w:vAlign w:val="bottom"/>
          </w:tcPr>
          <w:p>
            <w:pPr>
              <w:spacing w:after="0"/>
              <w:rPr>
                <w:sz w:val="19"/>
                <w:szCs w:val="19"/>
                <w:color w:val="auto"/>
              </w:rPr>
            </w:pPr>
          </w:p>
        </w:tc>
        <w:tc>
          <w:tcPr>
            <w:tcW w:w="2960" w:type="dxa"/>
            <w:vAlign w:val="bottom"/>
            <w:gridSpan w:val="4"/>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7700" w:type="dxa"/>
            <w:vAlign w:val="bottom"/>
          </w:tcPr>
          <w:p>
            <w:pPr>
              <w:spacing w:after="0"/>
              <w:rPr>
                <w:sz w:val="19"/>
                <w:szCs w:val="19"/>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(59 )</w:t>
            </w: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(89 )</w:t>
            </w:r>
          </w:p>
        </w:tc>
      </w:tr>
      <w:tr>
        <w:trPr>
          <w:trHeight w:val="23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r>
      <w:tr>
        <w:trPr>
          <w:trHeight w:val="23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Noncash lease expense</w:t>
            </w: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r>
      <w:tr>
        <w:trPr>
          <w:trHeight w:val="23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(1 )</w:t>
            </w:r>
          </w:p>
        </w:tc>
        <w:tc>
          <w:tcPr>
            <w:tcW w:w="11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Funds receivable</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(1 )</w:t>
            </w:r>
          </w:p>
        </w:tc>
        <w:tc>
          <w:tcPr>
            <w:tcW w:w="11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Prepaid expenses, other current and noncurrent assets</w:t>
            </w: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r>
      <w:tr>
        <w:trPr>
          <w:trHeight w:val="23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(13 )</w:t>
            </w:r>
          </w:p>
        </w:tc>
        <w:tc>
          <w:tcPr>
            <w:tcW w:w="11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26"/>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Merchants payable</w:t>
            </w:r>
          </w:p>
        </w:tc>
        <w:tc>
          <w:tcPr>
            <w:tcW w:w="1140" w:type="dxa"/>
            <w:vAlign w:val="bottom"/>
          </w:tcPr>
          <w:p>
            <w:pPr>
              <w:spacing w:after="0"/>
              <w:rPr>
                <w:sz w:val="19"/>
                <w:szCs w:val="19"/>
                <w:color w:val="auto"/>
              </w:rPr>
            </w:pPr>
          </w:p>
        </w:tc>
        <w:tc>
          <w:tcPr>
            <w:tcW w:w="7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(9 )</w:t>
            </w:r>
          </w:p>
        </w:tc>
        <w:tc>
          <w:tcPr>
            <w:tcW w:w="1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3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Accrued and refund liabilities</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(10 )</w:t>
            </w:r>
          </w:p>
        </w:tc>
        <w:tc>
          <w:tcPr>
            <w:tcW w:w="11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26"/>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Lease liabilities</w:t>
            </w:r>
          </w:p>
        </w:tc>
        <w:tc>
          <w:tcPr>
            <w:tcW w:w="1140" w:type="dxa"/>
            <w:vAlign w:val="bottom"/>
          </w:tcPr>
          <w:p>
            <w:pPr>
              <w:spacing w:after="0"/>
              <w:rPr>
                <w:sz w:val="19"/>
                <w:szCs w:val="19"/>
                <w:color w:val="auto"/>
              </w:rPr>
            </w:pPr>
          </w:p>
        </w:tc>
        <w:tc>
          <w:tcPr>
            <w:tcW w:w="7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(2 )</w:t>
            </w:r>
          </w:p>
        </w:tc>
        <w:tc>
          <w:tcPr>
            <w:tcW w:w="1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32"/>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 current and noncurrent liabilities</w:t>
            </w: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0"/>
        </w:trPr>
        <w:tc>
          <w:tcPr>
            <w:tcW w:w="77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140" w:type="dxa"/>
            <w:vAlign w:val="bottom"/>
          </w:tcPr>
          <w:p>
            <w:pPr>
              <w:spacing w:after="0"/>
              <w:rPr>
                <w:sz w:val="19"/>
                <w:szCs w:val="19"/>
                <w:color w:val="auto"/>
              </w:rPr>
            </w:pPr>
          </w:p>
        </w:tc>
        <w:tc>
          <w:tcPr>
            <w:tcW w:w="7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(75 )</w:t>
            </w:r>
          </w:p>
        </w:tc>
        <w:tc>
          <w:tcPr>
            <w:tcW w:w="1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(92 )</w:t>
            </w:r>
          </w:p>
        </w:tc>
      </w:tr>
      <w:tr>
        <w:trPr>
          <w:trHeight w:val="23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1140" w:type="dxa"/>
            <w:vAlign w:val="bottom"/>
          </w:tcPr>
          <w:p>
            <w:pPr>
              <w:spacing w:after="0"/>
              <w:rPr>
                <w:sz w:val="19"/>
                <w:szCs w:val="19"/>
                <w:color w:val="auto"/>
              </w:rPr>
            </w:pPr>
          </w:p>
        </w:tc>
        <w:tc>
          <w:tcPr>
            <w:tcW w:w="72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(125 )</w:t>
            </w:r>
          </w:p>
        </w:tc>
      </w:tr>
      <w:tr>
        <w:trPr>
          <w:trHeight w:val="23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Maturities of marketable securities</w:t>
            </w:r>
          </w:p>
        </w:tc>
        <w:tc>
          <w:tcPr>
            <w:tcW w:w="11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80" w:type="dxa"/>
            <w:vAlign w:val="bottom"/>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FF0FC"/>
          </w:tcPr>
          <w:p>
            <w:pPr>
              <w:spacing w:after="0"/>
              <w:rPr>
                <w:sz w:val="20"/>
                <w:szCs w:val="20"/>
                <w:color w:val="auto"/>
              </w:rPr>
            </w:pP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of taxes related to RSU settlement</w:t>
            </w:r>
          </w:p>
        </w:tc>
        <w:tc>
          <w:tcPr>
            <w:tcW w:w="1140" w:type="dxa"/>
            <w:vAlign w:val="bottom"/>
          </w:tcPr>
          <w:p>
            <w:pPr>
              <w:spacing w:after="0"/>
              <w:rPr>
                <w:sz w:val="19"/>
                <w:szCs w:val="19"/>
                <w:color w:val="auto"/>
              </w:rPr>
            </w:pPr>
          </w:p>
        </w:tc>
        <w:tc>
          <w:tcPr>
            <w:tcW w:w="7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(1 )</w:t>
            </w:r>
          </w:p>
        </w:tc>
        <w:tc>
          <w:tcPr>
            <w:tcW w:w="1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6"/>
        </w:trPr>
        <w:tc>
          <w:tcPr>
            <w:tcW w:w="77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Borders>
              <w:top w:val="single" w:sz="8" w:color="CFF0FC"/>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effects on cash, cash equivalents and restricted cash</w:t>
            </w:r>
          </w:p>
        </w:tc>
        <w:tc>
          <w:tcPr>
            <w:tcW w:w="1140" w:type="dxa"/>
            <w:vAlign w:val="bottom"/>
          </w:tcPr>
          <w:p>
            <w:pPr>
              <w:spacing w:after="0"/>
              <w:rPr>
                <w:sz w:val="19"/>
                <w:szCs w:val="19"/>
                <w:color w:val="auto"/>
              </w:rPr>
            </w:pPr>
          </w:p>
        </w:tc>
        <w:tc>
          <w:tcPr>
            <w:tcW w:w="7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(2 )</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(134 )</w:t>
            </w:r>
          </w:p>
        </w:tc>
      </w:tr>
      <w:tr>
        <w:trPr>
          <w:trHeight w:val="228"/>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Pr>
          <w:p>
            <w:pPr>
              <w:spacing w:after="0"/>
              <w:rPr>
                <w:sz w:val="19"/>
                <w:szCs w:val="19"/>
                <w:color w:val="auto"/>
              </w:rPr>
            </w:pPr>
          </w:p>
        </w:tc>
      </w:tr>
      <w:tr>
        <w:trPr>
          <w:trHeight w:val="264"/>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140" w:type="dxa"/>
            <w:vAlign w:val="bottom"/>
            <w:tcBorders>
              <w:bottom w:val="single" w:sz="8" w:color="auto"/>
            </w:tcBorders>
            <w:shd w:val="clear" w:color="auto" w:fill="CFF0FC"/>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8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9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70"/>
        </w:trPr>
        <w:tc>
          <w:tcPr>
            <w:tcW w:w="770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 to the condensed consolidated balance</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sheets:</w:t>
            </w: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40" w:type="dxa"/>
            <w:vAlign w:val="bottom"/>
            <w:shd w:val="clear" w:color="auto" w:fill="CFF0FC"/>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9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shd w:val="clear" w:color="auto" w:fill="CFF0FC"/>
          </w:tcPr>
          <w:p>
            <w:pPr>
              <w:spacing w:after="0"/>
              <w:rPr>
                <w:sz w:val="20"/>
                <w:szCs w:val="20"/>
                <w:color w:val="auto"/>
              </w:rPr>
            </w:pPr>
          </w:p>
        </w:tc>
      </w:tr>
      <w:tr>
        <w:trPr>
          <w:trHeight w:val="228"/>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included in prepaid and other current assets in the condensed consolidated balance sheets</w:t>
            </w:r>
          </w:p>
        </w:tc>
        <w:tc>
          <w:tcPr>
            <w:tcW w:w="1140" w:type="dxa"/>
            <w:vAlign w:val="bottom"/>
          </w:tcPr>
          <w:p>
            <w:pPr>
              <w:spacing w:after="0"/>
              <w:rPr>
                <w:sz w:val="19"/>
                <w:szCs w:val="19"/>
                <w:color w:val="auto"/>
              </w:rPr>
            </w:pPr>
          </w:p>
        </w:tc>
        <w:tc>
          <w:tcPr>
            <w:tcW w:w="72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r>
      <w:tr>
        <w:trPr>
          <w:trHeight w:val="264"/>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140" w:type="dxa"/>
            <w:vAlign w:val="bottom"/>
            <w:tcBorders>
              <w:top w:val="single" w:sz="8" w:color="auto"/>
              <w:bottom w:val="single" w:sz="8" w:color="auto"/>
            </w:tcBorders>
            <w:shd w:val="clear" w:color="auto" w:fill="CFF0FC"/>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8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top w:val="single" w:sz="8" w:color="auto"/>
              <w:bottom w:val="single" w:sz="8" w:color="auto"/>
            </w:tcBorders>
            <w:shd w:val="clear" w:color="auto" w:fill="CFF0FC"/>
          </w:tcPr>
          <w:p>
            <w:pPr>
              <w:jc w:val="right"/>
              <w:ind w:right="9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cash flow disclosures: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1140" w:type="dxa"/>
            <w:vAlign w:val="bottom"/>
            <w:shd w:val="clear" w:color="auto" w:fill="CFF0FC"/>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91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noncash investing activities:</w:t>
            </w: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 of property and equipment included in accounts payable</w:t>
            </w:r>
          </w:p>
        </w:tc>
        <w:tc>
          <w:tcPr>
            <w:tcW w:w="1140" w:type="dxa"/>
            <w:vAlign w:val="bottom"/>
            <w:shd w:val="clear" w:color="auto" w:fill="CFF0FC"/>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ind w:right="9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20"/>
                <w:szCs w:val="20"/>
                <w:color w:val="auto"/>
              </w:rPr>
            </w:pPr>
          </w:p>
        </w:tc>
      </w:tr>
      <w:tr>
        <w:trPr>
          <w:trHeight w:val="1733"/>
        </w:trPr>
        <w:tc>
          <w:tcPr>
            <w:tcW w:w="77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-4255135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-4255135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-3218815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-3218815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-2465070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-2447925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-2465070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-2447925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-1720215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-1703070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-1720215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-1703070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Ralph Fong, ContextLogic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ir@contextlogicinc.com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706755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62"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2024-05-08T16:00:51Z</dcterms:created>
  <dcterms:modified xsi:type="dcterms:W3CDTF">2024-05-08T16:00:51Z</dcterms:modified>
</cp:coreProperties>
</file>